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pacing w:val="-7"/>
          <w:sz w:val="41"/>
          <w:szCs w:val="41"/>
        </w:rPr>
      </w:pPr>
      <w:r>
        <w:rPr>
          <w:rFonts w:ascii="宋体" w:hAnsi="宋体" w:eastAsia="宋体" w:cs="宋体"/>
          <w:b/>
          <w:bCs/>
          <w:spacing w:val="-7"/>
          <w:sz w:val="41"/>
          <w:szCs w:val="41"/>
        </w:rPr>
        <w:t>促进家居制造十条政策兑现操作流程表</w:t>
      </w:r>
    </w:p>
    <w:tbl>
      <w:tblPr>
        <w:tblStyle w:val="4"/>
        <w:tblW w:w="8677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2"/>
        <w:gridCol w:w="1413"/>
        <w:gridCol w:w="1312"/>
        <w:gridCol w:w="1733"/>
        <w:gridCol w:w="1455"/>
        <w:gridCol w:w="1581"/>
        <w:gridCol w:w="6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4" w:hRule="atLeast"/>
          <w:jc w:val="center"/>
        </w:trPr>
        <w:tc>
          <w:tcPr>
            <w:tcW w:w="55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6"/>
                <w:sz w:val="22"/>
                <w:szCs w:val="22"/>
              </w:rPr>
              <w:t>序号</w:t>
            </w:r>
          </w:p>
        </w:tc>
        <w:tc>
          <w:tcPr>
            <w:tcW w:w="141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政策措施</w:t>
            </w:r>
          </w:p>
        </w:tc>
        <w:tc>
          <w:tcPr>
            <w:tcW w:w="131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责任科室</w:t>
            </w:r>
          </w:p>
        </w:tc>
        <w:tc>
          <w:tcPr>
            <w:tcW w:w="173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操作流程</w:t>
            </w:r>
          </w:p>
        </w:tc>
        <w:tc>
          <w:tcPr>
            <w:tcW w:w="14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3"/>
                <w:sz w:val="22"/>
                <w:szCs w:val="22"/>
              </w:rPr>
              <w:t>审核依据</w:t>
            </w:r>
          </w:p>
        </w:tc>
        <w:tc>
          <w:tcPr>
            <w:tcW w:w="158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资金拨付流程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5"/>
                <w:sz w:val="22"/>
                <w:szCs w:val="2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物流成本补助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经建科</w:t>
            </w:r>
          </w:p>
        </w:tc>
        <w:tc>
          <w:tcPr>
            <w:tcW w:w="1733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局办公室将招商中心转来的资料交责任科室，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责任科室根据相1.市招商工作领导小组办公</w:t>
            </w:r>
            <w:r>
              <w:rPr>
                <w:spacing w:val="5"/>
                <w:sz w:val="22"/>
                <w:szCs w:val="22"/>
              </w:rPr>
              <w:t xml:space="preserve">  </w:t>
            </w:r>
            <w:r>
              <w:rPr>
                <w:spacing w:val="3"/>
                <w:sz w:val="22"/>
                <w:szCs w:val="22"/>
              </w:rPr>
              <w:t>室出具《关于协助出具项目兑现招商引资奖励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spacing w:val="3"/>
                <w:sz w:val="22"/>
                <w:szCs w:val="22"/>
              </w:rPr>
              <w:t>意见的函》及项目申请相关资料统一转局办公</w:t>
            </w:r>
            <w:r>
              <w:rPr>
                <w:spacing w:val="1"/>
                <w:sz w:val="22"/>
                <w:szCs w:val="22"/>
              </w:rPr>
              <w:t xml:space="preserve"> 室。2.局办公室按责任科室通知科室领取资料</w:t>
            </w:r>
            <w:r>
              <w:rPr>
                <w:spacing w:val="15"/>
                <w:sz w:val="22"/>
                <w:szCs w:val="22"/>
              </w:rPr>
              <w:t xml:space="preserve"> </w:t>
            </w:r>
            <w:r>
              <w:rPr>
                <w:spacing w:val="1"/>
                <w:sz w:val="22"/>
                <w:szCs w:val="22"/>
              </w:rPr>
              <w:t>后办理，意见经分管领导同意后盖章出具，交</w:t>
            </w:r>
            <w:r>
              <w:rPr>
                <w:spacing w:val="18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产业发展科统一回复。</w:t>
            </w: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税务部门提供纳税数据 </w:t>
            </w:r>
            <w:r>
              <w:rPr>
                <w:spacing w:val="-1"/>
                <w:sz w:val="22"/>
                <w:szCs w:val="22"/>
              </w:rPr>
              <w:t>及运输费用凭证</w:t>
            </w:r>
          </w:p>
        </w:tc>
        <w:tc>
          <w:tcPr>
            <w:tcW w:w="1581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预算科根据市政府审批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7"/>
                <w:sz w:val="22"/>
                <w:szCs w:val="22"/>
              </w:rPr>
              <w:t>后的项目开具指标单，</w:t>
            </w:r>
            <w:r>
              <w:rPr>
                <w:spacing w:val="8"/>
                <w:sz w:val="22"/>
                <w:szCs w:val="22"/>
              </w:rPr>
              <w:t xml:space="preserve"> </w:t>
            </w:r>
            <w:r>
              <w:rPr>
                <w:spacing w:val="9"/>
                <w:sz w:val="22"/>
                <w:szCs w:val="22"/>
              </w:rPr>
              <w:t>交责任科室后由科室制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作对地方财政所(分局  </w:t>
            </w:r>
            <w:r>
              <w:rPr>
                <w:spacing w:val="7"/>
                <w:sz w:val="22"/>
                <w:szCs w:val="22"/>
              </w:rPr>
              <w:t>、局)资金下达文件，</w:t>
            </w:r>
          </w:p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预算科依据文件拨付资</w:t>
            </w:r>
            <w:r>
              <w:rPr>
                <w:spacing w:val="5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金</w:t>
            </w: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企业用能补助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用电凭证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降低融资成本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金融科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 xml:space="preserve">投资合同、投资额度及 </w:t>
            </w:r>
            <w:r>
              <w:rPr>
                <w:spacing w:val="-2"/>
                <w:sz w:val="22"/>
                <w:szCs w:val="22"/>
              </w:rPr>
              <w:t>利息支出凭证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社会保险补贴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社保科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企业缴纳社保数据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招工用工奖励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社保科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劳动合同及企业工资表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技能提升补贴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社保科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劳动合同及相关证书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8"/>
                <w:sz w:val="22"/>
                <w:szCs w:val="22"/>
              </w:rPr>
              <w:t>鼓励“机器换人”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设备购置发票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3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鼓励品牌创建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行政政法科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相关文件及证书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建立展销中心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1733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商务局提供的相关凭证</w:t>
            </w:r>
          </w:p>
        </w:tc>
        <w:tc>
          <w:tcPr>
            <w:tcW w:w="1581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  <w:jc w:val="center"/>
        </w:trPr>
        <w:tc>
          <w:tcPr>
            <w:tcW w:w="55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7"/>
                <w:sz w:val="22"/>
                <w:szCs w:val="22"/>
              </w:rPr>
              <w:t>10</w:t>
            </w:r>
          </w:p>
        </w:tc>
        <w:tc>
          <w:tcPr>
            <w:tcW w:w="1413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参会参展补助</w:t>
            </w:r>
          </w:p>
        </w:tc>
        <w:tc>
          <w:tcPr>
            <w:tcW w:w="1312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产业科</w:t>
            </w:r>
          </w:p>
        </w:tc>
        <w:tc>
          <w:tcPr>
            <w:tcW w:w="1733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1455" w:type="dxa"/>
            <w:vAlign w:val="center"/>
          </w:tcPr>
          <w:p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投资合同及投资额度</w:t>
            </w:r>
          </w:p>
        </w:tc>
        <w:tc>
          <w:tcPr>
            <w:tcW w:w="1581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  <w:tc>
          <w:tcPr>
            <w:tcW w:w="6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right="0" w:firstLine="0"/>
              <w:jc w:val="center"/>
              <w:textAlignment w:val="auto"/>
              <w:rPr>
                <w:rFonts w:ascii="Arial"/>
                <w:sz w:val="21"/>
              </w:rPr>
            </w:pPr>
          </w:p>
        </w:tc>
      </w:tr>
    </w:tbl>
    <w:p>
      <w:pPr>
        <w:jc w:val="center"/>
        <w:rPr>
          <w:rFonts w:ascii="宋体" w:hAnsi="宋体" w:eastAsia="宋体" w:cs="宋体"/>
          <w:b/>
          <w:bCs/>
          <w:spacing w:val="-7"/>
          <w:sz w:val="41"/>
          <w:szCs w:val="41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yZWY1MjRhZTY3ZTNmMWZkNmNlNDc1ODhhOGVjYzMifQ=="/>
  </w:docVars>
  <w:rsids>
    <w:rsidRoot w:val="00000000"/>
    <w:rsid w:val="05260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autoRedefine/>
    <w:semiHidden/>
    <w:qFormat/>
    <w:uiPriority w:val="0"/>
    <w:rPr>
      <w:rFonts w:ascii="宋体" w:hAnsi="宋体" w:eastAsia="宋体" w:cs="宋体"/>
      <w:sz w:val="19"/>
      <w:szCs w:val="19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2024-05-08T09:28:51Z</dcterms:created>
  <dc:creator>ymf</dc:creator>
  <cp:lastModifiedBy>LUZERNE1409446639</cp:lastModifiedBy>
  <dcterms:modified xsi:type="dcterms:W3CDTF">2024-05-08T09:29:50Z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8E847D2D381545328B1437D113213999_12</vt:lpwstr>
  </property>
</Properties>
</file>