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F782C">
      <w:pPr>
        <w:numPr>
          <w:ilvl w:val="0"/>
          <w:numId w:val="0"/>
        </w:numPr>
        <w:ind w:firstLine="640" w:firstLineChars="200"/>
        <w:jc w:val="both"/>
        <w:rPr>
          <w:rFonts w:hint="eastAsia" w:ascii="黑体" w:hAnsi="黑体" w:eastAsia="黑体" w:cs="黑体"/>
          <w:sz w:val="32"/>
          <w:szCs w:val="32"/>
          <w:u w:val="none"/>
          <w:lang w:val="en-US" w:eastAsia="zh-CN"/>
        </w:rPr>
      </w:pPr>
    </w:p>
    <w:p w14:paraId="221E0376">
      <w:pPr>
        <w:keepNext w:val="0"/>
        <w:keepLines w:val="0"/>
        <w:pageBreakBefore w:val="0"/>
        <w:widowControl w:val="0"/>
        <w:kinsoku/>
        <w:wordWrap/>
        <w:overflowPunct/>
        <w:topLinePunct w:val="0"/>
        <w:bidi w:val="0"/>
        <w:spacing w:line="360" w:lineRule="auto"/>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潜江市老新镇人民政府</w:t>
      </w:r>
      <w:r>
        <w:rPr>
          <w:rStyle w:val="8"/>
          <w:rFonts w:hint="default" w:ascii="Times New Roman" w:hAnsi="Times New Roman" w:eastAsia="宋体" w:cs="Times New Roman"/>
          <w:sz w:val="36"/>
          <w:szCs w:val="36"/>
        </w:rPr>
        <w:t>202</w:t>
      </w:r>
      <w:r>
        <w:rPr>
          <w:rStyle w:val="8"/>
          <w:rFonts w:hint="eastAsia" w:ascii="Times New Roman" w:hAnsi="Times New Roman" w:eastAsia="宋体" w:cs="Times New Roman"/>
          <w:sz w:val="36"/>
          <w:szCs w:val="36"/>
          <w:lang w:val="en-US" w:eastAsia="zh-CN"/>
        </w:rPr>
        <w:t>2</w:t>
      </w:r>
      <w:r>
        <w:rPr>
          <w:rFonts w:hint="eastAsia" w:ascii="方正小标宋简体" w:hAnsi="方正小标宋简体" w:eastAsia="方正小标宋简体" w:cs="方正小标宋简体"/>
          <w:sz w:val="36"/>
          <w:szCs w:val="36"/>
          <w:lang w:val="en-US" w:eastAsia="zh-CN"/>
        </w:rPr>
        <w:t>年度部门决算</w:t>
      </w:r>
    </w:p>
    <w:p w14:paraId="16533087">
      <w:pPr>
        <w:keepNext w:val="0"/>
        <w:keepLines w:val="0"/>
        <w:pageBreakBefore w:val="0"/>
        <w:widowControl w:val="0"/>
        <w:shd w:val="clear" w:color="auto" w:fill="FFFFFF"/>
        <w:kinsoku/>
        <w:wordWrap/>
        <w:overflowPunct/>
        <w:topLinePunct w:val="0"/>
        <w:bidi w:val="0"/>
        <w:spacing w:before="240" w:after="240" w:line="360" w:lineRule="auto"/>
        <w:jc w:val="both"/>
        <w:textAlignment w:val="auto"/>
        <w:outlineLvl w:val="9"/>
        <w:rPr>
          <w:rFonts w:hint="eastAsia" w:ascii="方正小标宋简体" w:hAnsi="方正小标宋简体" w:eastAsia="方正小标宋简体" w:cs="方正小标宋简体"/>
          <w:sz w:val="36"/>
          <w:szCs w:val="36"/>
          <w:lang w:val="en-US" w:eastAsia="zh-CN"/>
        </w:rPr>
      </w:pPr>
    </w:p>
    <w:p w14:paraId="2F799FF0">
      <w:pPr>
        <w:keepNext w:val="0"/>
        <w:keepLines w:val="0"/>
        <w:pageBreakBefore w:val="0"/>
        <w:widowControl w:val="0"/>
        <w:shd w:val="clear" w:color="auto" w:fill="FFFFFF"/>
        <w:kinsoku/>
        <w:wordWrap/>
        <w:overflowPunct/>
        <w:topLinePunct w:val="0"/>
        <w:bidi w:val="0"/>
        <w:spacing w:before="240" w:after="240" w:line="360" w:lineRule="auto"/>
        <w:ind w:firstLine="640"/>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目    录</w:t>
      </w:r>
    </w:p>
    <w:p w14:paraId="38CE9278">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rFonts w:hint="eastAsia" w:ascii="黑体" w:hAnsi="黑体" w:eastAsia="黑体" w:cs="黑体"/>
        </w:rPr>
      </w:pPr>
      <w:r>
        <w:rPr>
          <w:rStyle w:val="7"/>
          <w:rFonts w:hint="eastAsia" w:ascii="黑体" w:hAnsi="黑体" w:eastAsia="黑体" w:cs="黑体"/>
          <w:sz w:val="32"/>
          <w:szCs w:val="32"/>
          <w:rtl w:val="0"/>
        </w:rPr>
        <w:t>第一部分</w:t>
      </w:r>
      <w:r>
        <w:rPr>
          <w:rStyle w:val="7"/>
          <w:rFonts w:hint="eastAsia" w:ascii="黑体" w:hAnsi="黑体" w:eastAsia="黑体" w:cs="黑体"/>
          <w:sz w:val="32"/>
          <w:szCs w:val="32"/>
          <w:rtl w:val="0"/>
          <w:lang w:val="en-US" w:eastAsia="en-US"/>
        </w:rPr>
        <w:t xml:space="preserve">  </w:t>
      </w:r>
      <w:r>
        <w:rPr>
          <w:rStyle w:val="7"/>
          <w:rFonts w:hint="eastAsia" w:ascii="黑体" w:hAnsi="黑体" w:eastAsia="黑体" w:cs="黑体"/>
          <w:sz w:val="32"/>
          <w:szCs w:val="32"/>
          <w:u w:val="none"/>
          <w:rtl w:val="0"/>
          <w:lang w:val="en-US" w:eastAsia="zh-CN"/>
        </w:rPr>
        <w:t>潜江市老新镇人民政府</w:t>
      </w:r>
      <w:r>
        <w:rPr>
          <w:rStyle w:val="7"/>
          <w:rFonts w:hint="eastAsia" w:ascii="黑体" w:hAnsi="黑体" w:eastAsia="黑体" w:cs="黑体"/>
          <w:sz w:val="32"/>
          <w:szCs w:val="32"/>
          <w:rtl w:val="0"/>
        </w:rPr>
        <w:t>概况</w:t>
      </w:r>
    </w:p>
    <w:p w14:paraId="64598467">
      <w:pPr>
        <w:keepNext w:val="0"/>
        <w:keepLines w:val="0"/>
        <w:pageBreakBefore w:val="0"/>
        <w:widowControl w:val="0"/>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一、部门主要</w:t>
      </w:r>
      <w:r>
        <w:rPr>
          <w:rFonts w:hint="eastAsia" w:ascii="仿宋_GB2312" w:hAnsi="宋体" w:cs="Times New Roman"/>
          <w:bCs/>
          <w:sz w:val="32"/>
          <w:szCs w:val="32"/>
          <w:highlight w:val="none"/>
          <w:rtl w:val="0"/>
          <w:lang w:eastAsia="zh-CN"/>
        </w:rPr>
        <w:t>职责</w:t>
      </w:r>
    </w:p>
    <w:p w14:paraId="08791E11">
      <w:pPr>
        <w:keepNext w:val="0"/>
        <w:keepLines w:val="0"/>
        <w:pageBreakBefore w:val="0"/>
        <w:widowControl w:val="0"/>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二、</w:t>
      </w:r>
      <w:r>
        <w:rPr>
          <w:rFonts w:hint="eastAsia" w:ascii="仿宋_GB2312" w:hAnsi="宋体" w:cs="Times New Roman"/>
          <w:bCs/>
          <w:sz w:val="32"/>
          <w:szCs w:val="32"/>
          <w:highlight w:val="none"/>
          <w:rtl w:val="0"/>
          <w:lang w:eastAsia="zh-CN"/>
        </w:rPr>
        <w:t>机构设置情况</w:t>
      </w:r>
    </w:p>
    <w:p w14:paraId="6E3276AC">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pPr>
      <w:r>
        <w:rPr>
          <w:rStyle w:val="7"/>
          <w:rFonts w:ascii="黑体" w:hAnsi="黑体" w:eastAsia="黑体" w:cs="黑体"/>
          <w:sz w:val="32"/>
          <w:szCs w:val="32"/>
          <w:rtl w:val="0"/>
        </w:rPr>
        <w:t>第二部分</w:t>
      </w:r>
      <w:r>
        <w:rPr>
          <w:rStyle w:val="7"/>
          <w:rFonts w:hint="eastAsia" w:ascii="黑体" w:hAnsi="黑体" w:eastAsia="黑体" w:cs="黑体"/>
          <w:sz w:val="32"/>
          <w:szCs w:val="32"/>
          <w:rtl w:val="0"/>
          <w:lang w:val="en-US" w:eastAsia="zh-CN"/>
        </w:rPr>
        <w:t xml:space="preserve"> </w:t>
      </w:r>
      <w:r>
        <w:rPr>
          <w:rStyle w:val="7"/>
          <w:rFonts w:hint="eastAsia" w:ascii="黑体" w:hAnsi="黑体" w:eastAsia="黑体" w:cs="黑体"/>
          <w:sz w:val="32"/>
          <w:szCs w:val="32"/>
          <w:u w:val="none"/>
          <w:rtl w:val="0"/>
          <w:lang w:val="en-US" w:eastAsia="zh-CN"/>
        </w:rPr>
        <w:t>潜江市老新镇人民政府</w:t>
      </w:r>
      <w:r>
        <w:rPr>
          <w:rStyle w:val="7"/>
          <w:rFonts w:ascii="黑体" w:hAnsi="黑体" w:eastAsia="黑体" w:cs="黑体"/>
          <w:sz w:val="32"/>
          <w:szCs w:val="32"/>
          <w:rtl w:val="0"/>
          <w:lang w:val="en-US" w:eastAsia="en-US"/>
        </w:rPr>
        <w:t>20</w:t>
      </w:r>
      <w:r>
        <w:rPr>
          <w:rStyle w:val="7"/>
          <w:rFonts w:hint="eastAsia" w:ascii="黑体" w:hAnsi="黑体" w:eastAsia="黑体" w:cs="黑体"/>
          <w:sz w:val="32"/>
          <w:szCs w:val="32"/>
          <w:rtl w:val="0"/>
          <w:lang w:val="en-US" w:eastAsia="zh-CN"/>
        </w:rPr>
        <w:t>22</w:t>
      </w:r>
      <w:r>
        <w:rPr>
          <w:rStyle w:val="7"/>
          <w:rFonts w:ascii="黑体" w:hAnsi="黑体" w:eastAsia="黑体" w:cs="黑体"/>
          <w:sz w:val="32"/>
          <w:szCs w:val="32"/>
          <w:rtl w:val="0"/>
        </w:rPr>
        <w:t>年度部门决算表</w:t>
      </w:r>
    </w:p>
    <w:p w14:paraId="4E8CB0F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一、收入支出决算总表</w:t>
      </w:r>
    </w:p>
    <w:p w14:paraId="23F3A9F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二、收入决算表</w:t>
      </w:r>
    </w:p>
    <w:p w14:paraId="48AB8AF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三、支出决算表</w:t>
      </w:r>
    </w:p>
    <w:p w14:paraId="56FB1309">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四、财政拨款收入支出决算总表</w:t>
      </w:r>
    </w:p>
    <w:p w14:paraId="2F1B3D4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五、一般公共预算财政拨款支出决算表</w:t>
      </w:r>
    </w:p>
    <w:p w14:paraId="71D17F0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六、一般公共预算财政拨款基本支出决算明细表</w:t>
      </w:r>
    </w:p>
    <w:p w14:paraId="0222632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七、一般公共预算财政拨款“三公”经费支出决算表</w:t>
      </w:r>
    </w:p>
    <w:p w14:paraId="7E5BD94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八、政府性基金预算财政拨款收入支出决算表</w:t>
      </w:r>
    </w:p>
    <w:p w14:paraId="61F96DB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九、国有资本经营预算财政拨款支出决算表</w:t>
      </w:r>
    </w:p>
    <w:p w14:paraId="55DB0AA0">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pPr>
      <w:r>
        <w:rPr>
          <w:rStyle w:val="7"/>
          <w:rFonts w:ascii="黑体" w:hAnsi="黑体" w:eastAsia="黑体" w:cs="黑体"/>
          <w:sz w:val="32"/>
          <w:szCs w:val="32"/>
          <w:rtl w:val="0"/>
        </w:rPr>
        <w:t>第三部分</w:t>
      </w:r>
      <w:r>
        <w:rPr>
          <w:rStyle w:val="7"/>
          <w:rFonts w:ascii="黑体" w:hAnsi="黑体" w:eastAsia="黑体" w:cs="黑体"/>
          <w:sz w:val="32"/>
          <w:szCs w:val="32"/>
          <w:rtl w:val="0"/>
          <w:lang w:val="en-US" w:eastAsia="en-US"/>
        </w:rPr>
        <w:t xml:space="preserve">  </w:t>
      </w:r>
      <w:r>
        <w:rPr>
          <w:rStyle w:val="7"/>
          <w:rFonts w:hint="eastAsia" w:ascii="黑体" w:hAnsi="黑体" w:eastAsia="黑体" w:cs="黑体"/>
          <w:sz w:val="32"/>
          <w:szCs w:val="32"/>
          <w:u w:val="none"/>
          <w:rtl w:val="0"/>
          <w:lang w:val="en-US" w:eastAsia="zh-CN"/>
        </w:rPr>
        <w:t>潜江市老新镇人民政府</w:t>
      </w:r>
      <w:r>
        <w:rPr>
          <w:rStyle w:val="7"/>
          <w:rFonts w:ascii="黑体" w:hAnsi="黑体" w:eastAsia="黑体" w:cs="黑体"/>
          <w:sz w:val="32"/>
          <w:szCs w:val="32"/>
          <w:rtl w:val="0"/>
          <w:lang w:val="en-US" w:eastAsia="en-US"/>
        </w:rPr>
        <w:t>20</w:t>
      </w:r>
      <w:r>
        <w:rPr>
          <w:rStyle w:val="7"/>
          <w:rFonts w:hint="eastAsia" w:ascii="黑体" w:hAnsi="黑体" w:eastAsia="黑体" w:cs="黑体"/>
          <w:sz w:val="32"/>
          <w:szCs w:val="32"/>
          <w:rtl w:val="0"/>
          <w:lang w:val="en-US" w:eastAsia="zh-CN"/>
        </w:rPr>
        <w:t>22</w:t>
      </w:r>
      <w:r>
        <w:rPr>
          <w:rStyle w:val="7"/>
          <w:rFonts w:ascii="黑体" w:hAnsi="黑体" w:eastAsia="黑体" w:cs="黑体"/>
          <w:sz w:val="32"/>
          <w:szCs w:val="32"/>
          <w:rtl w:val="0"/>
        </w:rPr>
        <w:t>年度部门决算情况说明</w:t>
      </w:r>
    </w:p>
    <w:p w14:paraId="3FE1C84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一、收入支出决算总体情况说明</w:t>
      </w:r>
    </w:p>
    <w:p w14:paraId="5B634CC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二、收入决算情况说明</w:t>
      </w:r>
    </w:p>
    <w:p w14:paraId="7F9D16E4">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三、支出决算情况说明</w:t>
      </w:r>
    </w:p>
    <w:p w14:paraId="51084F6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四、财政拨款收入支出决算总体情况说明</w:t>
      </w:r>
    </w:p>
    <w:p w14:paraId="7CBDC7C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五、一般公共预算财政拨款支出决算情况说明</w:t>
      </w:r>
    </w:p>
    <w:p w14:paraId="273C418D">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六、一般公共预算财政拨款基本支出决算情况说明</w:t>
      </w:r>
    </w:p>
    <w:p w14:paraId="3DCFBC6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 xml:space="preserve">七、财政拨款“三公”经费支出决算情况说明 </w:t>
      </w:r>
    </w:p>
    <w:p w14:paraId="7425D8E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lang w:val="en-US" w:eastAsia="zh-CN"/>
        </w:rPr>
        <w:t xml:space="preserve">八、政府性基金预算财政拨款收入支出决算情况说明 </w:t>
      </w:r>
    </w:p>
    <w:p w14:paraId="2D9E6AE5">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九、国有资本经营预算财政拨款支出决算情况说明</w:t>
      </w:r>
    </w:p>
    <w:p w14:paraId="5B1504F3">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十、机关运行经费支出说明</w:t>
      </w:r>
    </w:p>
    <w:p w14:paraId="5E4F7540">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十一、政府采购支出说明</w:t>
      </w:r>
    </w:p>
    <w:p w14:paraId="5915812F">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十二、国有资产占用情况说明</w:t>
      </w:r>
    </w:p>
    <w:p w14:paraId="608AF14D">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十三、预算绩效情况说明</w:t>
      </w:r>
    </w:p>
    <w:p w14:paraId="2B81CCF4">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十四、专项支出、转移支付支出情况说明</w:t>
      </w:r>
    </w:p>
    <w:p w14:paraId="3D84DDD4">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pPr>
      <w:r>
        <w:rPr>
          <w:rStyle w:val="7"/>
          <w:rFonts w:ascii="黑体" w:hAnsi="黑体" w:eastAsia="黑体" w:cs="黑体"/>
          <w:sz w:val="32"/>
          <w:szCs w:val="32"/>
          <w:rtl w:val="0"/>
        </w:rPr>
        <w:t>第四部分</w:t>
      </w:r>
      <w:r>
        <w:rPr>
          <w:rStyle w:val="7"/>
          <w:rFonts w:ascii="黑体" w:hAnsi="黑体" w:eastAsia="黑体" w:cs="黑体"/>
          <w:sz w:val="32"/>
          <w:szCs w:val="32"/>
          <w:rtl w:val="0"/>
          <w:lang w:val="en-US" w:eastAsia="en-US"/>
        </w:rPr>
        <w:t xml:space="preserve">  </w:t>
      </w:r>
      <w:r>
        <w:rPr>
          <w:rFonts w:hint="eastAsia" w:ascii="黑体" w:hAnsi="黑体" w:eastAsia="黑体" w:cs="黑体"/>
          <w:sz w:val="32"/>
          <w:szCs w:val="32"/>
          <w:lang w:val="en-US" w:eastAsia="zh-CN"/>
        </w:rPr>
        <w:t>其他需要说明的情况</w:t>
      </w:r>
    </w:p>
    <w:p w14:paraId="35A71179">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Style w:val="7"/>
          <w:rFonts w:ascii="黑体" w:hAnsi="黑体" w:eastAsia="黑体" w:cs="黑体"/>
          <w:sz w:val="32"/>
          <w:szCs w:val="32"/>
          <w:rtl w:val="0"/>
        </w:rPr>
      </w:pPr>
      <w:r>
        <w:rPr>
          <w:rStyle w:val="7"/>
          <w:rFonts w:ascii="黑体" w:hAnsi="黑体" w:eastAsia="黑体" w:cs="黑体"/>
          <w:sz w:val="32"/>
          <w:szCs w:val="32"/>
          <w:rtl w:val="0"/>
        </w:rPr>
        <w:t>第五部分</w:t>
      </w:r>
      <w:r>
        <w:rPr>
          <w:rStyle w:val="7"/>
          <w:rFonts w:ascii="黑体" w:hAnsi="黑体" w:eastAsia="黑体" w:cs="黑体"/>
          <w:sz w:val="32"/>
          <w:szCs w:val="32"/>
          <w:rtl w:val="0"/>
          <w:lang w:val="en-US" w:eastAsia="en-US"/>
        </w:rPr>
        <w:t xml:space="preserve">  </w:t>
      </w:r>
      <w:r>
        <w:rPr>
          <w:rStyle w:val="7"/>
          <w:rFonts w:ascii="黑体" w:hAnsi="黑体" w:eastAsia="黑体" w:cs="黑体"/>
          <w:sz w:val="32"/>
          <w:szCs w:val="32"/>
          <w:rtl w:val="0"/>
        </w:rPr>
        <w:t>名词解释</w:t>
      </w:r>
    </w:p>
    <w:p w14:paraId="60021725">
      <w:pPr>
        <w:keepNext w:val="0"/>
        <w:keepLines w:val="0"/>
        <w:pageBreakBefore w:val="0"/>
        <w:widowControl w:val="0"/>
        <w:numPr>
          <w:ilvl w:val="0"/>
          <w:numId w:val="0"/>
        </w:numPr>
        <w:kinsoku/>
        <w:wordWrap/>
        <w:overflowPunct/>
        <w:topLinePunct w:val="0"/>
        <w:bidi w:val="0"/>
        <w:spacing w:line="360" w:lineRule="auto"/>
        <w:ind w:firstLine="640" w:firstLineChars="200"/>
        <w:jc w:val="both"/>
        <w:textAlignment w:val="auto"/>
        <w:outlineLvl w:val="9"/>
        <w:rPr>
          <w:rStyle w:val="7"/>
          <w:rFonts w:hint="eastAsia" w:ascii="黑体" w:hAnsi="黑体" w:eastAsia="黑体" w:cs="黑体"/>
          <w:sz w:val="32"/>
          <w:szCs w:val="32"/>
          <w:rtl w:val="0"/>
          <w:lang w:val="en-US" w:eastAsia="zh-CN"/>
        </w:rPr>
      </w:pPr>
    </w:p>
    <w:p w14:paraId="48CBB75C">
      <w:pPr>
        <w:numPr>
          <w:ilvl w:val="0"/>
          <w:numId w:val="0"/>
        </w:numPr>
        <w:ind w:firstLine="640" w:firstLineChars="200"/>
        <w:jc w:val="both"/>
        <w:rPr>
          <w:rFonts w:hint="eastAsia" w:ascii="黑体" w:hAnsi="黑体" w:eastAsia="黑体" w:cs="黑体"/>
          <w:sz w:val="32"/>
          <w:szCs w:val="32"/>
          <w:u w:val="none"/>
          <w:lang w:val="en-US" w:eastAsia="zh-CN"/>
        </w:rPr>
      </w:pPr>
    </w:p>
    <w:p w14:paraId="0462B621">
      <w:pPr>
        <w:numPr>
          <w:ilvl w:val="0"/>
          <w:numId w:val="0"/>
        </w:numPr>
        <w:ind w:firstLine="640" w:firstLineChars="200"/>
        <w:jc w:val="both"/>
        <w:rPr>
          <w:rFonts w:hint="eastAsia" w:ascii="黑体" w:hAnsi="黑体" w:eastAsia="黑体" w:cs="黑体"/>
          <w:sz w:val="32"/>
          <w:szCs w:val="32"/>
          <w:u w:val="none"/>
          <w:lang w:val="en-US" w:eastAsia="zh-CN"/>
        </w:rPr>
      </w:pPr>
    </w:p>
    <w:p w14:paraId="0624E553">
      <w:pPr>
        <w:numPr>
          <w:ilvl w:val="0"/>
          <w:numId w:val="0"/>
        </w:numPr>
        <w:jc w:val="both"/>
        <w:rPr>
          <w:rFonts w:hint="eastAsia" w:ascii="黑体" w:hAnsi="黑体" w:eastAsia="黑体" w:cs="黑体"/>
          <w:sz w:val="32"/>
          <w:szCs w:val="32"/>
          <w:u w:val="none"/>
          <w:lang w:val="en-US" w:eastAsia="zh-CN"/>
        </w:rPr>
      </w:pPr>
    </w:p>
    <w:p w14:paraId="152FD085">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（说明：目录页码自行编辑）</w:t>
      </w:r>
    </w:p>
    <w:p w14:paraId="593203E7">
      <w:pPr>
        <w:numPr>
          <w:ilvl w:val="0"/>
          <w:numId w:val="0"/>
        </w:numPr>
        <w:ind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u w:val="none"/>
          <w:lang w:val="en-US" w:eastAsia="zh-CN"/>
        </w:rPr>
        <w:t xml:space="preserve">第一部分  </w:t>
      </w:r>
      <w:r>
        <w:rPr>
          <w:rStyle w:val="7"/>
          <w:rFonts w:hint="eastAsia" w:ascii="黑体" w:hAnsi="黑体" w:eastAsia="黑体" w:cs="黑体"/>
          <w:sz w:val="32"/>
          <w:szCs w:val="32"/>
          <w:u w:val="none"/>
          <w:rtl w:val="0"/>
          <w:lang w:val="en-US" w:eastAsia="zh-CN"/>
        </w:rPr>
        <w:t>潜江市老新镇人民政府</w:t>
      </w:r>
      <w:r>
        <w:rPr>
          <w:rFonts w:hint="eastAsia" w:ascii="黑体" w:hAnsi="黑体" w:eastAsia="黑体" w:cs="黑体"/>
          <w:sz w:val="32"/>
          <w:szCs w:val="32"/>
          <w:lang w:val="en-US" w:eastAsia="zh-CN"/>
        </w:rPr>
        <w:t>概况</w:t>
      </w:r>
    </w:p>
    <w:p w14:paraId="54C8AC2E">
      <w:p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一、部门主要职责</w:t>
      </w:r>
    </w:p>
    <w:p w14:paraId="75F17F3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（一）主要职责</w:t>
      </w:r>
    </w:p>
    <w:p w14:paraId="2315A83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一、执行国家行政机关的决定、命令和国家制定的法令、法规，执行本级人民代表大会的各项决议，并报告执行决议、决定和命令的情况。</w:t>
      </w:r>
    </w:p>
    <w:p w14:paraId="0C9663E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二、制定并落实本行政区域的经济计划和措施，全面提高人民群众的生活水平和生活质量。</w:t>
      </w:r>
    </w:p>
    <w:p w14:paraId="4C37FE4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三、承担国有资产、集体资产管理、监督及增值保值责任。</w:t>
      </w:r>
    </w:p>
    <w:p w14:paraId="04E7C3D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四、开展社会主义民主和法制的宣传教育，保障公民的权利，打击违法犯罪，维护社会稳定。</w:t>
      </w:r>
    </w:p>
    <w:p w14:paraId="5028CD6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五、制定社会各项事业发展计划，发展教育、卫生、科技、民政、广播电视、文化、体育事业；推进社会保障、社会福利事业和养老保险等工作。</w:t>
      </w:r>
    </w:p>
    <w:p w14:paraId="2E351B5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六、加强镇级财政的监督和管理。</w:t>
      </w:r>
    </w:p>
    <w:p w14:paraId="2A92345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七、指导村（居）民委员会的组织制度建设和业务建设，促进村（居）民委员会民主自治。</w:t>
      </w:r>
    </w:p>
    <w:p w14:paraId="59CEC58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八、制定和组织实施镇村建设规划，保护和改善生活环境和生态环境。</w:t>
      </w:r>
    </w:p>
    <w:p w14:paraId="769B230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九、协助和支持设置在本行政区域内不隶属于镇的国家机关和企事业单位工作，监督其遵守和执行国家的法律、法规和政策。</w:t>
      </w:r>
    </w:p>
    <w:p w14:paraId="25C29A7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十、承办本级党委、人大和上级交办的其他事项。</w:t>
      </w:r>
    </w:p>
    <w:p w14:paraId="6F10C091">
      <w:p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p>
    <w:p w14:paraId="27AF701D">
      <w:pPr>
        <w:adjustRightInd w:val="0"/>
        <w:snapToGrid w:val="0"/>
        <w:spacing w:line="580" w:lineRule="atLeast"/>
        <w:ind w:firstLine="640" w:firstLineChars="200"/>
        <w:rPr>
          <w:rFonts w:hint="eastAsia" w:ascii="仿宋_GB2312" w:hAnsi="宋体" w:eastAsia="仿宋_GB2312"/>
          <w:bCs/>
          <w:sz w:val="32"/>
          <w:szCs w:val="32"/>
          <w:highlight w:val="none"/>
          <w:lang w:val="en-US" w:eastAsia="zh-CN"/>
        </w:rPr>
      </w:pPr>
      <w:r>
        <w:rPr>
          <w:rFonts w:hint="eastAsia" w:ascii="黑体" w:hAnsi="黑体" w:eastAsia="黑体" w:cs="黑体"/>
          <w:bCs/>
          <w:sz w:val="32"/>
          <w:szCs w:val="32"/>
          <w:highlight w:val="none"/>
          <w:lang w:val="en-US" w:eastAsia="zh-CN"/>
        </w:rPr>
        <w:t>二、机构设置情况</w:t>
      </w:r>
    </w:p>
    <w:p w14:paraId="0204DEA6">
      <w:pPr>
        <w:ind w:firstLine="640"/>
        <w:jc w:val="both"/>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从单位构成看，</w:t>
      </w:r>
      <w:r>
        <w:rPr>
          <w:rFonts w:hint="eastAsia" w:ascii="仿宋_GB2312" w:hAnsi="仿宋_GB2312" w:cs="仿宋_GB2312"/>
          <w:sz w:val="32"/>
          <w:szCs w:val="32"/>
          <w:u w:val="none"/>
          <w:lang w:val="en-US" w:eastAsia="zh-CN"/>
        </w:rPr>
        <w:t>潜江市老新镇人民政府</w:t>
      </w:r>
      <w:r>
        <w:rPr>
          <w:rFonts w:hint="eastAsia" w:ascii="仿宋_GB2312" w:hAnsi="仿宋_GB2312" w:eastAsia="仿宋_GB2312" w:cs="仿宋_GB2312"/>
          <w:sz w:val="32"/>
          <w:szCs w:val="32"/>
          <w:u w:val="none"/>
          <w:lang w:val="en-US" w:eastAsia="zh-CN"/>
        </w:rPr>
        <w:t>部门决算由实行独立核算的</w:t>
      </w:r>
      <w:r>
        <w:rPr>
          <w:rFonts w:hint="eastAsia" w:ascii="仿宋_GB2312" w:hAnsi="仿宋_GB2312" w:cs="仿宋_GB2312"/>
          <w:sz w:val="32"/>
          <w:szCs w:val="32"/>
          <w:u w:val="none"/>
          <w:lang w:val="en-US" w:eastAsia="zh-CN"/>
        </w:rPr>
        <w:t>潜江市老新镇人民政府</w:t>
      </w:r>
      <w:r>
        <w:rPr>
          <w:rFonts w:hint="eastAsia" w:ascii="仿宋_GB2312" w:hAnsi="仿宋_GB2312" w:eastAsia="仿宋_GB2312" w:cs="仿宋_GB2312"/>
          <w:sz w:val="32"/>
          <w:szCs w:val="32"/>
          <w:u w:val="none"/>
          <w:lang w:val="en-US" w:eastAsia="zh-CN"/>
        </w:rPr>
        <w:t>本级决算和</w:t>
      </w:r>
      <w:r>
        <w:rPr>
          <w:rFonts w:hint="eastAsia" w:ascii="仿宋_GB2312" w:hAnsi="仿宋_GB2312" w:cs="仿宋_GB2312"/>
          <w:sz w:val="32"/>
          <w:szCs w:val="32"/>
          <w:u w:val="none"/>
          <w:lang w:val="en-US" w:eastAsia="zh-CN"/>
        </w:rPr>
        <w:t xml:space="preserve"> 1 </w:t>
      </w:r>
      <w:r>
        <w:rPr>
          <w:rFonts w:hint="eastAsia" w:ascii="仿宋_GB2312" w:hAnsi="仿宋_GB2312" w:eastAsia="仿宋_GB2312" w:cs="仿宋_GB2312"/>
          <w:sz w:val="32"/>
          <w:szCs w:val="32"/>
          <w:u w:val="none"/>
          <w:lang w:val="en-US" w:eastAsia="zh-CN"/>
        </w:rPr>
        <w:t>个下属单位决算组成。</w:t>
      </w:r>
    </w:p>
    <w:p w14:paraId="2AA9E10E">
      <w:pPr>
        <w:ind w:firstLine="640"/>
        <w:jc w:val="both"/>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纳入</w:t>
      </w:r>
      <w:r>
        <w:rPr>
          <w:rFonts w:hint="eastAsia" w:ascii="仿宋_GB2312" w:hAnsi="仿宋_GB2312" w:cs="仿宋_GB2312"/>
          <w:sz w:val="32"/>
          <w:szCs w:val="32"/>
          <w:u w:val="none"/>
          <w:lang w:val="en-US" w:eastAsia="zh-CN"/>
        </w:rPr>
        <w:t>潜江市老新镇人民政府2022年</w:t>
      </w:r>
      <w:r>
        <w:rPr>
          <w:rFonts w:hint="eastAsia" w:ascii="仿宋_GB2312" w:hAnsi="仿宋_GB2312" w:eastAsia="仿宋_GB2312" w:cs="仿宋_GB2312"/>
          <w:sz w:val="32"/>
          <w:szCs w:val="32"/>
          <w:u w:val="none"/>
          <w:lang w:val="en-US" w:eastAsia="zh-CN"/>
        </w:rPr>
        <w:t>度部门决算编制范围的二级预算单位包括：</w:t>
      </w:r>
    </w:p>
    <w:tbl>
      <w:tblPr>
        <w:tblStyle w:val="6"/>
        <w:tblW w:w="0" w:type="auto"/>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724"/>
        <w:gridCol w:w="3958"/>
        <w:gridCol w:w="2834"/>
      </w:tblGrid>
      <w:tr w14:paraId="33C54BDA">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65" w:hRule="atLeast"/>
        </w:trPr>
        <w:tc>
          <w:tcPr>
            <w:tcW w:w="1724"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top"/>
          </w:tcPr>
          <w:p w14:paraId="66D2126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序号</w:t>
            </w:r>
          </w:p>
        </w:tc>
        <w:tc>
          <w:tcPr>
            <w:tcW w:w="3958"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top"/>
          </w:tcPr>
          <w:p w14:paraId="59FFA2D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单位名称</w:t>
            </w:r>
          </w:p>
        </w:tc>
        <w:tc>
          <w:tcPr>
            <w:tcW w:w="2834"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top"/>
          </w:tcPr>
          <w:p w14:paraId="0C98552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经费性质</w:t>
            </w:r>
          </w:p>
        </w:tc>
      </w:tr>
      <w:tr w14:paraId="673CF588">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15" w:hRule="atLeast"/>
        </w:trPr>
        <w:tc>
          <w:tcPr>
            <w:tcW w:w="1724" w:type="dxa"/>
            <w:tcBorders>
              <w:top w:val="nil"/>
              <w:left w:val="single" w:color="auto" w:sz="6" w:space="0"/>
              <w:bottom w:val="nil"/>
              <w:right w:val="single" w:color="auto" w:sz="6" w:space="0"/>
            </w:tcBorders>
            <w:shd w:val="clear" w:color="auto" w:fill="auto"/>
            <w:tcMar>
              <w:left w:w="105" w:type="dxa"/>
              <w:right w:w="105" w:type="dxa"/>
            </w:tcMar>
            <w:vAlign w:val="top"/>
          </w:tcPr>
          <w:p w14:paraId="3972714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default" w:ascii="Times New Roman" w:hAnsi="Times New Roman" w:eastAsia="宋体" w:cs="Times New Roman"/>
                <w:sz w:val="27"/>
                <w:szCs w:val="27"/>
              </w:rPr>
              <w:t>01</w:t>
            </w:r>
          </w:p>
        </w:tc>
        <w:tc>
          <w:tcPr>
            <w:tcW w:w="3958" w:type="dxa"/>
            <w:tcBorders>
              <w:top w:val="nil"/>
              <w:left w:val="single" w:color="auto" w:sz="6" w:space="0"/>
              <w:bottom w:val="nil"/>
              <w:right w:val="single" w:color="auto" w:sz="6" w:space="0"/>
            </w:tcBorders>
            <w:shd w:val="clear" w:color="auto" w:fill="auto"/>
            <w:tcMar>
              <w:left w:w="105" w:type="dxa"/>
              <w:right w:w="105" w:type="dxa"/>
            </w:tcMar>
            <w:vAlign w:val="top"/>
          </w:tcPr>
          <w:p w14:paraId="7D3EB4D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p>
        </w:tc>
        <w:tc>
          <w:tcPr>
            <w:tcW w:w="2834" w:type="dxa"/>
            <w:tcBorders>
              <w:top w:val="nil"/>
              <w:left w:val="single" w:color="auto" w:sz="6" w:space="0"/>
              <w:bottom w:val="nil"/>
              <w:right w:val="single" w:color="auto" w:sz="6" w:space="0"/>
            </w:tcBorders>
            <w:shd w:val="clear" w:color="auto" w:fill="auto"/>
            <w:tcMar>
              <w:left w:w="105" w:type="dxa"/>
              <w:right w:w="105" w:type="dxa"/>
            </w:tcMar>
            <w:vAlign w:val="top"/>
          </w:tcPr>
          <w:p w14:paraId="29C97E9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财政拨款</w:t>
            </w:r>
          </w:p>
        </w:tc>
      </w:tr>
      <w:tr w14:paraId="48AB79AB">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15" w:hRule="atLeast"/>
        </w:trPr>
        <w:tc>
          <w:tcPr>
            <w:tcW w:w="1724" w:type="dxa"/>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14:paraId="7F33694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rFonts w:hint="default" w:ascii="Times New Roman" w:hAnsi="Times New Roman" w:eastAsia="宋体" w:cs="Times New Roman"/>
                <w:sz w:val="27"/>
                <w:szCs w:val="27"/>
                <w:lang w:val="en-US" w:eastAsia="zh-CN"/>
              </w:rPr>
            </w:pPr>
            <w:r>
              <w:rPr>
                <w:rFonts w:hint="eastAsia" w:ascii="Times New Roman" w:hAnsi="Times New Roman" w:eastAsia="宋体" w:cs="Times New Roman"/>
                <w:sz w:val="27"/>
                <w:szCs w:val="27"/>
                <w:lang w:val="en-US" w:eastAsia="zh-CN"/>
              </w:rPr>
              <w:t>02</w:t>
            </w:r>
          </w:p>
        </w:tc>
        <w:tc>
          <w:tcPr>
            <w:tcW w:w="3958" w:type="dxa"/>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14:paraId="1C847B0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rFonts w:hint="default" w:ascii="宋体" w:hAnsi="宋体" w:eastAsia="宋体" w:cs="宋体"/>
                <w:sz w:val="27"/>
                <w:szCs w:val="27"/>
                <w:lang w:val="en-US" w:eastAsia="zh-CN"/>
              </w:rPr>
            </w:pPr>
            <w:r>
              <w:rPr>
                <w:rFonts w:hint="eastAsia" w:ascii="宋体" w:hAnsi="宋体" w:eastAsia="宋体" w:cs="宋体"/>
                <w:sz w:val="27"/>
                <w:szCs w:val="27"/>
                <w:lang w:val="en-US" w:eastAsia="zh-CN"/>
              </w:rPr>
              <w:t>潜江市老新镇财政管理所</w:t>
            </w:r>
          </w:p>
        </w:tc>
        <w:tc>
          <w:tcPr>
            <w:tcW w:w="2834" w:type="dxa"/>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14:paraId="64E5735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rFonts w:hint="eastAsia" w:ascii="宋体" w:hAnsi="宋体" w:eastAsia="宋体" w:cs="宋体"/>
                <w:sz w:val="27"/>
                <w:szCs w:val="27"/>
              </w:rPr>
            </w:pPr>
            <w:r>
              <w:rPr>
                <w:rFonts w:hint="eastAsia" w:ascii="宋体" w:hAnsi="宋体" w:eastAsia="宋体" w:cs="宋体"/>
                <w:sz w:val="27"/>
                <w:szCs w:val="27"/>
              </w:rPr>
              <w:t>财政拨款</w:t>
            </w:r>
          </w:p>
        </w:tc>
      </w:tr>
    </w:tbl>
    <w:p w14:paraId="789D5EF4">
      <w:pPr>
        <w:ind w:firstLine="640"/>
        <w:jc w:val="both"/>
        <w:rPr>
          <w:rFonts w:hint="default" w:ascii="仿宋_GB2312" w:hAnsi="仿宋_GB2312" w:cs="仿宋_GB2312"/>
          <w:b/>
          <w:bCs/>
          <w:sz w:val="32"/>
          <w:szCs w:val="32"/>
          <w:lang w:val="en-US" w:eastAsia="zh-CN"/>
        </w:rPr>
      </w:pPr>
      <w:r>
        <w:rPr>
          <w:rFonts w:hint="eastAsia" w:ascii="仿宋_GB2312" w:hAnsi="仿宋_GB2312" w:cs="仿宋_GB2312"/>
          <w:b/>
          <w:bCs/>
          <w:sz w:val="32"/>
          <w:szCs w:val="32"/>
          <w:lang w:val="en-US" w:eastAsia="zh-CN"/>
        </w:rPr>
        <w:t>（单户表和单位决算填写内部机构设置情况。）</w:t>
      </w:r>
    </w:p>
    <w:p w14:paraId="674DBBA8">
      <w:pPr>
        <w:ind w:firstLine="640"/>
        <w:jc w:val="both"/>
        <w:rPr>
          <w:rFonts w:hint="eastAsia" w:ascii="黑体" w:hAnsi="黑体" w:eastAsia="黑体" w:cs="黑体"/>
          <w:sz w:val="32"/>
          <w:szCs w:val="32"/>
          <w:lang w:eastAsia="zh-CN"/>
        </w:rPr>
      </w:pPr>
      <w:r>
        <w:rPr>
          <w:rFonts w:hint="eastAsia" w:ascii="黑体" w:hAnsi="黑体" w:eastAsia="黑体" w:cs="黑体"/>
          <w:sz w:val="32"/>
          <w:szCs w:val="32"/>
          <w:lang w:val="en-US" w:eastAsia="zh-CN"/>
        </w:rPr>
        <w:t>第二部分  2022年度</w:t>
      </w:r>
      <w:r>
        <w:rPr>
          <w:rFonts w:hint="eastAsia" w:ascii="黑体" w:hAnsi="黑体" w:eastAsia="黑体" w:cs="黑体"/>
          <w:sz w:val="32"/>
          <w:szCs w:val="32"/>
        </w:rPr>
        <w:t>部门决算</w:t>
      </w:r>
      <w:r>
        <w:rPr>
          <w:rFonts w:hint="eastAsia" w:ascii="黑体" w:hAnsi="黑体" w:eastAsia="黑体" w:cs="黑体"/>
          <w:sz w:val="32"/>
          <w:szCs w:val="32"/>
          <w:lang w:eastAsia="zh-CN"/>
        </w:rPr>
        <w:t>表</w:t>
      </w:r>
    </w:p>
    <w:p w14:paraId="494BB8FE">
      <w:pPr>
        <w:adjustRightInd w:val="0"/>
        <w:snapToGrid w:val="0"/>
        <w:spacing w:line="580" w:lineRule="atLeast"/>
        <w:ind w:right="-781" w:rightChars="-244"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一、收入支出决算总表</w:t>
      </w:r>
    </w:p>
    <w:p w14:paraId="10539446">
      <w:pPr>
        <w:adjustRightInd w:val="0"/>
        <w:snapToGrid w:val="0"/>
        <w:spacing w:line="580" w:lineRule="atLeast"/>
        <w:ind w:right="-781" w:rightChars="-244"/>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25" o:spt="75" type="#_x0000_t75" style="height:345pt;width:415.25pt;" o:ole="t" filled="f" o:preferrelative="t" stroked="f" coordsize="21600,21600">
            <v:path/>
            <v:fill on="f" focussize="0,0"/>
            <v:stroke on="f"/>
            <v:imagedata r:id="rId6" o:title=""/>
            <o:lock v:ext="edit" aspectratio="f"/>
            <w10:wrap type="none"/>
            <w10:anchorlock/>
          </v:shape>
          <o:OLEObject Type="Embed" ProgID="Excel.Sheet.8" ShapeID="_x0000_i1025" DrawAspect="Content" ObjectID="_1468075725" r:id="rId5">
            <o:LockedField>false</o:LockedField>
          </o:OLEObject>
        </w:object>
      </w:r>
      <w:r>
        <w:rPr>
          <w:rFonts w:hint="eastAsia" w:ascii="黑体" w:hAnsi="黑体" w:eastAsia="黑体" w:cs="黑体"/>
          <w:bCs/>
          <w:sz w:val="32"/>
          <w:szCs w:val="32"/>
          <w:highlight w:val="none"/>
        </w:rPr>
        <w:object>
          <v:shape id="_x0000_i1026" o:spt="75" type="#_x0000_t75" style="height:345pt;width:415.25pt;" o:ole="t" filled="f" o:preferrelative="t" stroked="f" coordsize="21600,21600">
            <v:path/>
            <v:fill on="f" focussize="0,0"/>
            <v:stroke on="f"/>
            <v:imagedata r:id="rId8" o:title=""/>
            <o:lock v:ext="edit" aspectratio="f"/>
            <w10:wrap type="none"/>
            <w10:anchorlock/>
          </v:shape>
          <o:OLEObject Type="Embed" ProgID="Excel.Sheet.8" ShapeID="_x0000_i1026" DrawAspect="Content" ObjectID="_1468075726" r:id="rId7">
            <o:LockedField>false</o:LockedField>
          </o:OLEObject>
        </w:object>
      </w:r>
      <w:r>
        <w:rPr>
          <w:rFonts w:hint="eastAsia" w:ascii="黑体" w:hAnsi="黑体" w:eastAsia="黑体" w:cs="黑体"/>
          <w:bCs/>
          <w:sz w:val="32"/>
          <w:szCs w:val="32"/>
          <w:highlight w:val="none"/>
        </w:rPr>
        <w:object>
          <v:shape id="_x0000_i1027" o:spt="75" type="#_x0000_t75" style="height:345pt;width:415.25pt;" o:ole="t" filled="f" o:preferrelative="t" stroked="f" coordsize="21600,21600">
            <v:path/>
            <v:fill on="f" focussize="0,0"/>
            <v:stroke on="f"/>
            <v:imagedata r:id="rId10" o:title=""/>
            <o:lock v:ext="edit" aspectratio="f"/>
            <w10:wrap type="none"/>
            <w10:anchorlock/>
          </v:shape>
          <o:OLEObject Type="Embed" ProgID="Excel.Sheet.8" ShapeID="_x0000_i1027" DrawAspect="Content" ObjectID="_1468075727" r:id="rId9">
            <o:LockedField>false</o:LockedField>
          </o:OLEObject>
        </w:object>
      </w:r>
    </w:p>
    <w:p w14:paraId="3C114EDD">
      <w:pPr>
        <w:numPr>
          <w:ilvl w:val="0"/>
          <w:numId w:val="1"/>
        </w:num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收入决算表</w:t>
      </w:r>
    </w:p>
    <w:p w14:paraId="13338AB2">
      <w:pPr>
        <w:numPr>
          <w:ilvl w:val="0"/>
          <w:numId w:val="0"/>
        </w:numPr>
        <w:adjustRightInd w:val="0"/>
        <w:snapToGrid w:val="0"/>
        <w:spacing w:line="580" w:lineRule="atLeast"/>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28" o:spt="75" type="#_x0000_t75" style="height:128.05pt;width:414.7pt;" o:ole="t" filled="f" o:preferrelative="t" stroked="f" coordsize="21600,21600">
            <v:path/>
            <v:fill on="f" focussize="0,0"/>
            <v:stroke on="f"/>
            <v:imagedata r:id="rId12" o:title=""/>
            <o:lock v:ext="edit" aspectratio="f"/>
            <w10:wrap type="none"/>
            <w10:anchorlock/>
          </v:shape>
          <o:OLEObject Type="Embed" ProgID="Excel.Sheet.8" ShapeID="_x0000_i1028" DrawAspect="Content" ObjectID="_1468075728" r:id="rId11">
            <o:LockedField>false</o:LockedField>
          </o:OLEObject>
        </w:object>
      </w:r>
      <w:r>
        <w:rPr>
          <w:rFonts w:hint="eastAsia" w:ascii="黑体" w:hAnsi="黑体" w:eastAsia="黑体" w:cs="黑体"/>
          <w:bCs/>
          <w:sz w:val="32"/>
          <w:szCs w:val="32"/>
          <w:highlight w:val="none"/>
        </w:rPr>
        <w:object>
          <v:shape id="_x0000_i1029" o:spt="75" type="#_x0000_t75" style="height:128.05pt;width:414.7pt;" o:ole="t" filled="f" o:preferrelative="t" stroked="f" coordsize="21600,21600">
            <v:path/>
            <v:fill on="f" focussize="0,0"/>
            <v:stroke on="f"/>
            <v:imagedata r:id="rId14" o:title=""/>
            <o:lock v:ext="edit" aspectratio="f"/>
            <w10:wrap type="none"/>
            <w10:anchorlock/>
          </v:shape>
          <o:OLEObject Type="Embed" ProgID="Excel.Sheet.8" ShapeID="_x0000_i1029" DrawAspect="Content" ObjectID="_1468075729" r:id="rId13">
            <o:LockedField>false</o:LockedField>
          </o:OLEObject>
        </w:object>
      </w:r>
      <w:r>
        <w:rPr>
          <w:rFonts w:hint="eastAsia" w:ascii="黑体" w:hAnsi="黑体" w:eastAsia="黑体" w:cs="黑体"/>
          <w:bCs/>
          <w:sz w:val="32"/>
          <w:szCs w:val="32"/>
          <w:highlight w:val="none"/>
        </w:rPr>
        <w:object>
          <v:shape id="_x0000_i1030" o:spt="75" type="#_x0000_t75" style="height:128.05pt;width:414.7pt;" o:ole="t" filled="f" o:preferrelative="t" stroked="f" coordsize="21600,21600">
            <v:path/>
            <v:fill on="f" focussize="0,0"/>
            <v:stroke on="f"/>
            <v:imagedata r:id="rId16" o:title=""/>
            <o:lock v:ext="edit" aspectratio="f"/>
            <w10:wrap type="none"/>
            <w10:anchorlock/>
          </v:shape>
          <o:OLEObject Type="Embed" ProgID="Excel.Sheet.8" ShapeID="_x0000_i1030" DrawAspect="Content" ObjectID="_1468075730" r:id="rId15">
            <o:LockedField>false</o:LockedField>
          </o:OLEObject>
        </w:object>
      </w:r>
    </w:p>
    <w:p w14:paraId="08AB98EE">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支出决算表</w:t>
      </w:r>
    </w:p>
    <w:p w14:paraId="31209E57">
      <w:pPr>
        <w:numPr>
          <w:ilvl w:val="0"/>
          <w:numId w:val="0"/>
        </w:numPr>
        <w:adjustRightInd w:val="0"/>
        <w:snapToGrid w:val="0"/>
        <w:spacing w:line="580" w:lineRule="atLeast"/>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31" o:spt="75" type="#_x0000_t75" style="height:142.7pt;width:414.6pt;" o:ole="t" filled="f" o:preferrelative="t" stroked="f" coordsize="21600,21600">
            <v:path/>
            <v:fill on="f" focussize="0,0"/>
            <v:stroke on="f"/>
            <v:imagedata r:id="rId18" o:title=""/>
            <o:lock v:ext="edit" aspectratio="f"/>
            <w10:wrap type="none"/>
            <w10:anchorlock/>
          </v:shape>
          <o:OLEObject Type="Embed" ProgID="Excel.Sheet.8" ShapeID="_x0000_i1031" DrawAspect="Content" ObjectID="_1468075731" r:id="rId17">
            <o:LockedField>false</o:LockedField>
          </o:OLEObject>
        </w:object>
      </w:r>
      <w:r>
        <w:rPr>
          <w:rFonts w:hint="eastAsia" w:ascii="黑体" w:hAnsi="黑体" w:eastAsia="黑体" w:cs="黑体"/>
          <w:bCs/>
          <w:sz w:val="32"/>
          <w:szCs w:val="32"/>
          <w:highlight w:val="none"/>
        </w:rPr>
        <w:object>
          <v:shape id="_x0000_i1032" o:spt="75" type="#_x0000_t75" style="height:142.7pt;width:414.6pt;" o:ole="t" filled="f" o:preferrelative="t" stroked="f" coordsize="21600,21600">
            <v:path/>
            <v:fill on="f" focussize="0,0"/>
            <v:stroke on="f"/>
            <v:imagedata r:id="rId20" o:title=""/>
            <o:lock v:ext="edit" aspectratio="f"/>
            <w10:wrap type="none"/>
            <w10:anchorlock/>
          </v:shape>
          <o:OLEObject Type="Embed" ProgID="Excel.Sheet.8" ShapeID="_x0000_i1032" DrawAspect="Content" ObjectID="_1468075732" r:id="rId19">
            <o:LockedField>false</o:LockedField>
          </o:OLEObject>
        </w:object>
      </w:r>
      <w:r>
        <w:rPr>
          <w:rFonts w:hint="eastAsia" w:ascii="黑体" w:hAnsi="黑体" w:eastAsia="黑体" w:cs="黑体"/>
          <w:bCs/>
          <w:sz w:val="32"/>
          <w:szCs w:val="32"/>
          <w:highlight w:val="none"/>
        </w:rPr>
        <w:object>
          <v:shape id="_x0000_i1033" o:spt="75" type="#_x0000_t75" style="height:142.7pt;width:414.6pt;" o:ole="t" filled="f" o:preferrelative="t" stroked="f" coordsize="21600,21600">
            <v:path/>
            <v:fill on="f" focussize="0,0"/>
            <v:stroke on="f"/>
            <v:imagedata r:id="rId22" o:title=""/>
            <o:lock v:ext="edit" aspectratio="f"/>
            <w10:wrap type="none"/>
            <w10:anchorlock/>
          </v:shape>
          <o:OLEObject Type="Embed" ProgID="Excel.Sheet.8" ShapeID="_x0000_i1033" DrawAspect="Content" ObjectID="_1468075733" r:id="rId21">
            <o:LockedField>false</o:LockedField>
          </o:OLEObject>
        </w:object>
      </w:r>
    </w:p>
    <w:p w14:paraId="01FC2FA6">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财政拨款收入支出决算总表</w:t>
      </w:r>
    </w:p>
    <w:p w14:paraId="32768386">
      <w:pPr>
        <w:numPr>
          <w:ilvl w:val="0"/>
          <w:numId w:val="0"/>
        </w:numPr>
        <w:adjustRightInd w:val="0"/>
        <w:snapToGrid w:val="0"/>
        <w:spacing w:line="580" w:lineRule="atLeast"/>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34" o:spt="75" type="#_x0000_t75" style="height:307.25pt;width:414.65pt;" o:ole="t" filled="f" o:preferrelative="t" stroked="f" coordsize="21600,21600">
            <v:path/>
            <v:fill on="f" focussize="0,0"/>
            <v:stroke on="f"/>
            <v:imagedata r:id="rId24" o:title=""/>
            <o:lock v:ext="edit" aspectratio="f"/>
            <w10:wrap type="none"/>
            <w10:anchorlock/>
          </v:shape>
          <o:OLEObject Type="Embed" ProgID="Excel.Sheet.8" ShapeID="_x0000_i1034" DrawAspect="Content" ObjectID="_1468075734" r:id="rId23">
            <o:LockedField>false</o:LockedField>
          </o:OLEObject>
        </w:object>
      </w:r>
      <w:r>
        <w:rPr>
          <w:rFonts w:hint="eastAsia" w:ascii="黑体" w:hAnsi="黑体" w:eastAsia="黑体" w:cs="黑体"/>
          <w:bCs/>
          <w:sz w:val="32"/>
          <w:szCs w:val="32"/>
          <w:highlight w:val="none"/>
        </w:rPr>
        <w:object>
          <v:shape id="_x0000_i1035" o:spt="75" type="#_x0000_t75" style="height:307.25pt;width:414.65pt;" o:ole="t" filled="f" o:preferrelative="t" stroked="f" coordsize="21600,21600">
            <v:path/>
            <v:fill on="f" focussize="0,0"/>
            <v:stroke on="f"/>
            <v:imagedata r:id="rId26" o:title=""/>
            <o:lock v:ext="edit" aspectratio="f"/>
            <w10:wrap type="none"/>
            <w10:anchorlock/>
          </v:shape>
          <o:OLEObject Type="Embed" ProgID="Excel.Sheet.8" ShapeID="_x0000_i1035" DrawAspect="Content" ObjectID="_1468075735" r:id="rId25">
            <o:LockedField>false</o:LockedField>
          </o:OLEObject>
        </w:object>
      </w:r>
      <w:r>
        <w:rPr>
          <w:rFonts w:hint="eastAsia" w:ascii="黑体" w:hAnsi="黑体" w:eastAsia="黑体" w:cs="黑体"/>
          <w:bCs/>
          <w:sz w:val="32"/>
          <w:szCs w:val="32"/>
          <w:highlight w:val="none"/>
        </w:rPr>
        <w:object>
          <v:shape id="_x0000_i1036" o:spt="75" type="#_x0000_t75" style="height:307.25pt;width:414.65pt;" o:ole="t" filled="f" o:preferrelative="t" stroked="f" coordsize="21600,21600">
            <v:path/>
            <v:fill on="f" focussize="0,0"/>
            <v:stroke on="f"/>
            <v:imagedata r:id="rId28" o:title=""/>
            <o:lock v:ext="edit" aspectratio="f"/>
            <w10:wrap type="none"/>
            <w10:anchorlock/>
          </v:shape>
          <o:OLEObject Type="Embed" ProgID="Excel.Sheet.8" ShapeID="_x0000_i1036" DrawAspect="Content" ObjectID="_1468075736" r:id="rId27">
            <o:LockedField>false</o:LockedField>
          </o:OLEObject>
        </w:object>
      </w:r>
    </w:p>
    <w:p w14:paraId="0ECC34C3">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一般公共预算财政拨款支出决算表</w:t>
      </w:r>
    </w:p>
    <w:p w14:paraId="731C6464">
      <w:pPr>
        <w:numPr>
          <w:ilvl w:val="0"/>
          <w:numId w:val="0"/>
        </w:numPr>
        <w:adjustRightInd w:val="0"/>
        <w:snapToGrid w:val="0"/>
        <w:spacing w:line="580" w:lineRule="atLeast"/>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37" o:spt="75" type="#_x0000_t75" style="height:190.9pt;width:414.75pt;" o:ole="t" filled="f" o:preferrelative="t" stroked="f" coordsize="21600,21600">
            <v:path/>
            <v:fill on="f" focussize="0,0"/>
            <v:stroke on="f"/>
            <v:imagedata r:id="rId30" o:title=""/>
            <o:lock v:ext="edit" aspectratio="f"/>
            <w10:wrap type="none"/>
            <w10:anchorlock/>
          </v:shape>
          <o:OLEObject Type="Embed" ProgID="Excel.Sheet.8" ShapeID="_x0000_i1037" DrawAspect="Content" ObjectID="_1468075737" r:id="rId29">
            <o:LockedField>false</o:LockedField>
          </o:OLEObject>
        </w:object>
      </w:r>
      <w:r>
        <w:rPr>
          <w:rFonts w:hint="eastAsia" w:ascii="黑体" w:hAnsi="黑体" w:eastAsia="黑体" w:cs="黑体"/>
          <w:bCs/>
          <w:sz w:val="32"/>
          <w:szCs w:val="32"/>
          <w:highlight w:val="none"/>
        </w:rPr>
        <w:object>
          <v:shape id="_x0000_i1038" o:spt="75" type="#_x0000_t75" style="height:190.9pt;width:414.75pt;" o:ole="t" filled="f" o:preferrelative="t" stroked="f" coordsize="21600,21600">
            <v:path/>
            <v:fill on="f" focussize="0,0"/>
            <v:stroke on="f"/>
            <v:imagedata r:id="rId32" o:title=""/>
            <o:lock v:ext="edit" aspectratio="f"/>
            <w10:wrap type="none"/>
            <w10:anchorlock/>
          </v:shape>
          <o:OLEObject Type="Embed" ProgID="Excel.Sheet.8" ShapeID="_x0000_i1038" DrawAspect="Content" ObjectID="_1468075738" r:id="rId31">
            <o:LockedField>false</o:LockedField>
          </o:OLEObject>
        </w:object>
      </w:r>
      <w:r>
        <w:rPr>
          <w:rFonts w:hint="eastAsia" w:ascii="黑体" w:hAnsi="黑体" w:eastAsia="黑体" w:cs="黑体"/>
          <w:bCs/>
          <w:sz w:val="32"/>
          <w:szCs w:val="32"/>
          <w:highlight w:val="none"/>
        </w:rPr>
        <w:object>
          <v:shape id="_x0000_i1039" o:spt="75" type="#_x0000_t75" style="height:190.9pt;width:414.75pt;" o:ole="t" filled="f" o:preferrelative="t" stroked="f" coordsize="21600,21600">
            <v:path/>
            <v:fill on="f" focussize="0,0"/>
            <v:stroke on="f"/>
            <v:imagedata r:id="rId34" o:title=""/>
            <o:lock v:ext="edit" aspectratio="f"/>
            <w10:wrap type="none"/>
            <w10:anchorlock/>
          </v:shape>
          <o:OLEObject Type="Embed" ProgID="Excel.Sheet.8" ShapeID="_x0000_i1039" DrawAspect="Content" ObjectID="_1468075739" r:id="rId33">
            <o:LockedField>false</o:LockedField>
          </o:OLEObject>
        </w:object>
      </w:r>
    </w:p>
    <w:p w14:paraId="0EA690EC">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一般公共预算财政拨款基本支出决算</w:t>
      </w:r>
      <w:r>
        <w:rPr>
          <w:rFonts w:hint="eastAsia" w:ascii="黑体" w:hAnsi="黑体" w:eastAsia="黑体" w:cs="黑体"/>
          <w:bCs/>
          <w:sz w:val="32"/>
          <w:szCs w:val="32"/>
          <w:highlight w:val="none"/>
          <w:lang w:eastAsia="zh-CN"/>
        </w:rPr>
        <w:t>明细</w:t>
      </w:r>
      <w:r>
        <w:rPr>
          <w:rFonts w:hint="eastAsia" w:ascii="黑体" w:hAnsi="黑体" w:eastAsia="黑体" w:cs="黑体"/>
          <w:bCs/>
          <w:sz w:val="32"/>
          <w:szCs w:val="32"/>
          <w:highlight w:val="none"/>
        </w:rPr>
        <w:t>表</w:t>
      </w:r>
    </w:p>
    <w:p w14:paraId="5DBF7B46">
      <w:pPr>
        <w:numPr>
          <w:ilvl w:val="0"/>
          <w:numId w:val="0"/>
        </w:numPr>
        <w:adjustRightInd w:val="0"/>
        <w:snapToGrid w:val="0"/>
        <w:spacing w:line="580" w:lineRule="atLeast"/>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40" o:spt="75" type="#_x0000_t75" style="height:243pt;width:415.15pt;" o:ole="t" filled="f" o:preferrelative="t" stroked="f" coordsize="21600,21600">
            <v:path/>
            <v:fill on="f" focussize="0,0"/>
            <v:stroke on="f"/>
            <v:imagedata r:id="rId36" o:title=""/>
            <o:lock v:ext="edit" aspectratio="f"/>
            <w10:wrap type="none"/>
            <w10:anchorlock/>
          </v:shape>
          <o:OLEObject Type="Embed" ProgID="Excel.Sheet.8" ShapeID="_x0000_i1040" DrawAspect="Content" ObjectID="_1468075740" r:id="rId35">
            <o:LockedField>false</o:LockedField>
          </o:OLEObject>
        </w:object>
      </w:r>
      <w:r>
        <w:rPr>
          <w:rFonts w:hint="eastAsia" w:ascii="黑体" w:hAnsi="黑体" w:eastAsia="黑体" w:cs="黑体"/>
          <w:bCs/>
          <w:sz w:val="32"/>
          <w:szCs w:val="32"/>
          <w:highlight w:val="none"/>
        </w:rPr>
        <w:object>
          <v:shape id="_x0000_i1041" o:spt="75" type="#_x0000_t75" style="height:243pt;width:415.15pt;" o:ole="t" filled="f" o:preferrelative="t" stroked="f" coordsize="21600,21600">
            <v:path/>
            <v:fill on="f" focussize="0,0"/>
            <v:stroke on="f"/>
            <v:imagedata r:id="rId38" o:title=""/>
            <o:lock v:ext="edit" aspectratio="f"/>
            <w10:wrap type="none"/>
            <w10:anchorlock/>
          </v:shape>
          <o:OLEObject Type="Embed" ProgID="Excel.Sheet.8" ShapeID="_x0000_i1041" DrawAspect="Content" ObjectID="_1468075741" r:id="rId37">
            <o:LockedField>false</o:LockedField>
          </o:OLEObject>
        </w:object>
      </w:r>
      <w:r>
        <w:rPr>
          <w:rFonts w:hint="eastAsia" w:ascii="黑体" w:hAnsi="黑体" w:eastAsia="黑体" w:cs="黑体"/>
          <w:bCs/>
          <w:sz w:val="32"/>
          <w:szCs w:val="32"/>
          <w:highlight w:val="none"/>
        </w:rPr>
        <w:object>
          <v:shape id="_x0000_i1042" o:spt="75" type="#_x0000_t75" style="height:243pt;width:415.15pt;" o:ole="t" filled="f" o:preferrelative="t" stroked="f" coordsize="21600,21600">
            <v:path/>
            <v:fill on="f" focussize="0,0"/>
            <v:stroke on="f"/>
            <v:imagedata r:id="rId40" o:title=""/>
            <o:lock v:ext="edit" aspectratio="f"/>
            <w10:wrap type="none"/>
            <w10:anchorlock/>
          </v:shape>
          <o:OLEObject Type="Embed" ProgID="Excel.Sheet.8" ShapeID="_x0000_i1042" DrawAspect="Content" ObjectID="_1468075742" r:id="rId39">
            <o:LockedField>false</o:LockedField>
          </o:OLEObject>
        </w:object>
      </w:r>
    </w:p>
    <w:p w14:paraId="332C34C8">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政府性基金预算财政拨款收入支出决算表</w:t>
      </w:r>
    </w:p>
    <w:p w14:paraId="402FDB9D">
      <w:pPr>
        <w:numPr>
          <w:ilvl w:val="0"/>
          <w:numId w:val="0"/>
        </w:numPr>
        <w:adjustRightInd w:val="0"/>
        <w:snapToGrid w:val="0"/>
        <w:spacing w:line="580" w:lineRule="atLeast"/>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43" o:spt="75" type="#_x0000_t75" style="height:133.65pt;width:415.15pt;" o:ole="t" filled="f" o:preferrelative="t" stroked="f" coordsize="21600,21600">
            <v:path/>
            <v:fill on="f" focussize="0,0"/>
            <v:stroke on="f"/>
            <v:imagedata r:id="rId42" o:title=""/>
            <o:lock v:ext="edit" aspectratio="f"/>
            <w10:wrap type="none"/>
            <w10:anchorlock/>
          </v:shape>
          <o:OLEObject Type="Embed" ProgID="Excel.Sheet.8" ShapeID="_x0000_i1043" DrawAspect="Content" ObjectID="_1468075743" r:id="rId41">
            <o:LockedField>false</o:LockedField>
          </o:OLEObject>
        </w:object>
      </w:r>
      <w:r>
        <w:rPr>
          <w:rFonts w:hint="eastAsia" w:ascii="黑体" w:hAnsi="黑体" w:eastAsia="黑体" w:cs="黑体"/>
          <w:bCs/>
          <w:sz w:val="32"/>
          <w:szCs w:val="32"/>
          <w:highlight w:val="none"/>
        </w:rPr>
        <w:object>
          <v:shape id="_x0000_i1044" o:spt="75" type="#_x0000_t75" style="height:133.65pt;width:415.15pt;" o:ole="t" filled="f" o:preferrelative="t" stroked="f" coordsize="21600,21600">
            <v:path/>
            <v:fill on="f" focussize="0,0"/>
            <v:stroke on="f"/>
            <v:imagedata r:id="rId44" o:title=""/>
            <o:lock v:ext="edit" aspectratio="f"/>
            <w10:wrap type="none"/>
            <w10:anchorlock/>
          </v:shape>
          <o:OLEObject Type="Embed" ProgID="Excel.Sheet.8" ShapeID="_x0000_i1044" DrawAspect="Content" ObjectID="_1468075744" r:id="rId43">
            <o:LockedField>false</o:LockedField>
          </o:OLEObject>
        </w:object>
      </w:r>
      <w:r>
        <w:rPr>
          <w:rFonts w:hint="eastAsia" w:ascii="黑体" w:hAnsi="黑体" w:eastAsia="黑体" w:cs="黑体"/>
          <w:bCs/>
          <w:sz w:val="32"/>
          <w:szCs w:val="32"/>
          <w:highlight w:val="none"/>
        </w:rPr>
        <w:object>
          <v:shape id="_x0000_i1045" o:spt="75" type="#_x0000_t75" style="height:133.65pt;width:415.15pt;" o:ole="t" filled="f" o:preferrelative="t" stroked="f" coordsize="21600,21600">
            <v:path/>
            <v:fill on="f" focussize="0,0"/>
            <v:stroke on="f"/>
            <v:imagedata r:id="rId46" o:title=""/>
            <o:lock v:ext="edit" aspectratio="f"/>
            <w10:wrap type="none"/>
            <w10:anchorlock/>
          </v:shape>
          <o:OLEObject Type="Embed" ProgID="Excel.Sheet.8" ShapeID="_x0000_i1045" DrawAspect="Content" ObjectID="_1468075745" r:id="rId45">
            <o:LockedField>false</o:LockedField>
          </o:OLEObject>
        </w:object>
      </w:r>
    </w:p>
    <w:p w14:paraId="6855259E">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国有资本经营预算财政拨款支出决算表</w:t>
      </w:r>
    </w:p>
    <w:p w14:paraId="4E5A7A0F">
      <w:pPr>
        <w:numPr>
          <w:ilvl w:val="0"/>
          <w:numId w:val="0"/>
        </w:numPr>
        <w:adjustRightInd w:val="0"/>
        <w:snapToGrid w:val="0"/>
        <w:spacing w:line="580" w:lineRule="atLeast"/>
        <w:rPr>
          <w:rFonts w:hint="eastAsia" w:ascii="黑体" w:hAnsi="黑体" w:eastAsia="黑体" w:cs="黑体"/>
          <w:bCs/>
          <w:sz w:val="32"/>
          <w:szCs w:val="32"/>
          <w:highlight w:val="none"/>
        </w:rPr>
      </w:pPr>
      <w:r>
        <w:rPr>
          <w:rFonts w:hint="eastAsia" w:ascii="黑体" w:hAnsi="黑体" w:eastAsia="黑体" w:cs="黑体"/>
          <w:bCs/>
          <w:sz w:val="32"/>
          <w:szCs w:val="32"/>
          <w:highlight w:val="none"/>
        </w:rPr>
        <w:object>
          <v:shape id="_x0000_i1046" o:spt="75" type="#_x0000_t75" style="height:200.95pt;width:414.95pt;" o:ole="t" filled="f" o:preferrelative="t" stroked="f" coordsize="21600,21600">
            <v:path/>
            <v:fill on="f" focussize="0,0"/>
            <v:stroke on="f"/>
            <v:imagedata r:id="rId48" o:title=""/>
            <o:lock v:ext="edit" aspectratio="f"/>
            <w10:wrap type="none"/>
            <w10:anchorlock/>
          </v:shape>
          <o:OLEObject Type="Embed" ProgID="Excel.Sheet.8" ShapeID="_x0000_i1046" DrawAspect="Content" ObjectID="_1468075746" r:id="rId47">
            <o:LockedField>false</o:LockedField>
          </o:OLEObject>
        </w:object>
      </w:r>
      <w:r>
        <w:rPr>
          <w:rFonts w:hint="eastAsia" w:ascii="黑体" w:hAnsi="黑体" w:eastAsia="黑体" w:cs="黑体"/>
          <w:bCs/>
          <w:sz w:val="32"/>
          <w:szCs w:val="32"/>
          <w:highlight w:val="none"/>
        </w:rPr>
        <w:object>
          <v:shape id="_x0000_i1047" o:spt="75" type="#_x0000_t75" style="height:200.95pt;width:414.95pt;" o:ole="t" filled="f" o:preferrelative="t" stroked="f" coordsize="21600,21600">
            <v:path/>
            <v:fill on="f" focussize="0,0"/>
            <v:stroke on="f"/>
            <v:imagedata r:id="rId50" o:title=""/>
            <o:lock v:ext="edit" aspectratio="f"/>
            <w10:wrap type="none"/>
            <w10:anchorlock/>
          </v:shape>
          <o:OLEObject Type="Embed" ProgID="Excel.Sheet.8" ShapeID="_x0000_i1047" DrawAspect="Content" ObjectID="_1468075747" r:id="rId49">
            <o:LockedField>false</o:LockedField>
          </o:OLEObject>
        </w:object>
      </w:r>
      <w:r>
        <w:rPr>
          <w:rFonts w:hint="eastAsia" w:ascii="黑体" w:hAnsi="黑体" w:eastAsia="黑体" w:cs="黑体"/>
          <w:bCs/>
          <w:sz w:val="32"/>
          <w:szCs w:val="32"/>
          <w:highlight w:val="none"/>
        </w:rPr>
        <w:object>
          <v:shape id="_x0000_i1048" o:spt="75" type="#_x0000_t75" style="height:200.95pt;width:414.95pt;" o:ole="t" filled="f" o:preferrelative="t" stroked="f" coordsize="21600,21600">
            <v:path/>
            <v:fill on="f" focussize="0,0"/>
            <v:stroke on="f"/>
            <v:imagedata r:id="rId52" o:title=""/>
            <o:lock v:ext="edit" aspectratio="f"/>
            <w10:wrap type="none"/>
            <w10:anchorlock/>
          </v:shape>
          <o:OLEObject Type="Embed" ProgID="Excel.Sheet.8" ShapeID="_x0000_i1048" DrawAspect="Content" ObjectID="_1468075748" r:id="rId51">
            <o:LockedField>false</o:LockedField>
          </o:OLEObject>
        </w:object>
      </w:r>
    </w:p>
    <w:p w14:paraId="4AD1F077">
      <w:p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lang w:val="en-US" w:eastAsia="zh-CN"/>
        </w:rPr>
        <w:t>九</w:t>
      </w:r>
      <w:r>
        <w:rPr>
          <w:rFonts w:hint="eastAsia" w:ascii="黑体" w:hAnsi="黑体" w:eastAsia="黑体" w:cs="黑体"/>
          <w:bCs/>
          <w:sz w:val="32"/>
          <w:szCs w:val="32"/>
          <w:highlight w:val="none"/>
        </w:rPr>
        <w:t>、一般公共预算财政拨款“三公”经费支出决算表</w:t>
      </w:r>
    </w:p>
    <w:p w14:paraId="03CFAE8C">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object>
          <v:shape id="_x0000_i1049" o:spt="75" type="#_x0000_t75" style="height:85.65pt;width:414.9pt;" o:ole="t" filled="f" o:preferrelative="t" stroked="f" coordsize="21600,21600">
            <v:path/>
            <v:fill on="f" focussize="0,0"/>
            <v:stroke on="f"/>
            <v:imagedata r:id="rId54" o:title=""/>
            <o:lock v:ext="edit" aspectratio="f"/>
            <w10:wrap type="none"/>
            <w10:anchorlock/>
          </v:shape>
          <o:OLEObject Type="Embed" ProgID="Excel.Sheet.8" ShapeID="_x0000_i1049" DrawAspect="Content" ObjectID="_1468075749" r:id="rId53">
            <o:LockedField>false</o:LockedField>
          </o:OLEObject>
        </w:object>
      </w:r>
      <w:r>
        <w:rPr>
          <w:rFonts w:hint="eastAsia" w:ascii="黑体" w:hAnsi="黑体" w:eastAsia="黑体" w:cs="黑体"/>
          <w:sz w:val="32"/>
          <w:szCs w:val="32"/>
          <w:lang w:val="en-US" w:eastAsia="zh-CN"/>
        </w:rPr>
        <w:object>
          <v:shape id="_x0000_i1050" o:spt="75" type="#_x0000_t75" style="height:85.65pt;width:414.9pt;" o:ole="t" filled="f" o:preferrelative="t" stroked="f" coordsize="21600,21600">
            <v:path/>
            <v:fill on="f" focussize="0,0"/>
            <v:stroke on="f"/>
            <v:imagedata r:id="rId56" o:title=""/>
            <o:lock v:ext="edit" aspectratio="f"/>
            <w10:wrap type="none"/>
            <w10:anchorlock/>
          </v:shape>
          <o:OLEObject Type="Embed" ProgID="Excel.Sheet.8" ShapeID="_x0000_i1050" DrawAspect="Content" ObjectID="_1468075750" r:id="rId55">
            <o:LockedField>false</o:LockedField>
          </o:OLEObject>
        </w:object>
      </w:r>
      <w:r>
        <w:rPr>
          <w:rFonts w:hint="eastAsia" w:ascii="黑体" w:hAnsi="黑体" w:eastAsia="黑体" w:cs="黑体"/>
          <w:sz w:val="32"/>
          <w:szCs w:val="32"/>
          <w:lang w:val="en-US" w:eastAsia="zh-CN"/>
        </w:rPr>
        <w:object>
          <v:shape id="_x0000_i1051" o:spt="75" type="#_x0000_t75" style="height:85.65pt;width:414.9pt;" o:ole="t" filled="f" o:preferrelative="t" stroked="f" coordsize="21600,21600">
            <v:path/>
            <v:fill on="f" focussize="0,0"/>
            <v:stroke on="f"/>
            <v:imagedata r:id="rId58" o:title=""/>
            <o:lock v:ext="edit" aspectratio="f"/>
            <w10:wrap type="none"/>
            <w10:anchorlock/>
          </v:shape>
          <o:OLEObject Type="Embed" ProgID="Excel.Sheet.8" ShapeID="_x0000_i1051" DrawAspect="Content" ObjectID="_1468075751" r:id="rId57">
            <o:LockedField>false</o:LockedField>
          </o:OLEObject>
        </w:object>
      </w:r>
    </w:p>
    <w:p w14:paraId="3F88742A">
      <w:pPr>
        <w:ind w:firstLine="64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（说明：表格以PDF格式公开，公开表格展现在正文中。）</w:t>
      </w:r>
    </w:p>
    <w:p w14:paraId="72274309">
      <w:pPr>
        <w:ind w:firstLine="64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第三部分  2022年度部门决算情况说明</w:t>
      </w:r>
    </w:p>
    <w:p w14:paraId="2FEDE06A">
      <w:p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一、收入支出决算总体情况说明</w:t>
      </w:r>
    </w:p>
    <w:p w14:paraId="6F40EB7D">
      <w:pPr>
        <w:adjustRightInd w:val="0"/>
        <w:snapToGrid w:val="0"/>
        <w:spacing w:line="580" w:lineRule="atLeast"/>
        <w:ind w:firstLine="640" w:firstLineChars="200"/>
        <w:rPr>
          <w:rFonts w:hint="eastAsia" w:ascii="仿宋_GB2312" w:hAnsi="宋体" w:eastAsia="仿宋_GB2312"/>
          <w:bCs/>
          <w:sz w:val="32"/>
          <w:szCs w:val="32"/>
          <w:highlight w:val="none"/>
          <w:u w:val="none"/>
          <w:lang w:val="en-US" w:eastAsia="zh-CN"/>
        </w:rPr>
      </w:pPr>
      <w:r>
        <w:rPr>
          <w:rFonts w:hint="eastAsia" w:ascii="仿宋_GB2312" w:hAnsi="宋体"/>
          <w:bCs/>
          <w:sz w:val="32"/>
          <w:szCs w:val="32"/>
          <w:highlight w:val="none"/>
          <w:u w:val="none"/>
          <w:lang w:val="en-US" w:eastAsia="zh-CN"/>
        </w:rPr>
        <w:t>2022年</w:t>
      </w:r>
      <w:r>
        <w:rPr>
          <w:rFonts w:hint="eastAsia" w:ascii="仿宋_GB2312" w:hAnsi="宋体" w:eastAsia="仿宋_GB2312"/>
          <w:bCs/>
          <w:sz w:val="32"/>
          <w:szCs w:val="32"/>
          <w:highlight w:val="none"/>
          <w:u w:val="none"/>
          <w:lang w:val="en-US" w:eastAsia="zh-CN"/>
        </w:rPr>
        <w:t>度收、支总计</w:t>
      </w:r>
      <w:r>
        <w:rPr>
          <w:rFonts w:hint="eastAsia" w:ascii="仿宋_GB2312" w:hAnsi="宋体"/>
          <w:bCs/>
          <w:sz w:val="32"/>
          <w:szCs w:val="32"/>
          <w:highlight w:val="none"/>
          <w:u w:val="none"/>
          <w:lang w:val="en-US" w:eastAsia="zh-CN"/>
        </w:rPr>
        <w:t>均为2465.32</w:t>
      </w:r>
      <w:r>
        <w:rPr>
          <w:rFonts w:hint="eastAsia" w:ascii="仿宋_GB2312" w:hAnsi="宋体" w:eastAsia="仿宋_GB2312"/>
          <w:bCs/>
          <w:sz w:val="32"/>
          <w:szCs w:val="32"/>
          <w:highlight w:val="none"/>
          <w:u w:val="none"/>
          <w:lang w:val="en-US" w:eastAsia="zh-CN"/>
        </w:rPr>
        <w:t>万元。与</w:t>
      </w:r>
      <w:r>
        <w:rPr>
          <w:rFonts w:hint="eastAsia" w:ascii="仿宋_GB2312" w:hAnsi="宋体"/>
          <w:bCs/>
          <w:sz w:val="32"/>
          <w:szCs w:val="32"/>
          <w:highlight w:val="none"/>
          <w:u w:val="none"/>
          <w:lang w:val="en-US" w:eastAsia="zh-CN"/>
        </w:rPr>
        <w:t>2021年</w:t>
      </w:r>
      <w:r>
        <w:rPr>
          <w:rFonts w:hint="eastAsia" w:ascii="仿宋_GB2312" w:hAnsi="宋体" w:eastAsia="仿宋_GB2312"/>
          <w:bCs/>
          <w:sz w:val="32"/>
          <w:szCs w:val="32"/>
          <w:highlight w:val="none"/>
          <w:u w:val="none"/>
          <w:lang w:val="en-US" w:eastAsia="zh-CN"/>
        </w:rPr>
        <w:t>度相比，收、支总计各增加</w:t>
      </w:r>
      <w:r>
        <w:rPr>
          <w:rFonts w:hint="eastAsia" w:ascii="仿宋_GB2312" w:hAnsi="宋体"/>
          <w:bCs/>
          <w:sz w:val="32"/>
          <w:szCs w:val="32"/>
          <w:highlight w:val="none"/>
          <w:u w:val="none"/>
          <w:lang w:val="en-US" w:eastAsia="zh-CN"/>
        </w:rPr>
        <w:t>482.37</w:t>
      </w:r>
      <w:r>
        <w:rPr>
          <w:rFonts w:hint="eastAsia" w:ascii="仿宋_GB2312" w:hAnsi="宋体" w:eastAsia="仿宋_GB2312"/>
          <w:bCs/>
          <w:sz w:val="32"/>
          <w:szCs w:val="32"/>
          <w:highlight w:val="none"/>
          <w:u w:val="none"/>
          <w:lang w:val="en-US" w:eastAsia="zh-CN"/>
        </w:rPr>
        <w:t>万元，增长</w:t>
      </w:r>
      <w:bookmarkStart w:id="0" w:name="_GoBack"/>
      <w:bookmarkEnd w:id="0"/>
      <w:r>
        <w:rPr>
          <w:rFonts w:hint="eastAsia" w:ascii="仿宋_GB2312" w:hAnsi="宋体"/>
          <w:bCs/>
          <w:sz w:val="32"/>
          <w:szCs w:val="32"/>
          <w:highlight w:val="none"/>
          <w:u w:val="none"/>
          <w:lang w:val="en-US" w:eastAsia="zh-CN"/>
        </w:rPr>
        <w:t>24.33</w:t>
      </w:r>
      <w:r>
        <w:rPr>
          <w:rFonts w:hint="eastAsia" w:ascii="仿宋_GB2312" w:hAnsi="宋体" w:eastAsia="仿宋_GB2312"/>
          <w:bCs/>
          <w:sz w:val="32"/>
          <w:szCs w:val="32"/>
          <w:highlight w:val="none"/>
          <w:u w:val="none"/>
          <w:lang w:val="en-US" w:eastAsia="zh-CN"/>
        </w:rPr>
        <w:t xml:space="preserve"> %，主要原因</w:t>
      </w:r>
      <w:r>
        <w:rPr>
          <w:rFonts w:hint="eastAsia" w:ascii="仿宋_GB2312" w:hAnsi="宋体"/>
          <w:bCs/>
          <w:sz w:val="32"/>
          <w:szCs w:val="32"/>
          <w:highlight w:val="none"/>
          <w:u w:val="none"/>
          <w:lang w:val="en-US" w:eastAsia="zh-CN"/>
        </w:rPr>
        <w:t>是本年度发放2021-2022年度奖励工资400余万元，收支增加</w:t>
      </w:r>
      <w:r>
        <w:rPr>
          <w:rFonts w:hint="eastAsia" w:ascii="仿宋_GB2312" w:hAnsi="宋体" w:eastAsia="仿宋_GB2312"/>
          <w:bCs/>
          <w:sz w:val="32"/>
          <w:szCs w:val="32"/>
          <w:highlight w:val="none"/>
          <w:u w:val="none"/>
          <w:lang w:val="en-US" w:eastAsia="zh-CN"/>
        </w:rPr>
        <w:t>。</w:t>
      </w:r>
    </w:p>
    <w:p w14:paraId="743AF399">
      <w:pPr>
        <w:adjustRightInd w:val="0"/>
        <w:snapToGrid w:val="0"/>
        <w:spacing w:line="580" w:lineRule="atLeast"/>
        <w:ind w:firstLine="600" w:firstLineChars="200"/>
        <w:jc w:val="center"/>
        <w:rPr>
          <w:rFonts w:hint="eastAsia" w:ascii="仿宋_GB2312" w:hAnsi="宋体" w:eastAsia="仿宋_GB2312"/>
          <w:bCs/>
          <w:sz w:val="30"/>
          <w:szCs w:val="30"/>
          <w:highlight w:val="none"/>
          <w:u w:val="none"/>
          <w:lang w:val="en-US" w:eastAsia="zh-CN"/>
        </w:rPr>
      </w:pPr>
      <w:r>
        <w:rPr>
          <w:rFonts w:hint="eastAsia" w:ascii="仿宋_GB2312" w:hAnsi="宋体" w:eastAsia="仿宋_GB2312"/>
          <w:bCs/>
          <w:sz w:val="30"/>
          <w:szCs w:val="30"/>
          <w:highlight w:val="none"/>
          <w:u w:val="none"/>
          <w:lang w:val="en-US" w:eastAsia="zh-CN"/>
        </w:rPr>
        <w:t>图1：收、支决算总计变动情况</w:t>
      </w:r>
    </w:p>
    <w:p w14:paraId="6AA4AAF5">
      <w:pPr>
        <w:adjustRightInd w:val="0"/>
        <w:snapToGrid w:val="0"/>
        <w:spacing w:line="580" w:lineRule="atLeast"/>
        <w:jc w:val="center"/>
        <w:rPr>
          <w:rFonts w:hint="eastAsia" w:ascii="仿宋_GB2312" w:hAnsi="宋体" w:eastAsia="仿宋_GB2312"/>
          <w:bCs/>
          <w:sz w:val="32"/>
          <w:szCs w:val="32"/>
          <w:highlight w:val="none"/>
          <w:u w:val="none"/>
          <w:lang w:val="en-US" w:eastAsia="zh-CN"/>
        </w:rPr>
      </w:pPr>
      <w:r>
        <w:rPr>
          <w:rFonts w:hint="eastAsia" w:ascii="仿宋_GB2312" w:hAnsi="宋体" w:eastAsia="仿宋_GB2312"/>
          <w:bCs/>
          <w:sz w:val="32"/>
          <w:szCs w:val="32"/>
          <w:highlight w:val="none"/>
          <w:u w:val="none"/>
          <w:lang w:val="en-US" w:eastAsia="zh-CN"/>
        </w:rPr>
        <w:object>
          <v:shape id="_x0000_i1052" o:spt="75" type="#_x0000_t75" style="height:222.75pt;width:366.75pt;" o:ole="t" filled="f" o:preferrelative="t" stroked="f" coordsize="21600,21600">
            <v:path/>
            <v:fill on="f" focussize="0,0"/>
            <v:stroke on="f"/>
            <v:imagedata r:id="rId60" o:title=""/>
            <o:lock v:ext="edit" aspectratio="t"/>
            <w10:wrap type="none"/>
            <w10:anchorlock/>
          </v:shape>
          <o:OLEObject Type="Embed" ProgID="Excel.Chart.8" ShapeID="_x0000_i1052" DrawAspect="Content" ObjectID="_1468075752" r:id="rId59">
            <o:LockedField>false</o:LockedField>
          </o:OLEObject>
        </w:object>
      </w:r>
    </w:p>
    <w:p w14:paraId="0B246B35">
      <w:pPr>
        <w:numPr>
          <w:ilvl w:val="0"/>
          <w:numId w:val="0"/>
        </w:numPr>
        <w:adjustRightInd w:val="0"/>
        <w:snapToGrid w:val="0"/>
        <w:spacing w:line="580" w:lineRule="atLeast"/>
        <w:ind w:firstLine="640" w:firstLineChars="200"/>
        <w:rPr>
          <w:rFonts w:hint="eastAsia" w:ascii="黑体" w:hAnsi="黑体" w:eastAsia="黑体" w:cs="黑体"/>
          <w:bCs/>
          <w:sz w:val="32"/>
          <w:szCs w:val="32"/>
          <w:highlight w:val="none"/>
          <w:u w:val="none"/>
          <w:lang w:val="en-US" w:eastAsia="zh-CN"/>
        </w:rPr>
      </w:pPr>
      <w:r>
        <w:rPr>
          <w:rFonts w:hint="eastAsia" w:ascii="黑体" w:hAnsi="黑体" w:eastAsia="黑体" w:cs="黑体"/>
          <w:bCs/>
          <w:sz w:val="32"/>
          <w:szCs w:val="32"/>
          <w:highlight w:val="none"/>
          <w:u w:val="none"/>
          <w:lang w:val="en-US" w:eastAsia="zh-CN"/>
        </w:rPr>
        <w:t>二、收入决算情况说明</w:t>
      </w:r>
    </w:p>
    <w:p w14:paraId="1855EF3A">
      <w:pPr>
        <w:bidi w:val="0"/>
        <w:rPr>
          <w:rFonts w:hint="eastAsia"/>
          <w:u w:val="none"/>
          <w:lang w:val="en-US" w:eastAsia="zh-CN"/>
        </w:rPr>
      </w:pPr>
      <w:r>
        <w:rPr>
          <w:rFonts w:hint="eastAsia" w:ascii="仿宋_GB2312" w:hAnsi="宋体"/>
          <w:bCs/>
          <w:szCs w:val="32"/>
          <w:highlight w:val="none"/>
          <w:u w:val="none"/>
          <w:lang w:val="en-US" w:eastAsia="zh-CN"/>
        </w:rPr>
        <w:t xml:space="preserve">    2022年度收入合计2035.17万元。其中：财政拨款收入  2035.17万元，占本年收入100%；上级补助收入0万元，占本年收入0%；事业收入0万元，占本年收入0%；经营收入0   万元，占</w:t>
      </w:r>
      <w:r>
        <w:rPr>
          <w:rFonts w:hint="eastAsia"/>
          <w:u w:val="none"/>
          <w:lang w:val="en-US" w:eastAsia="zh-CN"/>
        </w:rPr>
        <w:t>本年收入0%；其他收入0万元，占本年收入0%。（简述本部门使用科目）</w:t>
      </w:r>
    </w:p>
    <w:p w14:paraId="2130B99C">
      <w:pPr>
        <w:bidi w:val="0"/>
        <w:jc w:val="both"/>
        <w:rPr>
          <w:rFonts w:hint="eastAsia" w:ascii="仿宋_GB2312" w:hAnsi="仿宋_GB2312" w:eastAsia="仿宋_GB2312" w:cs="仿宋_GB2312"/>
          <w:sz w:val="30"/>
          <w:szCs w:val="30"/>
          <w:u w:val="none"/>
          <w:lang w:val="en-US" w:eastAsia="zh-CN"/>
        </w:rPr>
      </w:pPr>
    </w:p>
    <w:p w14:paraId="472D2C7F">
      <w:pPr>
        <w:bidi w:val="0"/>
        <w:jc w:val="center"/>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u w:val="none"/>
          <w:lang w:val="en-US" w:eastAsia="zh-CN"/>
        </w:rPr>
        <w:t>图2：收入决算结构</w:t>
      </w:r>
    </w:p>
    <w:p w14:paraId="62F8FDD9">
      <w:pPr>
        <w:bidi w:val="0"/>
        <w:jc w:val="center"/>
        <w:rPr>
          <w:rFonts w:hint="default"/>
          <w:u w:val="none"/>
          <w:lang w:val="en-US" w:eastAsia="zh-CN"/>
        </w:rPr>
      </w:pPr>
      <w:r>
        <w:rPr>
          <w:u w:val="none"/>
        </w:rPr>
        <w:drawing>
          <wp:inline distT="0" distB="0" distL="114300" distR="114300">
            <wp:extent cx="4133850" cy="2762250"/>
            <wp:effectExtent l="4445" t="4445" r="14605" b="52705"/>
            <wp:docPr id="1" name="图片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A7033B">
      <w:pPr>
        <w:bidi w:val="0"/>
        <w:ind w:firstLine="640" w:firstLineChars="200"/>
        <w:rPr>
          <w:rFonts w:hint="eastAsia" w:ascii="黑体" w:hAnsi="黑体" w:eastAsia="黑体" w:cs="黑体"/>
          <w:u w:val="none"/>
        </w:rPr>
      </w:pPr>
      <w:r>
        <w:rPr>
          <w:rFonts w:hint="eastAsia" w:ascii="黑体" w:hAnsi="黑体" w:eastAsia="黑体" w:cs="黑体"/>
          <w:u w:val="none"/>
          <w:lang w:val="en-US" w:eastAsia="zh-CN"/>
        </w:rPr>
        <w:t>三、支出决算情况说明</w:t>
      </w:r>
    </w:p>
    <w:p w14:paraId="2C456825">
      <w:pPr>
        <w:bidi w:val="0"/>
        <w:ind w:firstLine="640" w:firstLineChars="200"/>
        <w:rPr>
          <w:rFonts w:hint="default" w:ascii="仿宋_GB2312" w:eastAsia="仿宋_GB2312"/>
          <w:bCs/>
          <w:kern w:val="44"/>
          <w:szCs w:val="32"/>
          <w:highlight w:val="yellow"/>
          <w:u w:val="none"/>
          <w:lang w:val="en-US" w:eastAsia="zh-CN"/>
        </w:rPr>
      </w:pPr>
      <w:r>
        <w:rPr>
          <w:rFonts w:hint="eastAsia"/>
          <w:u w:val="none"/>
          <w:lang w:eastAsia="zh-CN"/>
        </w:rPr>
        <w:t>2022年</w:t>
      </w:r>
      <w:r>
        <w:rPr>
          <w:rFonts w:hint="eastAsia"/>
          <w:u w:val="none"/>
        </w:rPr>
        <w:t>度支出合计</w:t>
      </w:r>
      <w:r>
        <w:rPr>
          <w:rFonts w:hint="eastAsia"/>
          <w:u w:val="none"/>
          <w:lang w:val="en-US" w:eastAsia="zh-CN"/>
        </w:rPr>
        <w:t>1894.15</w:t>
      </w:r>
      <w:r>
        <w:rPr>
          <w:rFonts w:hint="eastAsia"/>
          <w:u w:val="none"/>
        </w:rPr>
        <w:t>万元</w:t>
      </w:r>
      <w:r>
        <w:rPr>
          <w:rFonts w:hint="eastAsia" w:ascii="仿宋_GB2312" w:eastAsia="仿宋_GB2312"/>
          <w:bCs/>
          <w:kern w:val="44"/>
          <w:szCs w:val="32"/>
          <w:highlight w:val="none"/>
          <w:u w:val="none"/>
        </w:rPr>
        <w:t xml:space="preserve">。其中：基本支出 </w:t>
      </w:r>
      <w:r>
        <w:rPr>
          <w:rFonts w:hint="eastAsia" w:ascii="仿宋_GB2312"/>
          <w:bCs/>
          <w:kern w:val="44"/>
          <w:szCs w:val="32"/>
          <w:highlight w:val="none"/>
          <w:u w:val="none"/>
          <w:lang w:val="en-US" w:eastAsia="zh-CN"/>
        </w:rPr>
        <w:t>1894.15</w:t>
      </w:r>
      <w:r>
        <w:rPr>
          <w:rFonts w:hint="eastAsia" w:ascii="仿宋_GB2312" w:eastAsia="仿宋_GB2312"/>
          <w:bCs/>
          <w:kern w:val="44"/>
          <w:szCs w:val="32"/>
          <w:highlight w:val="none"/>
          <w:u w:val="none"/>
        </w:rPr>
        <w:t xml:space="preserve"> 万元，占本年支出 </w:t>
      </w:r>
      <w:r>
        <w:rPr>
          <w:rFonts w:hint="eastAsia" w:ascii="仿宋_GB2312"/>
          <w:bCs/>
          <w:kern w:val="44"/>
          <w:szCs w:val="32"/>
          <w:highlight w:val="none"/>
          <w:u w:val="none"/>
          <w:lang w:val="en-US" w:eastAsia="zh-CN"/>
        </w:rPr>
        <w:t>100</w:t>
      </w:r>
      <w:r>
        <w:rPr>
          <w:rFonts w:hint="eastAsia" w:ascii="仿宋_GB2312" w:eastAsia="仿宋_GB2312"/>
          <w:bCs/>
          <w:kern w:val="44"/>
          <w:szCs w:val="32"/>
          <w:highlight w:val="none"/>
          <w:u w:val="none"/>
        </w:rPr>
        <w:t xml:space="preserve"> %；项目支出 </w:t>
      </w:r>
      <w:r>
        <w:rPr>
          <w:rFonts w:hint="eastAsia" w:ascii="仿宋_GB2312"/>
          <w:bCs/>
          <w:kern w:val="44"/>
          <w:szCs w:val="32"/>
          <w:highlight w:val="none"/>
          <w:u w:val="none"/>
          <w:lang w:val="en-US" w:eastAsia="zh-CN"/>
        </w:rPr>
        <w:t>0</w:t>
      </w:r>
      <w:r>
        <w:rPr>
          <w:rFonts w:hint="eastAsia" w:ascii="仿宋_GB2312" w:eastAsia="仿宋_GB2312"/>
          <w:bCs/>
          <w:kern w:val="44"/>
          <w:szCs w:val="32"/>
          <w:highlight w:val="none"/>
          <w:u w:val="none"/>
        </w:rPr>
        <w:t xml:space="preserve">万元，占本年支出 </w:t>
      </w:r>
      <w:r>
        <w:rPr>
          <w:rFonts w:hint="eastAsia" w:ascii="仿宋_GB2312"/>
          <w:bCs/>
          <w:kern w:val="44"/>
          <w:szCs w:val="32"/>
          <w:highlight w:val="none"/>
          <w:u w:val="none"/>
          <w:lang w:val="en-US" w:eastAsia="zh-CN"/>
        </w:rPr>
        <w:t>0</w:t>
      </w:r>
      <w:r>
        <w:rPr>
          <w:rFonts w:hint="eastAsia" w:ascii="仿宋_GB2312" w:eastAsia="仿宋_GB2312"/>
          <w:bCs/>
          <w:kern w:val="44"/>
          <w:szCs w:val="32"/>
          <w:highlight w:val="none"/>
          <w:u w:val="none"/>
        </w:rPr>
        <w:t>%；上缴上级支出</w:t>
      </w:r>
      <w:r>
        <w:rPr>
          <w:rFonts w:hint="eastAsia" w:ascii="仿宋_GB2312"/>
          <w:bCs/>
          <w:kern w:val="44"/>
          <w:szCs w:val="32"/>
          <w:highlight w:val="none"/>
          <w:u w:val="none"/>
          <w:lang w:val="en-US" w:eastAsia="zh-CN"/>
        </w:rPr>
        <w:t>0</w:t>
      </w:r>
      <w:r>
        <w:rPr>
          <w:rFonts w:hint="eastAsia" w:ascii="仿宋_GB2312" w:eastAsia="仿宋_GB2312"/>
          <w:bCs/>
          <w:kern w:val="44"/>
          <w:szCs w:val="32"/>
          <w:highlight w:val="none"/>
          <w:u w:val="none"/>
        </w:rPr>
        <w:t>万元，占本年支出</w:t>
      </w:r>
      <w:r>
        <w:rPr>
          <w:rFonts w:hint="eastAsia" w:ascii="仿宋_GB2312"/>
          <w:bCs/>
          <w:kern w:val="44"/>
          <w:szCs w:val="32"/>
          <w:highlight w:val="none"/>
          <w:u w:val="none"/>
          <w:lang w:val="en-US" w:eastAsia="zh-CN"/>
        </w:rPr>
        <w:t>0</w:t>
      </w:r>
      <w:r>
        <w:rPr>
          <w:rFonts w:hint="eastAsia" w:ascii="仿宋_GB2312" w:eastAsia="仿宋_GB2312"/>
          <w:bCs/>
          <w:kern w:val="44"/>
          <w:szCs w:val="32"/>
          <w:highlight w:val="none"/>
          <w:u w:val="none"/>
        </w:rPr>
        <w:t>%；经营支出</w:t>
      </w:r>
      <w:r>
        <w:rPr>
          <w:rFonts w:hint="eastAsia" w:ascii="仿宋_GB2312"/>
          <w:bCs/>
          <w:kern w:val="44"/>
          <w:szCs w:val="32"/>
          <w:highlight w:val="none"/>
          <w:u w:val="none"/>
          <w:lang w:val="en-US" w:eastAsia="zh-CN"/>
        </w:rPr>
        <w:t>0</w:t>
      </w:r>
      <w:r>
        <w:rPr>
          <w:rFonts w:hint="eastAsia" w:ascii="仿宋_GB2312" w:eastAsia="仿宋_GB2312"/>
          <w:bCs/>
          <w:kern w:val="44"/>
          <w:szCs w:val="32"/>
          <w:highlight w:val="none"/>
          <w:u w:val="none"/>
        </w:rPr>
        <w:t>万元，占本年支出</w:t>
      </w:r>
      <w:r>
        <w:rPr>
          <w:rFonts w:hint="eastAsia" w:ascii="仿宋_GB2312"/>
          <w:bCs/>
          <w:kern w:val="44"/>
          <w:szCs w:val="32"/>
          <w:highlight w:val="none"/>
          <w:u w:val="none"/>
          <w:lang w:val="en-US" w:eastAsia="zh-CN"/>
        </w:rPr>
        <w:t>0</w:t>
      </w:r>
      <w:r>
        <w:rPr>
          <w:rFonts w:hint="eastAsia" w:ascii="仿宋_GB2312" w:eastAsia="仿宋_GB2312"/>
          <w:bCs/>
          <w:kern w:val="44"/>
          <w:szCs w:val="32"/>
          <w:highlight w:val="none"/>
          <w:u w:val="none"/>
        </w:rPr>
        <w:t>%</w:t>
      </w:r>
      <w:r>
        <w:rPr>
          <w:rFonts w:hint="eastAsia" w:ascii="仿宋_GB2312"/>
          <w:bCs/>
          <w:kern w:val="44"/>
          <w:szCs w:val="32"/>
          <w:highlight w:val="none"/>
          <w:u w:val="none"/>
          <w:lang w:eastAsia="zh-CN"/>
        </w:rPr>
        <w:t>；</w:t>
      </w:r>
      <w:r>
        <w:rPr>
          <w:rFonts w:hint="eastAsia" w:ascii="仿宋_GB2312"/>
          <w:bCs/>
          <w:kern w:val="44"/>
          <w:szCs w:val="32"/>
          <w:highlight w:val="none"/>
          <w:u w:val="none"/>
          <w:lang w:val="en-US" w:eastAsia="zh-CN"/>
        </w:rPr>
        <w:t>对附属单位补助支出0万元，占本年支出0%</w:t>
      </w:r>
    </w:p>
    <w:p w14:paraId="052E1F30">
      <w:pPr>
        <w:bidi w:val="0"/>
        <w:jc w:val="center"/>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图3：支出决算结构</w:t>
      </w:r>
    </w:p>
    <w:p w14:paraId="58E0EF91">
      <w:pPr>
        <w:bidi w:val="0"/>
        <w:jc w:val="center"/>
        <w:rPr>
          <w:rFonts w:hint="eastAsia" w:eastAsia="仿宋_GB2312"/>
          <w:u w:val="none"/>
          <w:lang w:val="en-US" w:eastAsia="zh-CN"/>
        </w:rPr>
      </w:pPr>
      <w:r>
        <w:rPr>
          <w:rFonts w:hint="eastAsia" w:eastAsia="仿宋_GB2312"/>
          <w:u w:val="none"/>
          <w:lang w:val="en-US" w:eastAsia="zh-CN"/>
        </w:rPr>
        <w:object>
          <v:shape id="_x0000_i1053" o:spt="75" type="#_x0000_t75" style="height:217.5pt;width:363.95pt;" o:ole="t" filled="f" o:preferrelative="t" stroked="f" coordsize="21600,21600">
            <v:path/>
            <v:fill on="f" focussize="0,0"/>
            <v:stroke on="f"/>
            <v:imagedata r:id="rId63" o:title=""/>
            <o:lock v:ext="edit" aspectratio="t"/>
            <w10:wrap type="none"/>
            <w10:anchorlock/>
          </v:shape>
          <o:OLEObject Type="Embed" ProgID="Excel.Chart.8" ShapeID="_x0000_i1053" DrawAspect="Content" ObjectID="_1468075753" r:id="rId62">
            <o:LockedField>false</o:LockedField>
          </o:OLEObject>
        </w:object>
      </w:r>
    </w:p>
    <w:p w14:paraId="7A5B6967">
      <w:pPr>
        <w:bidi w:val="0"/>
        <w:ind w:firstLine="640" w:firstLineChars="200"/>
        <w:rPr>
          <w:rFonts w:hint="eastAsia"/>
          <w:u w:val="none"/>
          <w:lang w:val="en-US" w:eastAsia="zh-CN"/>
        </w:rPr>
      </w:pPr>
    </w:p>
    <w:p w14:paraId="40E72E95">
      <w:pPr>
        <w:bidi w:val="0"/>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四、财政拨款收入支出决算总体情况说明</w:t>
      </w:r>
    </w:p>
    <w:p w14:paraId="6990E728">
      <w:pPr>
        <w:bidi w:val="0"/>
        <w:ind w:firstLine="640" w:firstLineChars="200"/>
        <w:rPr>
          <w:rFonts w:hint="eastAsia"/>
          <w:u w:val="none"/>
        </w:rPr>
      </w:pPr>
      <w:r>
        <w:rPr>
          <w:rFonts w:hint="eastAsia"/>
          <w:u w:val="none"/>
          <w:lang w:eastAsia="zh-CN"/>
        </w:rPr>
        <w:t>2022年</w:t>
      </w:r>
      <w:r>
        <w:rPr>
          <w:rFonts w:hint="eastAsia"/>
          <w:u w:val="none"/>
        </w:rPr>
        <w:t>度财政拨款收、支总计</w:t>
      </w:r>
      <w:r>
        <w:rPr>
          <w:rFonts w:hint="eastAsia"/>
          <w:u w:val="none"/>
          <w:lang w:val="en-US" w:eastAsia="zh-CN"/>
        </w:rPr>
        <w:t>均为2122.03</w:t>
      </w:r>
      <w:r>
        <w:rPr>
          <w:rFonts w:hint="eastAsia"/>
          <w:u w:val="none"/>
        </w:rPr>
        <w:t>万元。与</w:t>
      </w:r>
      <w:r>
        <w:rPr>
          <w:rFonts w:hint="eastAsia"/>
          <w:u w:val="none"/>
          <w:lang w:eastAsia="zh-CN"/>
        </w:rPr>
        <w:t>2021年度</w:t>
      </w:r>
      <w:r>
        <w:rPr>
          <w:rFonts w:hint="eastAsia"/>
          <w:u w:val="none"/>
        </w:rPr>
        <w:t>相比，财政拨款收、支总计各增加</w:t>
      </w:r>
      <w:r>
        <w:rPr>
          <w:rFonts w:hint="eastAsia"/>
          <w:u w:val="none"/>
          <w:lang w:val="en-US" w:eastAsia="zh-CN"/>
        </w:rPr>
        <w:t xml:space="preserve"> 482.36 </w:t>
      </w:r>
      <w:r>
        <w:rPr>
          <w:rFonts w:hint="eastAsia"/>
          <w:u w:val="none"/>
        </w:rPr>
        <w:t>万元，增长</w:t>
      </w:r>
      <w:r>
        <w:rPr>
          <w:rFonts w:hint="eastAsia"/>
          <w:u w:val="none"/>
          <w:lang w:val="en-US" w:eastAsia="zh-CN"/>
        </w:rPr>
        <w:t>29.41</w:t>
      </w:r>
      <w:r>
        <w:rPr>
          <w:rFonts w:hint="eastAsia"/>
          <w:u w:val="none"/>
        </w:rPr>
        <w:t>%。主要原因是</w:t>
      </w:r>
      <w:r>
        <w:rPr>
          <w:rFonts w:hint="eastAsia" w:ascii="仿宋_GB2312" w:hAnsi="宋体"/>
          <w:bCs/>
          <w:sz w:val="32"/>
          <w:szCs w:val="32"/>
          <w:highlight w:val="none"/>
          <w:u w:val="none"/>
          <w:lang w:val="en-US" w:eastAsia="zh-CN"/>
        </w:rPr>
        <w:t>本年度发放2021-2022年度奖励工资300余万元，收支增加</w:t>
      </w:r>
      <w:r>
        <w:rPr>
          <w:rFonts w:hint="eastAsia"/>
          <w:u w:val="none"/>
        </w:rPr>
        <w:t>。</w:t>
      </w:r>
    </w:p>
    <w:p w14:paraId="285C48DD">
      <w:pPr>
        <w:bidi w:val="0"/>
        <w:jc w:val="center"/>
        <w:rPr>
          <w:rFonts w:hint="eastAsia" w:ascii="仿宋_GB2312" w:hAnsi="仿宋_GB2312" w:eastAsia="仿宋_GB2312" w:cs="仿宋_GB2312"/>
          <w:sz w:val="30"/>
          <w:szCs w:val="30"/>
          <w:u w:val="none"/>
        </w:rPr>
      </w:pPr>
      <w:r>
        <w:rPr>
          <w:rFonts w:hint="eastAsia" w:ascii="仿宋_GB2312" w:hAnsi="仿宋_GB2312" w:eastAsia="仿宋_GB2312" w:cs="仿宋_GB2312"/>
          <w:sz w:val="30"/>
          <w:szCs w:val="30"/>
          <w:u w:val="none"/>
        </w:rPr>
        <w:t>图4：财政拨款收、支决算总计变动情况</w:t>
      </w:r>
    </w:p>
    <w:p w14:paraId="673E3433">
      <w:pPr>
        <w:bidi w:val="0"/>
        <w:jc w:val="center"/>
        <w:rPr>
          <w:rFonts w:hint="eastAsia"/>
          <w:u w:val="none"/>
          <w:lang w:val="en-US" w:eastAsia="zh-CN"/>
        </w:rPr>
      </w:pPr>
      <w:r>
        <w:rPr>
          <w:rFonts w:hint="eastAsia" w:ascii="仿宋_GB2312" w:hAnsi="宋体" w:eastAsia="仿宋_GB2312"/>
          <w:bCs/>
          <w:sz w:val="32"/>
          <w:szCs w:val="32"/>
          <w:highlight w:val="none"/>
          <w:u w:val="none"/>
          <w:lang w:val="en-US" w:eastAsia="zh-CN"/>
        </w:rPr>
        <w:object>
          <v:shape id="_x0000_i1054" o:spt="75" type="#_x0000_t75" style="height:189.75pt;width:366.75pt;" o:ole="t" filled="f" o:preferrelative="t" stroked="f" coordsize="21600,21600">
            <v:path/>
            <v:fill on="f" focussize="0,0"/>
            <v:stroke on="f"/>
            <v:imagedata r:id="rId65" o:title=""/>
            <o:lock v:ext="edit" aspectratio="t"/>
            <w10:wrap type="none"/>
            <w10:anchorlock/>
          </v:shape>
          <o:OLEObject Type="Embed" ProgID="Excel.Chart.8" ShapeID="_x0000_i1054" DrawAspect="Content" ObjectID="_1468075754" r:id="rId64">
            <o:LockedField>false</o:LockedField>
          </o:OLEObject>
        </w:object>
      </w:r>
    </w:p>
    <w:p w14:paraId="4C723F7B">
      <w:pPr>
        <w:numPr>
          <w:ilvl w:val="0"/>
          <w:numId w:val="0"/>
        </w:numPr>
        <w:bidi w:val="0"/>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五、一般公共预算财政拨款支出决算情况说明</w:t>
      </w:r>
    </w:p>
    <w:p w14:paraId="0A0898B1">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u w:val="none"/>
        </w:rPr>
      </w:pPr>
      <w:r>
        <w:rPr>
          <w:rFonts w:hint="eastAsia" w:ascii="楷体_GB2312" w:hAnsi="楷体_GB2312" w:eastAsia="楷体_GB2312" w:cs="楷体_GB2312"/>
          <w:bCs/>
          <w:kern w:val="44"/>
          <w:sz w:val="32"/>
          <w:szCs w:val="32"/>
          <w:highlight w:val="none"/>
          <w:u w:val="none"/>
        </w:rPr>
        <w:t>（一）财政拨款支出决算总体情况。</w:t>
      </w:r>
    </w:p>
    <w:p w14:paraId="31B2F38B">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u w:val="none"/>
        </w:rPr>
      </w:pPr>
      <w:r>
        <w:rPr>
          <w:rFonts w:hint="eastAsia" w:ascii="仿宋_GB2312"/>
          <w:bCs/>
          <w:kern w:val="44"/>
          <w:sz w:val="32"/>
          <w:szCs w:val="32"/>
          <w:highlight w:val="none"/>
          <w:u w:val="none"/>
          <w:lang w:eastAsia="zh-CN"/>
        </w:rPr>
        <w:t>2022年</w:t>
      </w:r>
      <w:r>
        <w:rPr>
          <w:rFonts w:hint="eastAsia" w:ascii="仿宋_GB2312" w:eastAsia="仿宋_GB2312"/>
          <w:bCs/>
          <w:kern w:val="44"/>
          <w:sz w:val="32"/>
          <w:szCs w:val="32"/>
          <w:highlight w:val="none"/>
          <w:u w:val="none"/>
        </w:rPr>
        <w:t xml:space="preserve">度财政拨款支出 </w:t>
      </w:r>
      <w:r>
        <w:rPr>
          <w:rFonts w:hint="eastAsia" w:ascii="仿宋_GB2312"/>
          <w:bCs/>
          <w:kern w:val="44"/>
          <w:sz w:val="32"/>
          <w:szCs w:val="32"/>
          <w:highlight w:val="none"/>
          <w:u w:val="none"/>
          <w:lang w:val="en-US" w:eastAsia="zh-CN"/>
        </w:rPr>
        <w:t>1894.15</w:t>
      </w:r>
      <w:r>
        <w:rPr>
          <w:rFonts w:hint="eastAsia" w:ascii="仿宋_GB2312" w:eastAsia="仿宋_GB2312"/>
          <w:bCs/>
          <w:kern w:val="44"/>
          <w:sz w:val="32"/>
          <w:szCs w:val="32"/>
          <w:highlight w:val="none"/>
          <w:u w:val="none"/>
        </w:rPr>
        <w:t xml:space="preserve">万元，占本年支出合计的 </w:t>
      </w:r>
      <w:r>
        <w:rPr>
          <w:rFonts w:hint="eastAsia" w:ascii="仿宋_GB2312"/>
          <w:bCs/>
          <w:kern w:val="44"/>
          <w:sz w:val="32"/>
          <w:szCs w:val="32"/>
          <w:highlight w:val="none"/>
          <w:u w:val="none"/>
          <w:lang w:val="en-US" w:eastAsia="zh-CN"/>
        </w:rPr>
        <w:t>89.26</w:t>
      </w:r>
      <w:r>
        <w:rPr>
          <w:rFonts w:hint="eastAsia" w:ascii="仿宋_GB2312" w:eastAsia="仿宋_GB2312"/>
          <w:bCs/>
          <w:kern w:val="44"/>
          <w:sz w:val="32"/>
          <w:szCs w:val="32"/>
          <w:highlight w:val="none"/>
          <w:u w:val="none"/>
        </w:rPr>
        <w:t xml:space="preserve"> %。与</w:t>
      </w:r>
      <w:r>
        <w:rPr>
          <w:rFonts w:hint="eastAsia" w:ascii="仿宋_GB2312"/>
          <w:bCs/>
          <w:kern w:val="44"/>
          <w:sz w:val="32"/>
          <w:szCs w:val="32"/>
          <w:highlight w:val="none"/>
          <w:u w:val="none"/>
          <w:lang w:eastAsia="zh-CN"/>
        </w:rPr>
        <w:t>2021年</w:t>
      </w:r>
      <w:r>
        <w:rPr>
          <w:rFonts w:hint="eastAsia" w:ascii="仿宋_GB2312" w:eastAsia="仿宋_GB2312"/>
          <w:bCs/>
          <w:kern w:val="44"/>
          <w:sz w:val="32"/>
          <w:szCs w:val="32"/>
          <w:highlight w:val="none"/>
          <w:u w:val="none"/>
          <w:lang w:eastAsia="zh-CN"/>
        </w:rPr>
        <w:t>度</w:t>
      </w:r>
      <w:r>
        <w:rPr>
          <w:rFonts w:hint="eastAsia" w:ascii="仿宋_GB2312" w:eastAsia="仿宋_GB2312"/>
          <w:bCs/>
          <w:kern w:val="44"/>
          <w:sz w:val="32"/>
          <w:szCs w:val="32"/>
          <w:highlight w:val="none"/>
          <w:u w:val="none"/>
        </w:rPr>
        <w:t xml:space="preserve">相比，财政拨款支出增加 </w:t>
      </w:r>
      <w:r>
        <w:rPr>
          <w:rFonts w:hint="eastAsia" w:ascii="仿宋_GB2312"/>
          <w:bCs/>
          <w:kern w:val="44"/>
          <w:sz w:val="32"/>
          <w:szCs w:val="32"/>
          <w:highlight w:val="none"/>
          <w:u w:val="none"/>
          <w:lang w:val="en-US" w:eastAsia="zh-CN"/>
        </w:rPr>
        <w:t>341.35</w:t>
      </w:r>
      <w:r>
        <w:rPr>
          <w:rFonts w:hint="eastAsia" w:ascii="仿宋_GB2312" w:eastAsia="仿宋_GB2312"/>
          <w:bCs/>
          <w:kern w:val="44"/>
          <w:sz w:val="32"/>
          <w:szCs w:val="32"/>
          <w:highlight w:val="none"/>
          <w:u w:val="none"/>
        </w:rPr>
        <w:t xml:space="preserve">万元，增长 </w:t>
      </w:r>
      <w:r>
        <w:rPr>
          <w:rFonts w:hint="eastAsia" w:ascii="仿宋_GB2312"/>
          <w:bCs/>
          <w:kern w:val="44"/>
          <w:sz w:val="32"/>
          <w:szCs w:val="32"/>
          <w:highlight w:val="none"/>
          <w:u w:val="none"/>
          <w:lang w:val="en-US" w:eastAsia="zh-CN"/>
        </w:rPr>
        <w:t>21.98</w:t>
      </w:r>
      <w:r>
        <w:rPr>
          <w:rFonts w:hint="eastAsia" w:ascii="仿宋_GB2312" w:eastAsia="仿宋_GB2312"/>
          <w:bCs/>
          <w:kern w:val="44"/>
          <w:sz w:val="32"/>
          <w:szCs w:val="32"/>
          <w:highlight w:val="none"/>
          <w:u w:val="none"/>
        </w:rPr>
        <w:t xml:space="preserve"> %。主要原因是</w:t>
      </w:r>
      <w:r>
        <w:rPr>
          <w:rFonts w:hint="eastAsia" w:ascii="仿宋_GB2312" w:hAnsi="宋体"/>
          <w:bCs/>
          <w:sz w:val="32"/>
          <w:szCs w:val="32"/>
          <w:highlight w:val="none"/>
          <w:u w:val="none"/>
          <w:lang w:val="en-US" w:eastAsia="zh-CN"/>
        </w:rPr>
        <w:t>本年度发放2021-2022年度奖励工资300余万元，支出增加</w:t>
      </w:r>
      <w:r>
        <w:rPr>
          <w:rFonts w:hint="eastAsia" w:ascii="仿宋_GB2312" w:eastAsia="仿宋_GB2312"/>
          <w:bCs/>
          <w:kern w:val="44"/>
          <w:sz w:val="32"/>
          <w:szCs w:val="32"/>
          <w:highlight w:val="none"/>
          <w:u w:val="none"/>
        </w:rPr>
        <w:t>。</w:t>
      </w:r>
    </w:p>
    <w:p w14:paraId="0B2BD2B7">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u w:val="none"/>
        </w:rPr>
      </w:pPr>
      <w:r>
        <w:rPr>
          <w:rFonts w:hint="eastAsia" w:ascii="楷体_GB2312" w:hAnsi="楷体_GB2312" w:eastAsia="楷体_GB2312" w:cs="楷体_GB2312"/>
          <w:bCs/>
          <w:kern w:val="44"/>
          <w:sz w:val="32"/>
          <w:szCs w:val="32"/>
          <w:highlight w:val="none"/>
          <w:u w:val="none"/>
          <w:lang w:eastAsia="zh-CN"/>
        </w:rPr>
        <w:t>（二）</w:t>
      </w:r>
      <w:r>
        <w:rPr>
          <w:rFonts w:hint="eastAsia" w:ascii="楷体_GB2312" w:hAnsi="楷体_GB2312" w:eastAsia="楷体_GB2312" w:cs="楷体_GB2312"/>
          <w:bCs/>
          <w:kern w:val="44"/>
          <w:sz w:val="32"/>
          <w:szCs w:val="32"/>
          <w:highlight w:val="none"/>
          <w:u w:val="none"/>
        </w:rPr>
        <w:t>财政拨款支出决算结构情况。</w:t>
      </w:r>
    </w:p>
    <w:p w14:paraId="66DD34B1">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u w:val="none"/>
        </w:rPr>
      </w:pPr>
      <w:r>
        <w:rPr>
          <w:rFonts w:hint="eastAsia" w:ascii="仿宋_GB2312"/>
          <w:bCs/>
          <w:kern w:val="44"/>
          <w:sz w:val="32"/>
          <w:szCs w:val="32"/>
          <w:highlight w:val="none"/>
          <w:u w:val="none"/>
          <w:lang w:eastAsia="zh-CN"/>
        </w:rPr>
        <w:t>2022年</w:t>
      </w:r>
      <w:r>
        <w:rPr>
          <w:rFonts w:hint="eastAsia" w:ascii="仿宋_GB2312" w:eastAsia="仿宋_GB2312"/>
          <w:bCs/>
          <w:kern w:val="44"/>
          <w:sz w:val="32"/>
          <w:szCs w:val="32"/>
          <w:highlight w:val="none"/>
          <w:u w:val="none"/>
        </w:rPr>
        <w:t>度财政拨款支出</w:t>
      </w:r>
      <w:r>
        <w:rPr>
          <w:rFonts w:hint="eastAsia" w:ascii="仿宋_GB2312"/>
          <w:bCs/>
          <w:kern w:val="44"/>
          <w:sz w:val="32"/>
          <w:szCs w:val="32"/>
          <w:highlight w:val="none"/>
          <w:u w:val="none"/>
          <w:lang w:val="en-US" w:eastAsia="zh-CN"/>
        </w:rPr>
        <w:t>1894.15</w:t>
      </w:r>
      <w:r>
        <w:rPr>
          <w:rFonts w:hint="eastAsia" w:ascii="仿宋_GB2312" w:eastAsia="仿宋_GB2312"/>
          <w:bCs/>
          <w:kern w:val="44"/>
          <w:sz w:val="32"/>
          <w:szCs w:val="32"/>
          <w:highlight w:val="none"/>
          <w:u w:val="none"/>
        </w:rPr>
        <w:t>万元，主要用于以下方面：一般公共服务（类）支出</w:t>
      </w:r>
      <w:r>
        <w:rPr>
          <w:rFonts w:hint="eastAsia" w:ascii="仿宋_GB2312"/>
          <w:bCs/>
          <w:kern w:val="44"/>
          <w:sz w:val="32"/>
          <w:szCs w:val="32"/>
          <w:highlight w:val="none"/>
          <w:u w:val="none"/>
          <w:lang w:val="en-US" w:eastAsia="zh-CN"/>
        </w:rPr>
        <w:t>0</w:t>
      </w:r>
      <w:r>
        <w:rPr>
          <w:rFonts w:hint="eastAsia" w:ascii="仿宋_GB2312" w:eastAsia="仿宋_GB2312"/>
          <w:bCs/>
          <w:kern w:val="44"/>
          <w:sz w:val="32"/>
          <w:szCs w:val="32"/>
          <w:highlight w:val="none"/>
          <w:u w:val="none"/>
        </w:rPr>
        <w:t xml:space="preserve">万元，占 </w:t>
      </w:r>
      <w:r>
        <w:rPr>
          <w:rFonts w:hint="eastAsia" w:ascii="仿宋_GB2312"/>
          <w:bCs/>
          <w:kern w:val="44"/>
          <w:sz w:val="32"/>
          <w:szCs w:val="32"/>
          <w:highlight w:val="none"/>
          <w:u w:val="none"/>
          <w:lang w:val="en-US" w:eastAsia="zh-CN"/>
        </w:rPr>
        <w:t>0</w:t>
      </w:r>
      <w:r>
        <w:rPr>
          <w:rFonts w:hint="eastAsia" w:ascii="仿宋_GB2312" w:eastAsia="仿宋_GB2312"/>
          <w:bCs/>
          <w:kern w:val="44"/>
          <w:sz w:val="32"/>
          <w:szCs w:val="32"/>
          <w:highlight w:val="none"/>
          <w:u w:val="none"/>
        </w:rPr>
        <w:t xml:space="preserve"> </w:t>
      </w:r>
      <w:r>
        <w:rPr>
          <w:rFonts w:ascii="仿宋_GB2312" w:eastAsia="仿宋_GB2312"/>
          <w:bCs/>
          <w:kern w:val="44"/>
          <w:sz w:val="32"/>
          <w:szCs w:val="32"/>
          <w:highlight w:val="none"/>
          <w:u w:val="none"/>
        </w:rPr>
        <w:t>%</w:t>
      </w:r>
      <w:r>
        <w:rPr>
          <w:rFonts w:hint="eastAsia" w:ascii="仿宋_GB2312" w:eastAsia="仿宋_GB2312"/>
          <w:bCs/>
          <w:kern w:val="44"/>
          <w:sz w:val="32"/>
          <w:szCs w:val="32"/>
          <w:highlight w:val="none"/>
          <w:u w:val="none"/>
        </w:rPr>
        <w:t>；</w:t>
      </w:r>
      <w:r>
        <w:rPr>
          <w:rFonts w:hint="eastAsia" w:ascii="仿宋_GB2312"/>
          <w:bCs/>
          <w:kern w:val="44"/>
          <w:sz w:val="32"/>
          <w:szCs w:val="32"/>
          <w:highlight w:val="none"/>
          <w:u w:val="none"/>
          <w:lang w:val="en-US" w:eastAsia="zh-CN"/>
        </w:rPr>
        <w:t>农林水支出1894.15万元，占100%</w:t>
      </w:r>
      <w:r>
        <w:rPr>
          <w:rFonts w:hint="eastAsia" w:ascii="仿宋_GB2312" w:eastAsia="仿宋_GB2312"/>
          <w:bCs/>
          <w:kern w:val="44"/>
          <w:sz w:val="32"/>
          <w:szCs w:val="32"/>
          <w:highlight w:val="none"/>
          <w:u w:val="none"/>
        </w:rPr>
        <w:t>。</w:t>
      </w:r>
    </w:p>
    <w:p w14:paraId="3313DFB9">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u w:val="none"/>
        </w:rPr>
      </w:pPr>
      <w:r>
        <w:rPr>
          <w:rFonts w:hint="eastAsia" w:ascii="楷体_GB2312" w:hAnsi="楷体_GB2312" w:eastAsia="楷体_GB2312" w:cs="楷体_GB2312"/>
          <w:bCs/>
          <w:kern w:val="44"/>
          <w:sz w:val="32"/>
          <w:szCs w:val="32"/>
          <w:highlight w:val="none"/>
          <w:u w:val="none"/>
        </w:rPr>
        <w:t>（三）财政拨款支出决算具体情况。</w:t>
      </w:r>
    </w:p>
    <w:p w14:paraId="4B5EB30B">
      <w:pPr>
        <w:pStyle w:val="11"/>
        <w:pageBreakBefore w:val="0"/>
        <w:widowControl w:val="0"/>
        <w:kinsoku/>
        <w:wordWrap/>
        <w:overflowPunct/>
        <w:topLinePunct w:val="0"/>
        <w:bidi w:val="0"/>
        <w:snapToGrid w:val="0"/>
        <w:spacing w:line="360" w:lineRule="auto"/>
        <w:ind w:firstLine="640" w:firstLineChars="200"/>
        <w:jc w:val="both"/>
        <w:textAlignment w:val="auto"/>
        <w:rPr>
          <w:rFonts w:hint="eastAsia" w:ascii="仿宋_GB2312" w:hAnsi="仿宋_GB2312" w:eastAsia="仿宋_GB2312" w:cs="仿宋_GB2312"/>
          <w:bCs/>
          <w:kern w:val="44"/>
          <w:sz w:val="32"/>
          <w:szCs w:val="32"/>
          <w:highlight w:val="none"/>
          <w:u w:val="none"/>
          <w:lang w:val="en-US" w:eastAsia="zh-CN"/>
        </w:rPr>
      </w:pPr>
      <w:r>
        <w:rPr>
          <w:rFonts w:hint="eastAsia" w:ascii="仿宋_GB2312" w:hAnsi="仿宋_GB2312" w:cs="仿宋_GB2312"/>
          <w:bCs/>
          <w:kern w:val="44"/>
          <w:sz w:val="32"/>
          <w:szCs w:val="32"/>
          <w:highlight w:val="none"/>
          <w:u w:val="none"/>
          <w:lang w:eastAsia="zh-CN"/>
        </w:rPr>
        <w:t>2022</w:t>
      </w:r>
      <w:r>
        <w:rPr>
          <w:rFonts w:hint="eastAsia" w:ascii="仿宋_GB2312" w:hAnsi="仿宋_GB2312" w:eastAsia="仿宋_GB2312" w:cs="仿宋_GB2312"/>
          <w:bCs/>
          <w:kern w:val="44"/>
          <w:sz w:val="32"/>
          <w:szCs w:val="32"/>
          <w:highlight w:val="none"/>
          <w:u w:val="none"/>
          <w:lang w:eastAsia="zh-CN"/>
        </w:rPr>
        <w:t>年度</w:t>
      </w:r>
      <w:r>
        <w:rPr>
          <w:rFonts w:hint="eastAsia" w:ascii="仿宋_GB2312" w:hAnsi="仿宋_GB2312" w:eastAsia="仿宋_GB2312" w:cs="仿宋_GB2312"/>
          <w:bCs/>
          <w:kern w:val="44"/>
          <w:sz w:val="32"/>
          <w:szCs w:val="32"/>
          <w:highlight w:val="none"/>
          <w:u w:val="none"/>
        </w:rPr>
        <w:t>一般公共预算财政拨款支出年</w:t>
      </w:r>
      <w:r>
        <w:rPr>
          <w:rFonts w:hint="eastAsia" w:ascii="仿宋_GB2312" w:hAnsi="仿宋_GB2312" w:eastAsia="仿宋_GB2312" w:cs="仿宋_GB2312"/>
          <w:bCs/>
          <w:kern w:val="44"/>
          <w:sz w:val="32"/>
          <w:szCs w:val="32"/>
          <w:highlight w:val="none"/>
          <w:u w:val="none"/>
          <w:lang w:eastAsia="zh-CN"/>
        </w:rPr>
        <w:t>初</w:t>
      </w:r>
      <w:r>
        <w:rPr>
          <w:rFonts w:hint="eastAsia" w:ascii="仿宋_GB2312" w:hAnsi="仿宋_GB2312" w:eastAsia="仿宋_GB2312" w:cs="仿宋_GB2312"/>
          <w:bCs/>
          <w:kern w:val="44"/>
          <w:sz w:val="32"/>
          <w:szCs w:val="32"/>
          <w:highlight w:val="none"/>
          <w:u w:val="none"/>
        </w:rPr>
        <w:t xml:space="preserve">预算为    </w:t>
      </w:r>
      <w:r>
        <w:rPr>
          <w:rFonts w:hint="eastAsia" w:hAnsi="仿宋_GB2312" w:cs="仿宋_GB2312"/>
          <w:bCs/>
          <w:kern w:val="44"/>
          <w:sz w:val="32"/>
          <w:szCs w:val="32"/>
          <w:highlight w:val="none"/>
          <w:u w:val="none"/>
          <w:lang w:val="en-US" w:eastAsia="zh-CN"/>
        </w:rPr>
        <w:t>1100.89</w:t>
      </w:r>
      <w:r>
        <w:rPr>
          <w:rFonts w:hint="eastAsia" w:ascii="仿宋_GB2312" w:hAnsi="仿宋_GB2312" w:eastAsia="仿宋_GB2312" w:cs="仿宋_GB2312"/>
          <w:bCs/>
          <w:kern w:val="44"/>
          <w:sz w:val="32"/>
          <w:szCs w:val="32"/>
          <w:highlight w:val="none"/>
          <w:u w:val="none"/>
        </w:rPr>
        <w:t>万元</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bCs/>
          <w:kern w:val="44"/>
          <w:sz w:val="32"/>
          <w:szCs w:val="32"/>
          <w:highlight w:val="none"/>
          <w:u w:val="none"/>
        </w:rPr>
        <w:t>支出决算为</w:t>
      </w:r>
      <w:r>
        <w:rPr>
          <w:rFonts w:hint="eastAsia" w:ascii="仿宋_GB2312" w:hAnsi="仿宋_GB2312" w:eastAsia="仿宋_GB2312" w:cs="仿宋_GB2312"/>
          <w:bCs/>
          <w:kern w:val="44"/>
          <w:sz w:val="32"/>
          <w:szCs w:val="32"/>
          <w:highlight w:val="none"/>
          <w:u w:val="none"/>
          <w:lang w:val="en-US" w:eastAsia="zh-CN"/>
        </w:rPr>
        <w:t>1894.15</w:t>
      </w:r>
      <w:r>
        <w:rPr>
          <w:rFonts w:hint="eastAsia" w:ascii="仿宋_GB2312" w:hAnsi="仿宋_GB2312" w:eastAsia="仿宋_GB2312" w:cs="仿宋_GB2312"/>
          <w:bCs/>
          <w:kern w:val="44"/>
          <w:sz w:val="32"/>
          <w:szCs w:val="32"/>
          <w:highlight w:val="none"/>
          <w:u w:val="none"/>
        </w:rPr>
        <w:t>万元，完成年</w:t>
      </w:r>
      <w:r>
        <w:rPr>
          <w:rFonts w:hint="eastAsia" w:ascii="仿宋_GB2312" w:hAnsi="仿宋_GB2312" w:eastAsia="仿宋_GB2312" w:cs="仿宋_GB2312"/>
          <w:bCs/>
          <w:kern w:val="44"/>
          <w:sz w:val="32"/>
          <w:szCs w:val="32"/>
          <w:highlight w:val="none"/>
          <w:u w:val="none"/>
          <w:lang w:eastAsia="zh-CN"/>
        </w:rPr>
        <w:t>初</w:t>
      </w:r>
      <w:r>
        <w:rPr>
          <w:rFonts w:hint="eastAsia" w:ascii="仿宋_GB2312" w:hAnsi="仿宋_GB2312" w:eastAsia="仿宋_GB2312" w:cs="仿宋_GB2312"/>
          <w:bCs/>
          <w:kern w:val="44"/>
          <w:sz w:val="32"/>
          <w:szCs w:val="32"/>
          <w:highlight w:val="none"/>
          <w:u w:val="none"/>
        </w:rPr>
        <w:t xml:space="preserve">预算的 </w:t>
      </w:r>
      <w:r>
        <w:rPr>
          <w:rFonts w:hint="eastAsia" w:hAnsi="仿宋_GB2312" w:cs="仿宋_GB2312"/>
          <w:bCs/>
          <w:kern w:val="44"/>
          <w:sz w:val="32"/>
          <w:szCs w:val="32"/>
          <w:highlight w:val="none"/>
          <w:u w:val="none"/>
          <w:lang w:val="en-US" w:eastAsia="zh-CN"/>
        </w:rPr>
        <w:t>172.05</w:t>
      </w:r>
      <w:r>
        <w:rPr>
          <w:rFonts w:hint="eastAsia" w:ascii="仿宋_GB2312" w:hAnsi="仿宋_GB2312" w:eastAsia="仿宋_GB2312" w:cs="仿宋_GB2312"/>
          <w:bCs/>
          <w:kern w:val="44"/>
          <w:sz w:val="32"/>
          <w:szCs w:val="32"/>
          <w:highlight w:val="none"/>
          <w:u w:val="none"/>
        </w:rPr>
        <w:t>%。决算数大于预算数主要是由于相关追加支出没有纳入预算。</w:t>
      </w:r>
    </w:p>
    <w:p w14:paraId="1E0ADAC2">
      <w:pPr>
        <w:bidi w:val="0"/>
        <w:ind w:firstLine="640" w:firstLineChars="200"/>
        <w:rPr>
          <w:rFonts w:hint="eastAsia"/>
          <w:u w:val="none"/>
          <w:lang w:val="en-US" w:eastAsia="zh-CN"/>
        </w:rPr>
      </w:pPr>
      <w:r>
        <w:rPr>
          <w:rFonts w:hint="eastAsia" w:ascii="黑体" w:hAnsi="黑体" w:eastAsia="黑体" w:cs="黑体"/>
          <w:u w:val="none"/>
          <w:lang w:val="en-US" w:eastAsia="zh-CN"/>
        </w:rPr>
        <w:t>六、一般公共预算财政拨款基本支出决算情况说明</w:t>
      </w:r>
    </w:p>
    <w:p w14:paraId="70B8AF72">
      <w:pPr>
        <w:bidi w:val="0"/>
        <w:ind w:firstLine="640" w:firstLineChars="200"/>
        <w:rPr>
          <w:rFonts w:hint="eastAsia" w:ascii="仿宋_GB2312" w:hAnsi="仿宋_GB2312" w:eastAsia="仿宋_GB2312" w:cs="仿宋_GB2312"/>
          <w:u w:val="none"/>
          <w:lang w:val="en-US" w:eastAsia="zh-CN"/>
        </w:rPr>
      </w:pPr>
      <w:r>
        <w:rPr>
          <w:rFonts w:hint="eastAsia" w:ascii="仿宋_GB2312" w:hAnsi="仿宋_GB2312" w:cs="仿宋_GB2312"/>
          <w:u w:val="none"/>
          <w:lang w:val="en-US" w:eastAsia="zh-CN"/>
        </w:rPr>
        <w:t>2022</w:t>
      </w:r>
      <w:r>
        <w:rPr>
          <w:rFonts w:hint="eastAsia" w:ascii="仿宋_GB2312" w:hAnsi="仿宋_GB2312" w:eastAsia="仿宋_GB2312" w:cs="仿宋_GB2312"/>
          <w:u w:val="none"/>
          <w:lang w:val="en-US" w:eastAsia="zh-CN"/>
        </w:rPr>
        <w:t>年度一般公共预算财政拨款基本支出</w:t>
      </w:r>
      <w:r>
        <w:rPr>
          <w:rFonts w:hint="eastAsia" w:ascii="仿宋_GB2312" w:hAnsi="仿宋_GB2312" w:cs="仿宋_GB2312"/>
          <w:u w:val="none"/>
          <w:lang w:val="en-US" w:eastAsia="zh-CN"/>
        </w:rPr>
        <w:t>1894.15</w:t>
      </w:r>
      <w:r>
        <w:rPr>
          <w:rFonts w:hint="eastAsia" w:ascii="仿宋_GB2312" w:hAnsi="仿宋_GB2312" w:eastAsia="仿宋_GB2312" w:cs="仿宋_GB2312"/>
          <w:u w:val="none"/>
          <w:lang w:val="en-US" w:eastAsia="zh-CN"/>
        </w:rPr>
        <w:t>万元，其中：</w:t>
      </w:r>
    </w:p>
    <w:p w14:paraId="2F191E4E">
      <w:pPr>
        <w:bidi w:val="0"/>
        <w:ind w:firstLine="640" w:firstLineChars="200"/>
        <w:rPr>
          <w:rFonts w:hint="eastAsia"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人员经费</w:t>
      </w:r>
      <w:r>
        <w:rPr>
          <w:rFonts w:hint="eastAsia" w:ascii="仿宋_GB2312" w:hAnsi="仿宋_GB2312" w:cs="仿宋_GB2312"/>
          <w:u w:val="none"/>
          <w:lang w:val="en-US" w:eastAsia="zh-CN"/>
        </w:rPr>
        <w:t>1251.36</w:t>
      </w:r>
      <w:r>
        <w:rPr>
          <w:rFonts w:hint="eastAsia" w:ascii="仿宋_GB2312" w:hAnsi="仿宋_GB2312" w:eastAsia="仿宋_GB2312" w:cs="仿宋_GB2312"/>
          <w:u w:val="none"/>
          <w:lang w:val="en-US" w:eastAsia="zh-CN"/>
        </w:rPr>
        <w:t>万元，主要包括：基本工资、津贴补贴、奖金、绩效工资、机关事业单位基本养老保险缴费、职工基本医疗保险缴费、其他社会保障缴费、住房公积金、其他工资福利支出、抚恤金、生活补助、医疗费补助、奖励金。</w:t>
      </w:r>
    </w:p>
    <w:p w14:paraId="50F58850">
      <w:pPr>
        <w:bidi w:val="0"/>
        <w:ind w:firstLine="640" w:firstLineChars="200"/>
        <w:rPr>
          <w:rFonts w:hint="eastAsia"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公用经费</w:t>
      </w:r>
      <w:r>
        <w:rPr>
          <w:rFonts w:hint="eastAsia" w:ascii="仿宋_GB2312" w:hAnsi="仿宋_GB2312" w:cs="仿宋_GB2312"/>
          <w:u w:val="none"/>
          <w:lang w:val="en-US" w:eastAsia="zh-CN"/>
        </w:rPr>
        <w:t>642.79</w:t>
      </w:r>
      <w:r>
        <w:rPr>
          <w:rFonts w:hint="eastAsia" w:ascii="仿宋_GB2312" w:hAnsi="仿宋_GB2312" w:eastAsia="仿宋_GB2312" w:cs="仿宋_GB2312"/>
          <w:u w:val="none"/>
          <w:lang w:val="en-US" w:eastAsia="zh-CN"/>
        </w:rPr>
        <w:t>万元，主要包括：办公费、印刷费、咨询费、手续费、水费、电费、邮电费、差旅费、维修(护)费、租赁费、会议费、培训费、公务接待费、劳务费、工会经费、福利费、公务用车运行维护费、其他交通费用、其他商品和服务支出、办公设备购置、专用设备购置、信息网络及软件购置更新、其他资本性支出。</w:t>
      </w:r>
    </w:p>
    <w:p w14:paraId="34960A16">
      <w:pPr>
        <w:bidi w:val="0"/>
        <w:ind w:firstLine="643" w:firstLineChars="200"/>
        <w:rPr>
          <w:rFonts w:hint="eastAsia" w:ascii="仿宋_GB2312" w:hAnsi="仿宋_GB2312" w:eastAsia="仿宋_GB2312" w:cs="仿宋_GB2312"/>
          <w:b/>
          <w:bCs/>
          <w:u w:val="none"/>
          <w:lang w:val="en-US" w:eastAsia="zh-CN"/>
        </w:rPr>
      </w:pPr>
      <w:r>
        <w:rPr>
          <w:rFonts w:hint="eastAsia" w:ascii="仿宋_GB2312" w:hAnsi="仿宋_GB2312" w:eastAsia="仿宋_GB2312" w:cs="仿宋_GB2312"/>
          <w:b/>
          <w:bCs/>
          <w:u w:val="none"/>
          <w:lang w:val="en-US" w:eastAsia="zh-CN"/>
        </w:rPr>
        <w:t>(只说明本部门使用科目)</w:t>
      </w:r>
    </w:p>
    <w:p w14:paraId="29B37E2A">
      <w:pPr>
        <w:ind w:firstLine="640"/>
        <w:jc w:val="both"/>
        <w:rPr>
          <w:rFonts w:hint="eastAsia"/>
          <w:b/>
          <w:bCs/>
          <w:u w:val="none"/>
          <w:lang w:val="en-US" w:eastAsia="zh-CN"/>
        </w:rPr>
      </w:pPr>
    </w:p>
    <w:p w14:paraId="509AE85E">
      <w:pPr>
        <w:numPr>
          <w:ilvl w:val="0"/>
          <w:numId w:val="0"/>
        </w:numPr>
        <w:bidi w:val="0"/>
        <w:ind w:firstLine="640" w:firstLineChars="200"/>
        <w:rPr>
          <w:rFonts w:hint="eastAsia" w:ascii="黑体" w:hAnsi="黑体" w:eastAsia="黑体" w:cs="黑体"/>
          <w:sz w:val="32"/>
          <w:szCs w:val="32"/>
          <w:u w:val="none"/>
          <w:lang w:val="en-US" w:eastAsia="zh-CN"/>
        </w:rPr>
      </w:pPr>
      <w:r>
        <w:rPr>
          <w:rFonts w:hint="eastAsia" w:ascii="黑体" w:hAnsi="黑体" w:eastAsia="黑体" w:cs="黑体"/>
          <w:u w:val="none"/>
          <w:lang w:val="en-US" w:eastAsia="zh-CN"/>
        </w:rPr>
        <w:t xml:space="preserve">七、政府性基金预算财政拨款收入支出决算情况说明 </w:t>
      </w:r>
    </w:p>
    <w:p w14:paraId="5A50EF1A">
      <w:pPr>
        <w:numPr>
          <w:ilvl w:val="0"/>
          <w:numId w:val="0"/>
        </w:numPr>
        <w:bidi w:val="0"/>
        <w:ind w:firstLine="643" w:firstLineChars="200"/>
        <w:rPr>
          <w:rFonts w:hint="eastAsia" w:ascii="仿宋_GB2312" w:hAnsi="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t>本单位当年无政府性基金预算财政拨款收入支出</w:t>
      </w:r>
      <w:r>
        <w:rPr>
          <w:rFonts w:hint="eastAsia" w:ascii="仿宋_GB2312" w:hAnsi="仿宋_GB2312" w:cs="仿宋_GB2312"/>
          <w:b/>
          <w:bCs/>
          <w:sz w:val="32"/>
          <w:szCs w:val="32"/>
          <w:u w:val="none"/>
          <w:lang w:val="en-US" w:eastAsia="zh-CN"/>
        </w:rPr>
        <w:t>。</w:t>
      </w:r>
    </w:p>
    <w:p w14:paraId="3C3EDB3D">
      <w:pPr>
        <w:numPr>
          <w:ilvl w:val="0"/>
          <w:numId w:val="0"/>
        </w:numPr>
        <w:bidi w:val="0"/>
        <w:ind w:firstLine="643" w:firstLineChars="200"/>
        <w:rPr>
          <w:rFonts w:hint="eastAsia" w:ascii="黑体" w:hAnsi="黑体" w:eastAsia="黑体" w:cs="黑体"/>
          <w:u w:val="none"/>
          <w:lang w:val="en-US" w:eastAsia="zh-CN"/>
        </w:rPr>
      </w:pPr>
      <w:r>
        <w:rPr>
          <w:rFonts w:hint="eastAsia" w:ascii="仿宋_GB2312" w:hAnsi="仿宋_GB2312" w:cs="仿宋_GB2312"/>
          <w:b/>
          <w:bCs/>
          <w:sz w:val="32"/>
          <w:szCs w:val="32"/>
          <w:u w:val="none"/>
          <w:lang w:val="en-US" w:eastAsia="zh-CN"/>
        </w:rPr>
        <w:t>八、</w:t>
      </w:r>
      <w:r>
        <w:rPr>
          <w:rFonts w:hint="eastAsia" w:ascii="黑体" w:hAnsi="黑体" w:eastAsia="黑体" w:cs="黑体"/>
          <w:u w:val="none"/>
          <w:lang w:val="en-US" w:eastAsia="zh-CN"/>
        </w:rPr>
        <w:t>国有资本经营预算财政拨款支出决算情况说明</w:t>
      </w:r>
    </w:p>
    <w:p w14:paraId="6DD4B0B9">
      <w:pPr>
        <w:ind w:firstLine="640"/>
        <w:jc w:val="both"/>
        <w:rPr>
          <w:rFonts w:hint="default"/>
          <w:b/>
          <w:bCs/>
          <w:u w:val="none"/>
          <w:lang w:val="en-US" w:eastAsia="zh-CN"/>
        </w:rPr>
      </w:pPr>
      <w:r>
        <w:rPr>
          <w:rFonts w:hint="eastAsia" w:ascii="仿宋_GB2312" w:hAnsi="仿宋_GB2312" w:cs="仿宋_GB2312"/>
          <w:b/>
          <w:bCs/>
          <w:sz w:val="32"/>
          <w:szCs w:val="32"/>
          <w:u w:val="none"/>
          <w:lang w:val="en-US" w:eastAsia="zh-CN"/>
        </w:rPr>
        <w:t>本单位当年无国有资本经营预算财政拨款支出。</w:t>
      </w:r>
    </w:p>
    <w:p w14:paraId="27AD446B">
      <w:pPr>
        <w:numPr>
          <w:ilvl w:val="0"/>
          <w:numId w:val="0"/>
        </w:numPr>
        <w:bidi w:val="0"/>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 xml:space="preserve">九、一般公共预算财政拨款“三公”经费支出决算情况说明 </w:t>
      </w:r>
    </w:p>
    <w:p w14:paraId="5678C06F">
      <w:pPr>
        <w:numPr>
          <w:ilvl w:val="0"/>
          <w:numId w:val="0"/>
        </w:numPr>
        <w:bidi w:val="0"/>
        <w:ind w:left="640" w:leftChars="200" w:firstLine="0" w:firstLineChars="0"/>
        <w:rPr>
          <w:rFonts w:hint="eastAsia" w:ascii="楷体_GB2312" w:hAnsi="楷体_GB2312" w:eastAsia="楷体_GB2312" w:cs="楷体_GB2312"/>
          <w:u w:val="none"/>
          <w:lang w:val="en-US" w:eastAsia="zh-CN"/>
        </w:rPr>
      </w:pPr>
      <w:r>
        <w:rPr>
          <w:rFonts w:hint="eastAsia" w:ascii="楷体_GB2312" w:hAnsi="楷体_GB2312" w:eastAsia="楷体_GB2312" w:cs="楷体_GB2312"/>
          <w:u w:val="none"/>
          <w:lang w:val="en-US" w:eastAsia="zh-CN"/>
        </w:rPr>
        <w:t>（一）“三公”经费财政拨款支出决算总体情况说明。</w:t>
      </w:r>
    </w:p>
    <w:p w14:paraId="70241927">
      <w:pPr>
        <w:numPr>
          <w:ilvl w:val="0"/>
          <w:numId w:val="0"/>
        </w:numPr>
        <w:bidi w:val="0"/>
        <w:ind w:firstLine="640" w:firstLineChars="200"/>
        <w:rPr>
          <w:rFonts w:hint="eastAsia" w:ascii="仿宋_GB2312" w:hAnsi="仿宋_GB2312" w:eastAsia="仿宋_GB2312" w:cs="仿宋_GB2312"/>
          <w:u w:val="none"/>
          <w:lang w:val="en-US" w:eastAsia="zh-CN"/>
        </w:rPr>
      </w:pPr>
      <w:r>
        <w:rPr>
          <w:rFonts w:hint="eastAsia" w:ascii="仿宋_GB2312" w:hAnsi="仿宋_GB2312" w:cs="仿宋_GB2312"/>
          <w:u w:val="none"/>
          <w:lang w:val="en-US" w:eastAsia="zh-CN"/>
        </w:rPr>
        <w:t>2022</w:t>
      </w:r>
      <w:r>
        <w:rPr>
          <w:rFonts w:hint="eastAsia" w:ascii="仿宋_GB2312" w:hAnsi="仿宋_GB2312" w:eastAsia="仿宋_GB2312" w:cs="仿宋_GB2312"/>
          <w:u w:val="none"/>
          <w:lang w:val="en-US" w:eastAsia="zh-CN"/>
        </w:rPr>
        <w:t xml:space="preserve">年度“三公”经费财政拨款支出预算为 </w:t>
      </w:r>
      <w:r>
        <w:rPr>
          <w:rFonts w:hint="eastAsia" w:ascii="仿宋_GB2312" w:hAnsi="仿宋_GB2312" w:cs="仿宋_GB2312"/>
          <w:u w:val="none"/>
          <w:lang w:val="en-US" w:eastAsia="zh-CN"/>
        </w:rPr>
        <w:t>20.01</w:t>
      </w:r>
      <w:r>
        <w:rPr>
          <w:rFonts w:hint="eastAsia" w:ascii="仿宋_GB2312" w:hAnsi="仿宋_GB2312" w:eastAsia="仿宋_GB2312" w:cs="仿宋_GB2312"/>
          <w:u w:val="none"/>
          <w:lang w:val="en-US" w:eastAsia="zh-CN"/>
        </w:rPr>
        <w:t xml:space="preserve">  万元，支出决算为 </w:t>
      </w:r>
      <w:r>
        <w:rPr>
          <w:rFonts w:hint="eastAsia" w:ascii="仿宋_GB2312" w:hAnsi="仿宋_GB2312" w:cs="仿宋_GB2312"/>
          <w:u w:val="none"/>
          <w:lang w:val="en-US" w:eastAsia="zh-CN"/>
        </w:rPr>
        <w:t>19.94</w:t>
      </w:r>
      <w:r>
        <w:rPr>
          <w:rFonts w:hint="eastAsia" w:ascii="仿宋_GB2312" w:hAnsi="仿宋_GB2312" w:eastAsia="仿宋_GB2312" w:cs="仿宋_GB2312"/>
          <w:u w:val="none"/>
          <w:lang w:val="en-US" w:eastAsia="zh-CN"/>
        </w:rPr>
        <w:t xml:space="preserve">万元，完成预算的 </w:t>
      </w:r>
      <w:r>
        <w:rPr>
          <w:rFonts w:hint="eastAsia" w:ascii="仿宋_GB2312" w:hAnsi="仿宋_GB2312" w:cs="仿宋_GB2312"/>
          <w:u w:val="none"/>
          <w:lang w:val="en-US" w:eastAsia="zh-CN"/>
        </w:rPr>
        <w:t>99.65</w:t>
      </w:r>
      <w:r>
        <w:rPr>
          <w:rFonts w:hint="eastAsia" w:ascii="仿宋_GB2312" w:hAnsi="仿宋_GB2312" w:eastAsia="仿宋_GB2312" w:cs="仿宋_GB2312"/>
          <w:u w:val="none"/>
          <w:lang w:val="en-US" w:eastAsia="zh-CN"/>
        </w:rPr>
        <w:t xml:space="preserve">  %。决算数小于预算数的主要原因：</w:t>
      </w:r>
      <w:r>
        <w:rPr>
          <w:rFonts w:ascii="仿宋_GB2312" w:hAnsi="宋体" w:eastAsia="仿宋_GB2312" w:cs="仿宋_GB2312"/>
          <w:i w:val="0"/>
          <w:iCs w:val="0"/>
          <w:caps w:val="0"/>
          <w:color w:val="252525"/>
          <w:spacing w:val="0"/>
          <w:sz w:val="32"/>
          <w:szCs w:val="32"/>
          <w:u w:val="none"/>
          <w:shd w:val="clear" w:fill="FFFFFF"/>
        </w:rPr>
        <w:t>各部门贯彻落实中央八项规定和厉行节约有关要求，加强公务用车管理，规范公务接待活动，减少了相关支出</w:t>
      </w:r>
      <w:r>
        <w:rPr>
          <w:rFonts w:hint="eastAsia" w:ascii="仿宋_GB2312" w:hAnsi="仿宋_GB2312" w:eastAsia="仿宋_GB2312" w:cs="仿宋_GB2312"/>
          <w:u w:val="none"/>
          <w:lang w:val="en-US" w:eastAsia="zh-CN"/>
        </w:rPr>
        <w:t>。</w:t>
      </w:r>
    </w:p>
    <w:p w14:paraId="6395ACCA">
      <w:pPr>
        <w:numPr>
          <w:ilvl w:val="0"/>
          <w:numId w:val="0"/>
        </w:numPr>
        <w:bidi w:val="0"/>
        <w:ind w:leftChars="200"/>
        <w:rPr>
          <w:rFonts w:hint="eastAsia" w:ascii="楷体_GB2312" w:hAnsi="楷体_GB2312" w:eastAsia="楷体_GB2312" w:cs="楷体_GB2312"/>
          <w:u w:val="none"/>
          <w:lang w:val="en-US" w:eastAsia="zh-CN"/>
        </w:rPr>
      </w:pPr>
      <w:r>
        <w:rPr>
          <w:rFonts w:hint="eastAsia" w:ascii="楷体_GB2312" w:hAnsi="楷体_GB2312" w:eastAsia="楷体_GB2312" w:cs="楷体_GB2312"/>
          <w:u w:val="none"/>
          <w:lang w:val="en-US" w:eastAsia="zh-CN"/>
        </w:rPr>
        <w:t>（二）“三公”经费财政拨款支出决算具体情况说明。</w:t>
      </w:r>
    </w:p>
    <w:p w14:paraId="2A683C01">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yellow"/>
          <w:u w:val="none"/>
        </w:rPr>
      </w:pPr>
      <w:r>
        <w:rPr>
          <w:rFonts w:hint="eastAsia" w:ascii="仿宋_GB2312" w:eastAsia="仿宋_GB2312"/>
          <w:color w:val="000000"/>
          <w:sz w:val="32"/>
          <w:szCs w:val="32"/>
          <w:highlight w:val="none"/>
          <w:u w:val="none"/>
        </w:rPr>
        <w:t>1.因公出国(境)费</w:t>
      </w:r>
      <w:r>
        <w:rPr>
          <w:rFonts w:hint="eastAsia" w:ascii="仿宋_GB2312" w:eastAsia="仿宋_GB2312"/>
          <w:color w:val="000000"/>
          <w:sz w:val="32"/>
          <w:szCs w:val="32"/>
          <w:highlight w:val="none"/>
          <w:u w:val="none"/>
          <w:lang w:val="en-US" w:eastAsia="zh-CN"/>
        </w:rPr>
        <w:t xml:space="preserve">预算为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lang w:val="en-US" w:eastAsia="zh-CN"/>
        </w:rPr>
        <w:t xml:space="preserve"> 万元，</w:t>
      </w:r>
      <w:r>
        <w:rPr>
          <w:rFonts w:hint="eastAsia" w:ascii="仿宋_GB2312" w:eastAsia="仿宋_GB2312"/>
          <w:color w:val="000000"/>
          <w:sz w:val="32"/>
          <w:szCs w:val="32"/>
          <w:highlight w:val="none"/>
          <w:u w:val="none"/>
        </w:rPr>
        <w:t xml:space="preserve">支出决算为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rPr>
        <w:t xml:space="preserve">  万元</w:t>
      </w:r>
      <w:r>
        <w:rPr>
          <w:rFonts w:hint="eastAsia" w:ascii="仿宋_GB2312"/>
          <w:color w:val="000000"/>
          <w:sz w:val="32"/>
          <w:szCs w:val="32"/>
          <w:highlight w:val="none"/>
          <w:u w:val="none"/>
          <w:lang w:eastAsia="zh-CN"/>
        </w:rPr>
        <w:t>，</w:t>
      </w:r>
      <w:r>
        <w:rPr>
          <w:rFonts w:hint="eastAsia" w:ascii="仿宋_GB2312" w:eastAsia="仿宋_GB2312"/>
          <w:color w:val="000000"/>
          <w:sz w:val="32"/>
          <w:szCs w:val="32"/>
          <w:highlight w:val="none"/>
          <w:u w:val="none"/>
        </w:rPr>
        <w:t>主要原因是</w:t>
      </w:r>
      <w:r>
        <w:rPr>
          <w:rFonts w:hint="eastAsia" w:ascii="仿宋_GB2312"/>
          <w:color w:val="000000"/>
          <w:sz w:val="32"/>
          <w:szCs w:val="32"/>
          <w:highlight w:val="none"/>
          <w:u w:val="none"/>
          <w:lang w:val="en-US" w:eastAsia="zh-CN"/>
        </w:rPr>
        <w:t>无应公出国费用</w:t>
      </w:r>
      <w:r>
        <w:rPr>
          <w:rFonts w:hint="eastAsia" w:ascii="仿宋_GB2312" w:eastAsia="仿宋_GB2312"/>
          <w:color w:val="000000"/>
          <w:sz w:val="32"/>
          <w:szCs w:val="32"/>
          <w:highlight w:val="none"/>
          <w:u w:val="none"/>
        </w:rPr>
        <w:t>。</w:t>
      </w:r>
    </w:p>
    <w:p w14:paraId="0D87850E">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u w:val="none"/>
          <w:lang w:val="en-US" w:eastAsia="zh-CN"/>
        </w:rPr>
        <w:t xml:space="preserve">全年支出涉及出国（境）团组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lang w:val="en-US" w:eastAsia="zh-CN"/>
        </w:rPr>
        <w:t xml:space="preserve"> 个，累计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lang w:val="en-US" w:eastAsia="zh-CN"/>
        </w:rPr>
        <w:t xml:space="preserve"> 人次，主要用于开展以下工作：.......。</w:t>
      </w:r>
    </w:p>
    <w:p w14:paraId="3E49BD73">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yellow"/>
          <w:u w:val="none"/>
        </w:rPr>
      </w:pPr>
      <w:r>
        <w:rPr>
          <w:rFonts w:hint="eastAsia" w:ascii="仿宋_GB2312" w:eastAsia="仿宋_GB2312"/>
          <w:color w:val="000000"/>
          <w:sz w:val="32"/>
          <w:szCs w:val="32"/>
          <w:highlight w:val="none"/>
          <w:u w:val="none"/>
        </w:rPr>
        <w:t xml:space="preserve">2.公务用车购置及运行费支出决算为  </w:t>
      </w:r>
      <w:r>
        <w:rPr>
          <w:rFonts w:hint="eastAsia" w:ascii="仿宋_GB2312"/>
          <w:color w:val="000000"/>
          <w:sz w:val="32"/>
          <w:szCs w:val="32"/>
          <w:highlight w:val="none"/>
          <w:u w:val="none"/>
          <w:lang w:val="en-US" w:eastAsia="zh-CN"/>
        </w:rPr>
        <w:t>3.10</w:t>
      </w:r>
      <w:r>
        <w:rPr>
          <w:rFonts w:hint="eastAsia" w:ascii="仿宋_GB2312" w:eastAsia="仿宋_GB2312"/>
          <w:color w:val="000000"/>
          <w:sz w:val="32"/>
          <w:szCs w:val="32"/>
          <w:highlight w:val="none"/>
          <w:u w:val="none"/>
        </w:rPr>
        <w:t xml:space="preserve">  万元，完成</w:t>
      </w:r>
      <w:r>
        <w:rPr>
          <w:rFonts w:hint="eastAsia" w:ascii="仿宋_GB2312" w:eastAsia="仿宋_GB2312"/>
          <w:color w:val="000000"/>
          <w:sz w:val="32"/>
          <w:szCs w:val="32"/>
          <w:highlight w:val="none"/>
          <w:u w:val="none"/>
          <w:lang w:eastAsia="zh-CN"/>
        </w:rPr>
        <w:t>年初</w:t>
      </w:r>
      <w:r>
        <w:rPr>
          <w:rFonts w:hint="eastAsia" w:ascii="仿宋_GB2312" w:eastAsia="仿宋_GB2312"/>
          <w:color w:val="000000"/>
          <w:sz w:val="32"/>
          <w:szCs w:val="32"/>
          <w:highlight w:val="none"/>
          <w:u w:val="none"/>
        </w:rPr>
        <w:t xml:space="preserve">预算的 </w:t>
      </w:r>
      <w:r>
        <w:rPr>
          <w:rFonts w:hint="eastAsia" w:ascii="仿宋_GB2312"/>
          <w:color w:val="000000"/>
          <w:sz w:val="32"/>
          <w:szCs w:val="32"/>
          <w:highlight w:val="none"/>
          <w:u w:val="none"/>
          <w:lang w:val="en-US" w:eastAsia="zh-CN"/>
        </w:rPr>
        <w:t>3.10</w:t>
      </w:r>
      <w:r>
        <w:rPr>
          <w:rFonts w:hint="eastAsia" w:ascii="仿宋_GB2312" w:eastAsia="仿宋_GB2312"/>
          <w:color w:val="000000"/>
          <w:sz w:val="32"/>
          <w:szCs w:val="32"/>
          <w:highlight w:val="none"/>
          <w:u w:val="none"/>
        </w:rPr>
        <w:t xml:space="preserve"> %；其中：</w:t>
      </w:r>
    </w:p>
    <w:p w14:paraId="3D7C0AC2">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u w:val="none"/>
        </w:rPr>
      </w:pPr>
      <w:r>
        <w:rPr>
          <w:rFonts w:hint="eastAsia" w:ascii="仿宋_GB2312" w:eastAsia="仿宋_GB2312"/>
          <w:color w:val="000000"/>
          <w:sz w:val="32"/>
          <w:szCs w:val="32"/>
          <w:highlight w:val="none"/>
          <w:u w:val="none"/>
        </w:rPr>
        <w:t xml:space="preserve">(1)公务用车购置费 </w:t>
      </w:r>
      <w:r>
        <w:rPr>
          <w:rFonts w:hint="eastAsia" w:ascii="仿宋_GB2312"/>
          <w:color w:val="000000"/>
          <w:sz w:val="32"/>
          <w:szCs w:val="32"/>
          <w:highlight w:val="none"/>
          <w:u w:val="none"/>
          <w:lang w:val="en-US" w:eastAsia="zh-CN"/>
        </w:rPr>
        <w:t xml:space="preserve">0 </w:t>
      </w:r>
      <w:r>
        <w:rPr>
          <w:rFonts w:hint="eastAsia" w:ascii="仿宋_GB2312" w:eastAsia="仿宋_GB2312"/>
          <w:color w:val="000000"/>
          <w:sz w:val="32"/>
          <w:szCs w:val="32"/>
          <w:highlight w:val="none"/>
          <w:u w:val="none"/>
        </w:rPr>
        <w:t xml:space="preserve">万元，本年度购置(更新)公务用车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rPr>
        <w:t xml:space="preserve"> 辆</w:t>
      </w:r>
      <w:r>
        <w:rPr>
          <w:rFonts w:hint="eastAsia" w:ascii="仿宋_GB2312" w:eastAsia="仿宋_GB2312"/>
          <w:color w:val="000000"/>
          <w:sz w:val="32"/>
          <w:szCs w:val="32"/>
          <w:highlight w:val="none"/>
          <w:u w:val="none"/>
          <w:lang w:eastAsia="zh-CN"/>
        </w:rPr>
        <w:t>。</w:t>
      </w:r>
    </w:p>
    <w:p w14:paraId="09235ECB">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u w:val="none"/>
        </w:rPr>
        <w:t xml:space="preserve">(2)公务用车运行费 </w:t>
      </w:r>
      <w:r>
        <w:rPr>
          <w:rFonts w:hint="eastAsia" w:ascii="仿宋_GB2312"/>
          <w:color w:val="000000"/>
          <w:sz w:val="32"/>
          <w:szCs w:val="32"/>
          <w:highlight w:val="none"/>
          <w:u w:val="none"/>
          <w:lang w:val="en-US" w:eastAsia="zh-CN"/>
        </w:rPr>
        <w:t>3.10</w:t>
      </w:r>
      <w:r>
        <w:rPr>
          <w:rFonts w:hint="eastAsia" w:ascii="仿宋_GB2312" w:eastAsia="仿宋_GB2312"/>
          <w:color w:val="000000"/>
          <w:sz w:val="32"/>
          <w:szCs w:val="32"/>
          <w:highlight w:val="none"/>
          <w:u w:val="none"/>
        </w:rPr>
        <w:t xml:space="preserve"> 万元，</w:t>
      </w:r>
      <w:r>
        <w:rPr>
          <w:rFonts w:hint="eastAsia" w:ascii="仿宋_GB2312" w:eastAsia="仿宋_GB2312"/>
          <w:color w:val="000000"/>
          <w:sz w:val="32"/>
          <w:szCs w:val="32"/>
          <w:highlight w:val="none"/>
          <w:u w:val="none"/>
          <w:lang w:eastAsia="zh-CN"/>
        </w:rPr>
        <w:t>完成年初</w:t>
      </w:r>
      <w:r>
        <w:rPr>
          <w:rFonts w:hint="eastAsia" w:ascii="仿宋_GB2312" w:eastAsia="仿宋_GB2312"/>
          <w:color w:val="000000"/>
          <w:sz w:val="32"/>
          <w:szCs w:val="32"/>
          <w:highlight w:val="none"/>
          <w:u w:val="none"/>
        </w:rPr>
        <w:t xml:space="preserve">预算的 </w:t>
      </w:r>
      <w:r>
        <w:rPr>
          <w:rFonts w:hint="eastAsia" w:ascii="仿宋_GB2312"/>
          <w:color w:val="000000"/>
          <w:sz w:val="32"/>
          <w:szCs w:val="32"/>
          <w:highlight w:val="none"/>
          <w:u w:val="none"/>
          <w:lang w:val="en-US" w:eastAsia="zh-CN"/>
        </w:rPr>
        <w:t>100</w:t>
      </w:r>
      <w:r>
        <w:rPr>
          <w:rFonts w:hint="eastAsia" w:ascii="仿宋_GB2312" w:eastAsia="仿宋_GB2312"/>
          <w:color w:val="000000"/>
          <w:sz w:val="32"/>
          <w:szCs w:val="32"/>
          <w:highlight w:val="none"/>
          <w:u w:val="none"/>
        </w:rPr>
        <w:t xml:space="preserve"> %，比</w:t>
      </w:r>
      <w:r>
        <w:rPr>
          <w:rFonts w:hint="eastAsia" w:ascii="仿宋_GB2312" w:eastAsia="仿宋_GB2312"/>
          <w:color w:val="000000"/>
          <w:sz w:val="32"/>
          <w:szCs w:val="32"/>
          <w:highlight w:val="none"/>
          <w:u w:val="none"/>
          <w:lang w:eastAsia="zh-CN"/>
        </w:rPr>
        <w:t>年初</w:t>
      </w:r>
      <w:r>
        <w:rPr>
          <w:rFonts w:hint="eastAsia" w:ascii="仿宋_GB2312" w:eastAsia="仿宋_GB2312"/>
          <w:color w:val="000000"/>
          <w:sz w:val="32"/>
          <w:szCs w:val="32"/>
          <w:highlight w:val="none"/>
          <w:u w:val="none"/>
        </w:rPr>
        <w:t xml:space="preserve">预算增加(减少)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rPr>
        <w:t xml:space="preserve">  万元，主要原因是</w:t>
      </w:r>
      <w:r>
        <w:rPr>
          <w:rFonts w:hint="eastAsia" w:ascii="仿宋_GB2312"/>
          <w:color w:val="000000"/>
          <w:sz w:val="32"/>
          <w:szCs w:val="32"/>
          <w:highlight w:val="none"/>
          <w:u w:val="none"/>
          <w:lang w:val="en-US" w:eastAsia="zh-CN"/>
        </w:rPr>
        <w:t>正常规划公车运行费用</w:t>
      </w:r>
      <w:r>
        <w:rPr>
          <w:rFonts w:hint="eastAsia" w:ascii="仿宋_GB2312" w:eastAsia="仿宋_GB2312"/>
          <w:color w:val="000000"/>
          <w:sz w:val="32"/>
          <w:szCs w:val="32"/>
          <w:highlight w:val="none"/>
          <w:u w:val="none"/>
        </w:rPr>
        <w:t>。主要用于</w:t>
      </w:r>
      <w:r>
        <w:rPr>
          <w:rFonts w:hint="eastAsia" w:ascii="仿宋_GB2312"/>
          <w:color w:val="000000"/>
          <w:sz w:val="32"/>
          <w:szCs w:val="32"/>
          <w:highlight w:val="none"/>
          <w:u w:val="none"/>
          <w:lang w:val="en-US" w:eastAsia="zh-CN"/>
        </w:rPr>
        <w:t>公车运行和保养</w:t>
      </w:r>
      <w:r>
        <w:rPr>
          <w:rFonts w:hint="eastAsia" w:ascii="仿宋_GB2312" w:hAnsi="？？" w:eastAsia="仿宋_GB2312" w:cs="宋体"/>
          <w:color w:val="000000"/>
          <w:kern w:val="0"/>
          <w:sz w:val="32"/>
          <w:szCs w:val="32"/>
          <w:highlight w:val="none"/>
          <w:u w:val="none"/>
        </w:rPr>
        <w:t>。</w:t>
      </w:r>
      <w:r>
        <w:rPr>
          <w:rFonts w:hint="eastAsia" w:ascii="仿宋_GB2312" w:eastAsia="仿宋_GB2312"/>
          <w:color w:val="000000"/>
          <w:sz w:val="32"/>
          <w:szCs w:val="32"/>
          <w:highlight w:val="none"/>
          <w:u w:val="none"/>
          <w:lang w:eastAsia="zh-CN"/>
        </w:rPr>
        <w:t>截止</w:t>
      </w:r>
      <w:r>
        <w:rPr>
          <w:rFonts w:hint="eastAsia" w:ascii="仿宋_GB2312"/>
          <w:color w:val="000000"/>
          <w:sz w:val="32"/>
          <w:szCs w:val="32"/>
          <w:highlight w:val="none"/>
          <w:u w:val="none"/>
          <w:lang w:val="en-US" w:eastAsia="zh-CN"/>
        </w:rPr>
        <w:t>2022年</w:t>
      </w:r>
      <w:r>
        <w:rPr>
          <w:rFonts w:hint="eastAsia" w:ascii="仿宋_GB2312" w:eastAsia="仿宋_GB2312"/>
          <w:color w:val="000000"/>
          <w:sz w:val="32"/>
          <w:szCs w:val="32"/>
          <w:highlight w:val="none"/>
          <w:u w:val="none"/>
          <w:lang w:val="en-US" w:eastAsia="zh-CN"/>
        </w:rPr>
        <w:t>12月31日，开支财政拨款的公务用车保有量</w:t>
      </w:r>
      <w:r>
        <w:rPr>
          <w:rFonts w:hint="eastAsia" w:ascii="仿宋_GB2312" w:eastAsia="仿宋_GB2312"/>
          <w:color w:val="000000"/>
          <w:sz w:val="32"/>
          <w:szCs w:val="32"/>
          <w:highlight w:val="none"/>
          <w:u w:val="none"/>
        </w:rPr>
        <w:t xml:space="preserve">  </w:t>
      </w:r>
      <w:r>
        <w:rPr>
          <w:rFonts w:hint="eastAsia" w:ascii="仿宋_GB2312"/>
          <w:color w:val="000000"/>
          <w:sz w:val="32"/>
          <w:szCs w:val="32"/>
          <w:highlight w:val="none"/>
          <w:u w:val="none"/>
          <w:lang w:val="en-US" w:eastAsia="zh-CN"/>
        </w:rPr>
        <w:t>1</w:t>
      </w:r>
      <w:r>
        <w:rPr>
          <w:rFonts w:hint="eastAsia" w:ascii="仿宋_GB2312" w:eastAsia="仿宋_GB2312"/>
          <w:color w:val="000000"/>
          <w:sz w:val="32"/>
          <w:szCs w:val="32"/>
          <w:highlight w:val="none"/>
          <w:u w:val="none"/>
        </w:rPr>
        <w:t xml:space="preserve">  辆</w:t>
      </w:r>
      <w:r>
        <w:rPr>
          <w:rFonts w:hint="eastAsia" w:ascii="仿宋_GB2312" w:eastAsia="仿宋_GB2312"/>
          <w:color w:val="000000"/>
          <w:sz w:val="32"/>
          <w:szCs w:val="32"/>
          <w:highlight w:val="none"/>
          <w:u w:val="none"/>
          <w:lang w:eastAsia="zh-CN"/>
        </w:rPr>
        <w:t>。</w:t>
      </w:r>
    </w:p>
    <w:p w14:paraId="260E00CC">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u w:val="none"/>
        </w:rPr>
        <w:t>3.公务接待费支出决算为</w:t>
      </w:r>
      <w:r>
        <w:rPr>
          <w:rFonts w:hint="eastAsia" w:ascii="仿宋_GB2312"/>
          <w:color w:val="000000"/>
          <w:sz w:val="32"/>
          <w:szCs w:val="32"/>
          <w:highlight w:val="none"/>
          <w:u w:val="none"/>
          <w:lang w:val="en-US" w:eastAsia="zh-CN"/>
        </w:rPr>
        <w:t>16.84</w:t>
      </w:r>
      <w:r>
        <w:rPr>
          <w:rFonts w:hint="eastAsia" w:ascii="仿宋_GB2312" w:eastAsia="仿宋_GB2312"/>
          <w:color w:val="000000"/>
          <w:sz w:val="32"/>
          <w:szCs w:val="32"/>
          <w:highlight w:val="none"/>
          <w:u w:val="none"/>
        </w:rPr>
        <w:t>万元，</w:t>
      </w:r>
      <w:r>
        <w:rPr>
          <w:rFonts w:hint="eastAsia" w:ascii="仿宋_GB2312" w:eastAsia="仿宋_GB2312"/>
          <w:color w:val="000000"/>
          <w:sz w:val="32"/>
          <w:szCs w:val="32"/>
          <w:highlight w:val="none"/>
          <w:u w:val="none"/>
          <w:lang w:eastAsia="zh-CN"/>
        </w:rPr>
        <w:t>完成年初</w:t>
      </w:r>
      <w:r>
        <w:rPr>
          <w:rFonts w:hint="eastAsia" w:ascii="仿宋_GB2312" w:eastAsia="仿宋_GB2312"/>
          <w:color w:val="000000"/>
          <w:sz w:val="32"/>
          <w:szCs w:val="32"/>
          <w:highlight w:val="none"/>
          <w:u w:val="none"/>
        </w:rPr>
        <w:t xml:space="preserve">预算的  </w:t>
      </w:r>
      <w:r>
        <w:rPr>
          <w:rFonts w:hint="eastAsia" w:ascii="仿宋_GB2312"/>
          <w:color w:val="000000"/>
          <w:sz w:val="32"/>
          <w:szCs w:val="32"/>
          <w:highlight w:val="none"/>
          <w:u w:val="none"/>
          <w:lang w:val="en-US" w:eastAsia="zh-CN"/>
        </w:rPr>
        <w:t>99.58</w:t>
      </w:r>
      <w:r>
        <w:rPr>
          <w:rFonts w:hint="eastAsia" w:ascii="仿宋_GB2312" w:eastAsia="仿宋_GB2312"/>
          <w:color w:val="000000"/>
          <w:sz w:val="32"/>
          <w:szCs w:val="32"/>
          <w:highlight w:val="none"/>
          <w:u w:val="none"/>
        </w:rPr>
        <w:t xml:space="preserve"> %，比</w:t>
      </w:r>
      <w:r>
        <w:rPr>
          <w:rFonts w:hint="eastAsia" w:ascii="仿宋_GB2312" w:eastAsia="仿宋_GB2312"/>
          <w:color w:val="000000"/>
          <w:sz w:val="32"/>
          <w:szCs w:val="32"/>
          <w:highlight w:val="none"/>
          <w:u w:val="none"/>
          <w:lang w:eastAsia="zh-CN"/>
        </w:rPr>
        <w:t>年初</w:t>
      </w:r>
      <w:r>
        <w:rPr>
          <w:rFonts w:hint="eastAsia" w:ascii="仿宋_GB2312" w:eastAsia="仿宋_GB2312"/>
          <w:color w:val="000000"/>
          <w:sz w:val="32"/>
          <w:szCs w:val="32"/>
          <w:highlight w:val="none"/>
          <w:u w:val="none"/>
        </w:rPr>
        <w:t>预算增加(减少)</w:t>
      </w:r>
      <w:r>
        <w:rPr>
          <w:rFonts w:hint="eastAsia" w:ascii="仿宋_GB2312"/>
          <w:color w:val="000000"/>
          <w:sz w:val="32"/>
          <w:szCs w:val="32"/>
          <w:highlight w:val="none"/>
          <w:u w:val="none"/>
          <w:lang w:val="en-US" w:eastAsia="zh-CN"/>
        </w:rPr>
        <w:t>0.07</w:t>
      </w:r>
      <w:r>
        <w:rPr>
          <w:rFonts w:hint="eastAsia" w:ascii="仿宋_GB2312" w:eastAsia="仿宋_GB2312"/>
          <w:color w:val="000000"/>
          <w:sz w:val="32"/>
          <w:szCs w:val="32"/>
          <w:highlight w:val="none"/>
          <w:u w:val="none"/>
        </w:rPr>
        <w:t>万元，主要原因是</w:t>
      </w:r>
      <w:r>
        <w:rPr>
          <w:rFonts w:ascii="仿宋_GB2312" w:hAnsi="宋体" w:eastAsia="仿宋_GB2312" w:cs="仿宋_GB2312"/>
          <w:i w:val="0"/>
          <w:iCs w:val="0"/>
          <w:caps w:val="0"/>
          <w:color w:val="252525"/>
          <w:spacing w:val="0"/>
          <w:sz w:val="32"/>
          <w:szCs w:val="32"/>
          <w:u w:val="none"/>
          <w:shd w:val="clear" w:fill="FFFFFF"/>
        </w:rPr>
        <w:t>各部门贯彻落实中央八项规定和厉行节约有关要求规范公务接待活动，减少了相关支出</w:t>
      </w:r>
      <w:r>
        <w:rPr>
          <w:rFonts w:hint="eastAsia" w:ascii="仿宋_GB2312" w:hAnsi="仿宋_GB2312" w:eastAsia="仿宋_GB2312" w:cs="仿宋_GB2312"/>
          <w:u w:val="none"/>
          <w:lang w:val="en-US" w:eastAsia="zh-CN"/>
        </w:rPr>
        <w:t>。</w:t>
      </w:r>
      <w:r>
        <w:rPr>
          <w:rFonts w:hint="eastAsia" w:ascii="仿宋_GB2312" w:eastAsia="仿宋_GB2312"/>
          <w:color w:val="000000"/>
          <w:sz w:val="32"/>
          <w:szCs w:val="32"/>
          <w:highlight w:val="none"/>
          <w:u w:val="none"/>
          <w:lang w:val="en-US" w:eastAsia="zh-CN"/>
        </w:rPr>
        <w:t>其中：</w:t>
      </w:r>
    </w:p>
    <w:p w14:paraId="1685040D">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u w:val="none"/>
          <w:lang w:val="en-US" w:eastAsia="zh-CN"/>
        </w:rPr>
        <w:t xml:space="preserve">外宾接待支出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lang w:val="en-US" w:eastAsia="zh-CN"/>
        </w:rPr>
        <w:t xml:space="preserve">  万元。</w:t>
      </w:r>
      <w:r>
        <w:rPr>
          <w:rFonts w:hint="eastAsia" w:ascii="仿宋_GB2312"/>
          <w:color w:val="000000"/>
          <w:sz w:val="32"/>
          <w:szCs w:val="32"/>
          <w:highlight w:val="none"/>
          <w:u w:val="none"/>
          <w:lang w:val="en-US" w:eastAsia="zh-CN"/>
        </w:rPr>
        <w:t>2022年</w:t>
      </w:r>
      <w:r>
        <w:rPr>
          <w:rFonts w:hint="eastAsia" w:ascii="仿宋_GB2312" w:eastAsia="仿宋_GB2312"/>
          <w:color w:val="000000"/>
          <w:sz w:val="32"/>
          <w:szCs w:val="32"/>
          <w:highlight w:val="none"/>
          <w:u w:val="none"/>
          <w:lang w:val="en-US" w:eastAsia="zh-CN"/>
        </w:rPr>
        <w:t xml:space="preserve">共接待来访团组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lang w:val="en-US" w:eastAsia="zh-CN"/>
        </w:rPr>
        <w:t xml:space="preserve">  个，  </w:t>
      </w:r>
      <w:r>
        <w:rPr>
          <w:rFonts w:hint="eastAsia" w:ascii="仿宋_GB2312"/>
          <w:color w:val="000000"/>
          <w:sz w:val="32"/>
          <w:szCs w:val="32"/>
          <w:highlight w:val="none"/>
          <w:u w:val="none"/>
          <w:lang w:val="en-US" w:eastAsia="zh-CN"/>
        </w:rPr>
        <w:t>0</w:t>
      </w:r>
      <w:r>
        <w:rPr>
          <w:rFonts w:hint="eastAsia" w:ascii="仿宋_GB2312" w:eastAsia="仿宋_GB2312"/>
          <w:color w:val="000000"/>
          <w:sz w:val="32"/>
          <w:szCs w:val="32"/>
          <w:highlight w:val="none"/>
          <w:u w:val="none"/>
          <w:lang w:val="en-US" w:eastAsia="zh-CN"/>
        </w:rPr>
        <w:t xml:space="preserve">   人次（不包括陪同人员）。来访对象主要是......。</w:t>
      </w:r>
    </w:p>
    <w:p w14:paraId="1FD62A2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both"/>
        <w:rPr>
          <w:rFonts w:hint="default"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u w:val="none"/>
          <w:lang w:val="en-US" w:eastAsia="zh-CN"/>
        </w:rPr>
        <w:t>国内公务接待支出</w:t>
      </w:r>
      <w:r>
        <w:rPr>
          <w:rFonts w:hint="eastAsia" w:ascii="仿宋_GB2312"/>
          <w:color w:val="000000"/>
          <w:sz w:val="32"/>
          <w:szCs w:val="32"/>
          <w:highlight w:val="none"/>
          <w:u w:val="none"/>
          <w:lang w:val="en-US" w:eastAsia="zh-CN"/>
        </w:rPr>
        <w:t>16.84</w:t>
      </w:r>
      <w:r>
        <w:rPr>
          <w:rFonts w:hint="eastAsia" w:ascii="仿宋_GB2312" w:eastAsia="仿宋_GB2312"/>
          <w:color w:val="000000"/>
          <w:sz w:val="32"/>
          <w:szCs w:val="32"/>
          <w:highlight w:val="none"/>
          <w:u w:val="none"/>
          <w:lang w:val="en-US" w:eastAsia="zh-CN"/>
        </w:rPr>
        <w:t>万元，接待对象主要是</w:t>
      </w:r>
      <w:r>
        <w:rPr>
          <w:rFonts w:ascii="仿宋" w:hAnsi="仿宋" w:eastAsia="仿宋" w:cs="仿宋"/>
          <w:i w:val="0"/>
          <w:iCs w:val="0"/>
          <w:caps w:val="0"/>
          <w:color w:val="000000"/>
          <w:spacing w:val="0"/>
          <w:sz w:val="32"/>
          <w:szCs w:val="32"/>
          <w:u w:val="none"/>
          <w:shd w:val="clear" w:fill="FFFFFF"/>
        </w:rPr>
        <w:t>上级部门检查、调研、指导工作</w:t>
      </w:r>
      <w:r>
        <w:rPr>
          <w:rFonts w:hint="eastAsia" w:ascii="仿宋" w:hAnsi="仿宋" w:eastAsia="仿宋" w:cs="仿宋"/>
          <w:i w:val="0"/>
          <w:iCs w:val="0"/>
          <w:caps w:val="0"/>
          <w:color w:val="000000"/>
          <w:spacing w:val="0"/>
          <w:sz w:val="32"/>
          <w:szCs w:val="32"/>
          <w:u w:val="none"/>
          <w:shd w:val="clear" w:fill="FFFFFF"/>
          <w:lang w:val="en-US" w:eastAsia="zh-CN"/>
        </w:rPr>
        <w:t>以及</w:t>
      </w:r>
      <w:r>
        <w:rPr>
          <w:rFonts w:hint="eastAsia" w:ascii="仿宋" w:hAnsi="仿宋" w:eastAsia="仿宋" w:cs="仿宋"/>
          <w:i w:val="0"/>
          <w:iCs w:val="0"/>
          <w:caps w:val="0"/>
          <w:color w:val="000000"/>
          <w:spacing w:val="0"/>
          <w:sz w:val="32"/>
          <w:szCs w:val="32"/>
          <w:u w:val="none"/>
          <w:shd w:val="clear" w:fill="FFFFFF"/>
        </w:rPr>
        <w:t>会议、培训和其他重大活动来客</w:t>
      </w:r>
      <w:r>
        <w:rPr>
          <w:rFonts w:hint="eastAsia" w:ascii="仿宋_GB2312" w:eastAsia="仿宋_GB2312"/>
          <w:color w:val="000000"/>
          <w:sz w:val="32"/>
          <w:szCs w:val="32"/>
          <w:highlight w:val="none"/>
          <w:u w:val="none"/>
          <w:lang w:val="en-US" w:eastAsia="zh-CN"/>
        </w:rPr>
        <w:t>，主要是开展</w:t>
      </w:r>
      <w:r>
        <w:rPr>
          <w:rFonts w:ascii="仿宋" w:hAnsi="仿宋" w:eastAsia="仿宋" w:cs="仿宋"/>
          <w:i w:val="0"/>
          <w:iCs w:val="0"/>
          <w:caps w:val="0"/>
          <w:color w:val="000000"/>
          <w:spacing w:val="0"/>
          <w:sz w:val="32"/>
          <w:szCs w:val="32"/>
          <w:u w:val="none"/>
          <w:shd w:val="clear" w:fill="FFFFFF"/>
        </w:rPr>
        <w:t>出席会议、考察调研、执行任务、学习交流、检查指导、请示汇报工作等</w:t>
      </w:r>
      <w:r>
        <w:rPr>
          <w:rFonts w:hint="eastAsia" w:ascii="仿宋_GB2312" w:eastAsia="仿宋_GB2312"/>
          <w:color w:val="000000"/>
          <w:sz w:val="32"/>
          <w:szCs w:val="32"/>
          <w:highlight w:val="none"/>
          <w:u w:val="none"/>
          <w:lang w:val="en-US" w:eastAsia="zh-CN"/>
        </w:rPr>
        <w:t>工作。</w:t>
      </w:r>
      <w:r>
        <w:rPr>
          <w:rFonts w:hint="eastAsia" w:ascii="仿宋_GB2312"/>
          <w:color w:val="000000"/>
          <w:sz w:val="32"/>
          <w:szCs w:val="32"/>
          <w:highlight w:val="none"/>
          <w:u w:val="none"/>
          <w:lang w:val="en-US" w:eastAsia="zh-CN"/>
        </w:rPr>
        <w:t>2022年</w:t>
      </w:r>
      <w:r>
        <w:rPr>
          <w:rFonts w:hint="eastAsia" w:ascii="仿宋_GB2312" w:eastAsia="仿宋_GB2312"/>
          <w:color w:val="000000"/>
          <w:sz w:val="32"/>
          <w:szCs w:val="32"/>
          <w:highlight w:val="none"/>
          <w:u w:val="none"/>
          <w:lang w:val="en-US" w:eastAsia="zh-CN"/>
        </w:rPr>
        <w:t xml:space="preserve">共接待国内来访团组    </w:t>
      </w:r>
      <w:r>
        <w:rPr>
          <w:rFonts w:hint="eastAsia" w:ascii="仿宋_GB2312"/>
          <w:color w:val="000000"/>
          <w:sz w:val="32"/>
          <w:szCs w:val="32"/>
          <w:highlight w:val="none"/>
          <w:u w:val="none"/>
          <w:lang w:val="en-US" w:eastAsia="zh-CN"/>
        </w:rPr>
        <w:t>95批次</w:t>
      </w:r>
      <w:r>
        <w:rPr>
          <w:rFonts w:hint="eastAsia" w:ascii="仿宋_GB2312" w:eastAsia="仿宋_GB2312"/>
          <w:color w:val="000000"/>
          <w:sz w:val="32"/>
          <w:szCs w:val="32"/>
          <w:highlight w:val="none"/>
          <w:u w:val="none"/>
          <w:lang w:val="en-US" w:eastAsia="zh-CN"/>
        </w:rPr>
        <w:t xml:space="preserve">，  </w:t>
      </w:r>
      <w:r>
        <w:rPr>
          <w:rFonts w:hint="eastAsia" w:ascii="仿宋_GB2312"/>
          <w:color w:val="000000"/>
          <w:sz w:val="32"/>
          <w:szCs w:val="32"/>
          <w:highlight w:val="none"/>
          <w:u w:val="none"/>
          <w:lang w:val="en-US" w:eastAsia="zh-CN"/>
        </w:rPr>
        <w:t>625</w:t>
      </w:r>
      <w:r>
        <w:rPr>
          <w:rFonts w:hint="eastAsia" w:ascii="仿宋_GB2312" w:eastAsia="仿宋_GB2312"/>
          <w:color w:val="000000"/>
          <w:sz w:val="32"/>
          <w:szCs w:val="32"/>
          <w:highlight w:val="none"/>
          <w:u w:val="none"/>
          <w:lang w:val="en-US" w:eastAsia="zh-CN"/>
        </w:rPr>
        <w:t xml:space="preserve"> 人次（不包括陪同人员）。</w:t>
      </w:r>
    </w:p>
    <w:p w14:paraId="583FEDBC">
      <w:pPr>
        <w:numPr>
          <w:ilvl w:val="0"/>
          <w:numId w:val="0"/>
        </w:numPr>
        <w:bidi w:val="0"/>
        <w:ind w:leftChars="200"/>
        <w:rPr>
          <w:rFonts w:hint="eastAsia" w:ascii="黑体" w:hAnsi="黑体" w:eastAsia="黑体" w:cs="黑体"/>
          <w:u w:val="none"/>
          <w:lang w:val="en-US" w:eastAsia="zh-CN"/>
        </w:rPr>
      </w:pPr>
    </w:p>
    <w:p w14:paraId="7612F4AF">
      <w:pPr>
        <w:numPr>
          <w:ilvl w:val="0"/>
          <w:numId w:val="0"/>
        </w:numPr>
        <w:bidi w:val="0"/>
        <w:ind w:leftChars="200"/>
        <w:rPr>
          <w:rFonts w:hint="eastAsia" w:ascii="黑体" w:hAnsi="黑体" w:eastAsia="黑体" w:cs="黑体"/>
          <w:u w:val="none"/>
          <w:lang w:val="en-US" w:eastAsia="zh-CN"/>
        </w:rPr>
      </w:pPr>
    </w:p>
    <w:p w14:paraId="0339768A">
      <w:pPr>
        <w:numPr>
          <w:ilvl w:val="0"/>
          <w:numId w:val="0"/>
        </w:numPr>
        <w:bidi w:val="0"/>
        <w:ind w:leftChars="200"/>
        <w:rPr>
          <w:rFonts w:hint="eastAsia" w:ascii="黑体" w:hAnsi="黑体" w:eastAsia="黑体" w:cs="黑体"/>
          <w:u w:val="none"/>
          <w:lang w:val="en-US" w:eastAsia="zh-CN"/>
        </w:rPr>
      </w:pPr>
      <w:r>
        <w:rPr>
          <w:rFonts w:hint="eastAsia" w:ascii="黑体" w:hAnsi="黑体" w:eastAsia="黑体" w:cs="黑体"/>
          <w:u w:val="none"/>
          <w:lang w:val="en-US" w:eastAsia="zh-CN"/>
        </w:rPr>
        <w:t>十、机关运行经费支出说明</w:t>
      </w:r>
    </w:p>
    <w:p w14:paraId="4EE0774E">
      <w:pPr>
        <w:pStyle w:val="10"/>
        <w:rPr>
          <w:rFonts w:hint="eastAsia"/>
          <w:u w:val="none"/>
          <w:lang w:val="en-US" w:eastAsia="zh-CN"/>
        </w:rPr>
      </w:pPr>
      <w:r>
        <w:rPr>
          <w:rFonts w:hint="eastAsia" w:ascii="仿宋_GB2312" w:hAnsi="仿宋_GB2312" w:eastAsia="仿宋_GB2312" w:cs="仿宋_GB2312"/>
          <w:sz w:val="32"/>
          <w:szCs w:val="32"/>
          <w:u w:val="none"/>
        </w:rPr>
        <w:t xml:space="preserve"> </w:t>
      </w:r>
      <w:r>
        <w:rPr>
          <w:rFonts w:hint="eastAsia" w:ascii="仿宋_GB2312" w:hAnsi="仿宋_GB2312" w:eastAsia="仿宋_GB2312" w:cs="仿宋_GB2312"/>
          <w:sz w:val="32"/>
          <w:szCs w:val="32"/>
          <w:u w:val="none"/>
          <w:lang w:val="en-US" w:eastAsia="zh-CN"/>
        </w:rPr>
        <w:t>潜江市老新镇人民政府2022</w:t>
      </w:r>
      <w:r>
        <w:rPr>
          <w:rFonts w:hint="eastAsia" w:ascii="仿宋_GB2312" w:hAnsi="仿宋_GB2312" w:eastAsia="仿宋_GB2312" w:cs="仿宋_GB2312"/>
          <w:sz w:val="32"/>
          <w:szCs w:val="32"/>
          <w:u w:val="none"/>
        </w:rPr>
        <w:t xml:space="preserve">年度机关运行经费支出 </w:t>
      </w:r>
      <w:r>
        <w:rPr>
          <w:rFonts w:hint="eastAsia" w:ascii="仿宋_GB2312" w:hAnsi="仿宋_GB2312" w:eastAsia="仿宋_GB2312" w:cs="仿宋_GB2312"/>
          <w:sz w:val="32"/>
          <w:szCs w:val="32"/>
          <w:u w:val="none"/>
          <w:lang w:val="en-US" w:eastAsia="zh-CN"/>
        </w:rPr>
        <w:t>642.79</w:t>
      </w:r>
      <w:r>
        <w:rPr>
          <w:rFonts w:hint="eastAsia" w:ascii="仿宋_GB2312" w:hAnsi="仿宋_GB2312" w:eastAsia="仿宋_GB2312" w:cs="仿宋_GB2312"/>
          <w:sz w:val="32"/>
          <w:szCs w:val="32"/>
          <w:u w:val="none"/>
        </w:rPr>
        <w:t>万元，比年初预算数</w:t>
      </w:r>
      <w:r>
        <w:rPr>
          <w:rFonts w:hint="eastAsia" w:ascii="仿宋_GB2312" w:hAnsi="仿宋_GB2312" w:eastAsia="仿宋_GB2312" w:cs="仿宋_GB2312"/>
          <w:sz w:val="32"/>
          <w:szCs w:val="32"/>
          <w:u w:val="none"/>
          <w:lang w:val="en-US" w:eastAsia="zh-CN"/>
        </w:rPr>
        <w:t>增加12.79</w:t>
      </w:r>
      <w:r>
        <w:rPr>
          <w:rFonts w:hint="eastAsia" w:ascii="仿宋_GB2312" w:hAnsi="仿宋_GB2312" w:eastAsia="仿宋_GB2312" w:cs="仿宋_GB2312"/>
          <w:sz w:val="32"/>
          <w:szCs w:val="32"/>
          <w:u w:val="none"/>
        </w:rPr>
        <w:t xml:space="preserve"> 万元，增长</w:t>
      </w:r>
      <w:r>
        <w:rPr>
          <w:rFonts w:hint="eastAsia" w:ascii="仿宋_GB2312" w:hAnsi="仿宋_GB2312" w:eastAsia="仿宋_GB2312" w:cs="仿宋_GB2312"/>
          <w:sz w:val="32"/>
          <w:szCs w:val="32"/>
          <w:u w:val="none"/>
          <w:lang w:val="en-US" w:eastAsia="zh-CN"/>
        </w:rPr>
        <w:t>2.03</w:t>
      </w:r>
      <w:r>
        <w:rPr>
          <w:rFonts w:hint="eastAsia" w:ascii="仿宋_GB2312" w:hAnsi="仿宋_GB2312" w:eastAsia="仿宋_GB2312" w:cs="仿宋_GB2312"/>
          <w:sz w:val="32"/>
          <w:szCs w:val="32"/>
          <w:u w:val="none"/>
        </w:rPr>
        <w:t>%。主要原因是：办公设施设备购置经费增加</w:t>
      </w:r>
      <w:r>
        <w:rPr>
          <w:rFonts w:hint="eastAsia" w:ascii="仿宋_GB2312" w:hAnsi="仿宋_GB2312" w:eastAsia="仿宋_GB2312" w:cs="仿宋_GB2312"/>
          <w:sz w:val="32"/>
          <w:szCs w:val="32"/>
          <w:u w:val="none"/>
          <w:lang w:val="en-US" w:eastAsia="zh-CN"/>
        </w:rPr>
        <w:t>10.49万元，</w:t>
      </w:r>
      <w:r>
        <w:rPr>
          <w:rFonts w:hint="eastAsia" w:ascii="仿宋_GB2312" w:hAnsi="仿宋_GB2312" w:eastAsia="仿宋_GB2312" w:cs="仿宋_GB2312"/>
          <w:sz w:val="32"/>
          <w:szCs w:val="32"/>
          <w:u w:val="none"/>
        </w:rPr>
        <w:t>信息系统运行维护支出增加</w:t>
      </w:r>
      <w:r>
        <w:rPr>
          <w:rFonts w:hint="eastAsia" w:ascii="仿宋_GB2312" w:hAnsi="仿宋_GB2312" w:eastAsia="仿宋_GB2312" w:cs="仿宋_GB2312"/>
          <w:sz w:val="32"/>
          <w:szCs w:val="32"/>
          <w:u w:val="none"/>
          <w:lang w:val="en-US" w:eastAsia="zh-CN"/>
        </w:rPr>
        <w:t>2.28万元。</w:t>
      </w:r>
      <w:r>
        <w:rPr>
          <w:rFonts w:hint="eastAsia" w:ascii="仿宋_GB2312" w:hAnsi="仿宋_GB2312" w:eastAsia="仿宋_GB2312" w:cs="仿宋_GB2312"/>
          <w:sz w:val="32"/>
          <w:szCs w:val="32"/>
          <w:u w:val="none"/>
        </w:rPr>
        <w:t>机关运行经费支出口径应在专业名词解释中予以说明。</w:t>
      </w:r>
    </w:p>
    <w:p w14:paraId="4A3D4970">
      <w:pPr>
        <w:numPr>
          <w:ilvl w:val="0"/>
          <w:numId w:val="0"/>
        </w:numPr>
        <w:bidi w:val="0"/>
        <w:ind w:leftChars="200"/>
        <w:rPr>
          <w:rFonts w:hint="eastAsia" w:ascii="黑体" w:hAnsi="黑体" w:eastAsia="黑体" w:cs="黑体"/>
          <w:u w:val="none"/>
          <w:lang w:val="en-US" w:eastAsia="zh-CN"/>
        </w:rPr>
      </w:pPr>
      <w:r>
        <w:rPr>
          <w:rFonts w:hint="eastAsia" w:ascii="黑体" w:hAnsi="黑体" w:eastAsia="黑体" w:cs="黑体"/>
          <w:u w:val="none"/>
          <w:lang w:val="en-US" w:eastAsia="zh-CN"/>
        </w:rPr>
        <w:t>十一、政府采购支出说明</w:t>
      </w:r>
    </w:p>
    <w:p w14:paraId="0AAAD33E">
      <w:pPr>
        <w:pStyle w:val="10"/>
        <w:rPr>
          <w:rFonts w:hint="eastAsia"/>
          <w:u w:val="none"/>
          <w:lang w:val="en-US" w:eastAsia="zh-CN"/>
        </w:rPr>
      </w:pPr>
      <w:r>
        <w:rPr>
          <w:rFonts w:hint="eastAsia" w:ascii="仿宋_GB2312" w:hAnsi="仿宋_GB2312" w:eastAsia="仿宋_GB2312" w:cs="仿宋_GB2312"/>
          <w:sz w:val="32"/>
          <w:szCs w:val="32"/>
          <w:u w:val="none"/>
          <w:lang w:val="en-US" w:eastAsia="zh-CN"/>
        </w:rPr>
        <w:t>潜江市老新镇人民政府2022</w:t>
      </w:r>
      <w:r>
        <w:rPr>
          <w:rFonts w:hint="eastAsia" w:ascii="仿宋_GB2312" w:hAnsi="仿宋_GB2312" w:eastAsia="仿宋_GB2312" w:cs="仿宋_GB2312"/>
          <w:sz w:val="32"/>
          <w:szCs w:val="32"/>
          <w:u w:val="none"/>
        </w:rPr>
        <w:t>年度政府采购支出总额</w:t>
      </w:r>
      <w:r>
        <w:rPr>
          <w:rFonts w:hint="eastAsia" w:ascii="仿宋_GB2312" w:hAnsi="仿宋_GB2312" w:eastAsia="仿宋_GB2312" w:cs="仿宋_GB2312"/>
          <w:sz w:val="32"/>
          <w:szCs w:val="32"/>
          <w:u w:val="none"/>
          <w:lang w:val="en-US" w:eastAsia="zh-CN"/>
        </w:rPr>
        <w:t>0</w:t>
      </w:r>
      <w:r>
        <w:rPr>
          <w:rFonts w:hint="eastAsia" w:ascii="仿宋_GB2312" w:hAnsi="仿宋_GB2312" w:eastAsia="仿宋_GB2312" w:cs="仿宋_GB2312"/>
          <w:sz w:val="32"/>
          <w:szCs w:val="32"/>
          <w:u w:val="none"/>
        </w:rPr>
        <w:t xml:space="preserve"> 万元，</w:t>
      </w:r>
    </w:p>
    <w:p w14:paraId="0E641218">
      <w:pPr>
        <w:numPr>
          <w:ilvl w:val="0"/>
          <w:numId w:val="0"/>
        </w:numPr>
        <w:bidi w:val="0"/>
        <w:ind w:leftChars="200"/>
        <w:rPr>
          <w:rFonts w:hint="eastAsia" w:ascii="黑体" w:hAnsi="黑体" w:eastAsia="黑体" w:cs="黑体"/>
          <w:u w:val="none"/>
          <w:lang w:val="en-US" w:eastAsia="zh-CN"/>
        </w:rPr>
      </w:pPr>
      <w:r>
        <w:rPr>
          <w:rFonts w:hint="eastAsia" w:ascii="黑体" w:hAnsi="黑体" w:eastAsia="黑体" w:cs="黑体"/>
          <w:u w:val="none"/>
          <w:lang w:val="en-US" w:eastAsia="zh-CN"/>
        </w:rPr>
        <w:t>十二、国有资产占用情况说明</w:t>
      </w:r>
    </w:p>
    <w:p w14:paraId="30B565E6">
      <w:pPr>
        <w:bidi w:val="0"/>
        <w:ind w:firstLine="640" w:firstLineChars="200"/>
        <w:rPr>
          <w:rFonts w:hint="eastAsia"/>
          <w:u w:val="none"/>
          <w:lang w:val="en-US" w:eastAsia="zh-CN"/>
        </w:rPr>
      </w:pPr>
      <w:r>
        <w:rPr>
          <w:rFonts w:hint="eastAsia" w:ascii="仿宋_GB2312" w:hAnsi="仿宋_GB2312" w:eastAsia="仿宋_GB2312" w:cs="仿宋_GB2312"/>
          <w:szCs w:val="32"/>
          <w:u w:val="none"/>
        </w:rPr>
        <w:t xml:space="preserve">截至 </w:t>
      </w:r>
      <w:r>
        <w:rPr>
          <w:rFonts w:hint="eastAsia" w:ascii="仿宋_GB2312" w:hAnsi="仿宋_GB2312" w:cs="仿宋_GB2312"/>
          <w:szCs w:val="32"/>
          <w:u w:val="none"/>
          <w:lang w:val="en-US" w:eastAsia="zh-CN"/>
        </w:rPr>
        <w:t>2022</w:t>
      </w:r>
      <w:r>
        <w:rPr>
          <w:rFonts w:hint="eastAsia" w:ascii="仿宋_GB2312" w:hAnsi="仿宋_GB2312" w:eastAsia="仿宋_GB2312" w:cs="仿宋_GB2312"/>
          <w:szCs w:val="32"/>
          <w:u w:val="none"/>
        </w:rPr>
        <w:t>年 12月31日，部门</w:t>
      </w:r>
      <w:r>
        <w:rPr>
          <w:rFonts w:hint="eastAsia" w:ascii="仿宋_GB2312" w:hAnsi="仿宋_GB2312" w:eastAsia="仿宋_GB2312" w:cs="仿宋_GB2312"/>
          <w:szCs w:val="32"/>
          <w:u w:val="none"/>
          <w:lang w:eastAsia="zh-CN"/>
        </w:rPr>
        <w:t>（单位）</w:t>
      </w:r>
      <w:r>
        <w:rPr>
          <w:rFonts w:hint="eastAsia" w:ascii="仿宋_GB2312" w:hAnsi="仿宋_GB2312" w:eastAsia="仿宋_GB2312" w:cs="仿宋_GB2312"/>
          <w:szCs w:val="32"/>
          <w:u w:val="none"/>
        </w:rPr>
        <w:t xml:space="preserve">共有车辆 </w:t>
      </w:r>
      <w:r>
        <w:rPr>
          <w:rFonts w:hint="eastAsia" w:ascii="仿宋_GB2312" w:hAnsi="仿宋_GB2312" w:cs="仿宋_GB2312"/>
          <w:szCs w:val="32"/>
          <w:u w:val="none"/>
          <w:lang w:val="en-US" w:eastAsia="zh-CN"/>
        </w:rPr>
        <w:t>1</w:t>
      </w:r>
      <w:r>
        <w:rPr>
          <w:rFonts w:hint="eastAsia" w:ascii="仿宋_GB2312" w:hAnsi="仿宋_GB2312" w:eastAsia="仿宋_GB2312" w:cs="仿宋_GB2312"/>
          <w:szCs w:val="32"/>
          <w:u w:val="none"/>
        </w:rPr>
        <w:t xml:space="preserve"> 辆，其中，副省级及以上领导干部用车 </w:t>
      </w:r>
      <w:r>
        <w:rPr>
          <w:rFonts w:hint="eastAsia" w:ascii="仿宋_GB2312" w:hAnsi="仿宋_GB2312" w:cs="仿宋_GB2312"/>
          <w:szCs w:val="32"/>
          <w:u w:val="none"/>
          <w:lang w:val="en-US" w:eastAsia="zh-CN"/>
        </w:rPr>
        <w:t>0</w:t>
      </w:r>
      <w:r>
        <w:rPr>
          <w:rFonts w:hint="eastAsia" w:ascii="仿宋_GB2312" w:hAnsi="仿宋_GB2312" w:eastAsia="仿宋_GB2312" w:cs="仿宋_GB2312"/>
          <w:szCs w:val="32"/>
          <w:u w:val="none"/>
        </w:rPr>
        <w:t>辆、主要领导干部用车</w:t>
      </w:r>
      <w:r>
        <w:rPr>
          <w:rFonts w:hint="eastAsia" w:ascii="仿宋_GB2312" w:hAnsi="仿宋_GB2312" w:cs="仿宋_GB2312"/>
          <w:szCs w:val="32"/>
          <w:u w:val="none"/>
          <w:lang w:val="en-US" w:eastAsia="zh-CN"/>
        </w:rPr>
        <w:t>1</w:t>
      </w:r>
      <w:r>
        <w:rPr>
          <w:rFonts w:hint="eastAsia" w:ascii="仿宋_GB2312" w:hAnsi="仿宋_GB2312" w:eastAsia="仿宋_GB2312" w:cs="仿宋_GB2312"/>
          <w:szCs w:val="32"/>
          <w:u w:val="none"/>
        </w:rPr>
        <w:t>辆、机要通信用车</w:t>
      </w:r>
      <w:r>
        <w:rPr>
          <w:rFonts w:hint="eastAsia" w:ascii="仿宋_GB2312" w:hAnsi="仿宋_GB2312" w:cs="仿宋_GB2312"/>
          <w:szCs w:val="32"/>
          <w:u w:val="none"/>
          <w:lang w:val="en-US" w:eastAsia="zh-CN"/>
        </w:rPr>
        <w:t>0</w:t>
      </w:r>
      <w:r>
        <w:rPr>
          <w:rFonts w:hint="eastAsia" w:ascii="仿宋_GB2312" w:hAnsi="仿宋_GB2312" w:eastAsia="仿宋_GB2312" w:cs="仿宋_GB2312"/>
          <w:szCs w:val="32"/>
          <w:u w:val="none"/>
        </w:rPr>
        <w:t xml:space="preserve"> 辆、应急保障用车 </w:t>
      </w:r>
      <w:r>
        <w:rPr>
          <w:rFonts w:hint="eastAsia" w:ascii="仿宋_GB2312" w:hAnsi="仿宋_GB2312" w:cs="仿宋_GB2312"/>
          <w:szCs w:val="32"/>
          <w:u w:val="none"/>
          <w:lang w:val="en-US" w:eastAsia="zh-CN"/>
        </w:rPr>
        <w:t>0</w:t>
      </w:r>
      <w:r>
        <w:rPr>
          <w:rFonts w:hint="eastAsia" w:ascii="仿宋_GB2312" w:hAnsi="仿宋_GB2312" w:eastAsia="仿宋_GB2312" w:cs="仿宋_GB2312"/>
          <w:szCs w:val="32"/>
          <w:u w:val="none"/>
        </w:rPr>
        <w:t xml:space="preserve">辆、执法执勤用车 </w:t>
      </w:r>
      <w:r>
        <w:rPr>
          <w:rFonts w:hint="eastAsia" w:ascii="仿宋_GB2312" w:hAnsi="仿宋_GB2312" w:cs="仿宋_GB2312"/>
          <w:szCs w:val="32"/>
          <w:u w:val="none"/>
          <w:lang w:val="en-US" w:eastAsia="zh-CN"/>
        </w:rPr>
        <w:t>0</w:t>
      </w:r>
      <w:r>
        <w:rPr>
          <w:rFonts w:hint="eastAsia" w:ascii="仿宋_GB2312" w:hAnsi="仿宋_GB2312" w:eastAsia="仿宋_GB2312" w:cs="仿宋_GB2312"/>
          <w:szCs w:val="32"/>
          <w:u w:val="none"/>
        </w:rPr>
        <w:t xml:space="preserve">辆、特种专业技术用车 </w:t>
      </w:r>
      <w:r>
        <w:rPr>
          <w:rFonts w:hint="eastAsia" w:ascii="仿宋_GB2312" w:hAnsi="仿宋_GB2312" w:cs="仿宋_GB2312"/>
          <w:szCs w:val="32"/>
          <w:u w:val="none"/>
          <w:lang w:val="en-US" w:eastAsia="zh-CN"/>
        </w:rPr>
        <w:t>0</w:t>
      </w:r>
      <w:r>
        <w:rPr>
          <w:rFonts w:hint="eastAsia" w:ascii="仿宋_GB2312" w:hAnsi="仿宋_GB2312" w:eastAsia="仿宋_GB2312" w:cs="仿宋_GB2312"/>
          <w:szCs w:val="32"/>
          <w:u w:val="none"/>
        </w:rPr>
        <w:t xml:space="preserve">辆、其他用车 </w:t>
      </w:r>
      <w:r>
        <w:rPr>
          <w:rFonts w:hint="eastAsia" w:ascii="仿宋_GB2312" w:hAnsi="仿宋_GB2312" w:cs="仿宋_GB2312"/>
          <w:szCs w:val="32"/>
          <w:u w:val="none"/>
          <w:lang w:val="en-US" w:eastAsia="zh-CN"/>
        </w:rPr>
        <w:t>0</w:t>
      </w:r>
      <w:r>
        <w:rPr>
          <w:rFonts w:hint="eastAsia" w:ascii="仿宋_GB2312" w:hAnsi="仿宋_GB2312" w:eastAsia="仿宋_GB2312" w:cs="仿宋_GB2312"/>
          <w:szCs w:val="32"/>
          <w:u w:val="none"/>
        </w:rPr>
        <w:t xml:space="preserve"> 辆；单位价值50 万元以上通用设备 </w:t>
      </w:r>
      <w:r>
        <w:rPr>
          <w:rFonts w:hint="eastAsia"/>
          <w:u w:val="none"/>
          <w:lang w:val="en-US" w:eastAsia="zh-CN"/>
        </w:rPr>
        <w:t>0</w:t>
      </w:r>
      <w:r>
        <w:rPr>
          <w:rFonts w:hint="eastAsia"/>
          <w:u w:val="none"/>
        </w:rPr>
        <w:t xml:space="preserve">台（套）；单位价值 100 万元以上专用设备 </w:t>
      </w:r>
      <w:r>
        <w:rPr>
          <w:rFonts w:hint="eastAsia"/>
          <w:u w:val="none"/>
          <w:lang w:val="en-US" w:eastAsia="zh-CN"/>
        </w:rPr>
        <w:t>0</w:t>
      </w:r>
      <w:r>
        <w:rPr>
          <w:rFonts w:hint="eastAsia"/>
          <w:u w:val="none"/>
        </w:rPr>
        <w:t>台（套）。</w:t>
      </w:r>
    </w:p>
    <w:p w14:paraId="16D50FB9">
      <w:pPr>
        <w:bidi w:val="0"/>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十三、预算绩效情况说明</w:t>
      </w:r>
    </w:p>
    <w:p w14:paraId="4B5D6AA5">
      <w:pPr>
        <w:bidi w:val="0"/>
        <w:ind w:firstLine="640" w:firstLineChars="200"/>
        <w:rPr>
          <w:rFonts w:hint="eastAsia" w:ascii="仿宋_GB2312" w:hAnsi="仿宋_GB2312" w:eastAsia="仿宋_GB2312" w:cs="仿宋_GB2312"/>
          <w:szCs w:val="32"/>
          <w:u w:val="none"/>
        </w:rPr>
      </w:pPr>
      <w:r>
        <w:rPr>
          <w:rFonts w:hint="eastAsia" w:ascii="仿宋_GB2312" w:hAnsi="仿宋_GB2312" w:eastAsia="仿宋_GB2312" w:cs="仿宋_GB2312"/>
          <w:szCs w:val="32"/>
          <w:u w:val="none"/>
          <w:lang w:val="en-US" w:eastAsia="zh-CN"/>
        </w:rPr>
        <w:t>(一)</w:t>
      </w:r>
      <w:r>
        <w:rPr>
          <w:rFonts w:hint="eastAsia" w:ascii="仿宋_GB2312" w:hAnsi="仿宋_GB2312" w:eastAsia="仿宋_GB2312" w:cs="仿宋_GB2312"/>
          <w:szCs w:val="32"/>
          <w:u w:val="none"/>
        </w:rPr>
        <w:t>预算绩效管理工作开展情况</w:t>
      </w:r>
      <w:r>
        <w:rPr>
          <w:rFonts w:hint="eastAsia" w:ascii="仿宋_GB2312" w:hAnsi="仿宋_GB2312" w:eastAsia="仿宋_GB2312" w:cs="仿宋_GB2312"/>
          <w:szCs w:val="32"/>
          <w:u w:val="none"/>
          <w:lang w:eastAsia="zh-CN"/>
        </w:rPr>
        <w:t>。</w:t>
      </w:r>
      <w:r>
        <w:rPr>
          <w:rFonts w:hint="eastAsia" w:ascii="仿宋_GB2312" w:hAnsi="仿宋_GB2312" w:eastAsia="仿宋_GB2312" w:cs="仿宋_GB2312"/>
          <w:szCs w:val="32"/>
          <w:u w:val="none"/>
        </w:rPr>
        <w:t xml:space="preserve"> 财政局未对乡镇进行预算绩效管理，本单位当年根据有关未开展绩效评价工作。今后将根据有关规定根据市财政局要求进行绩效评价工作。 </w:t>
      </w:r>
    </w:p>
    <w:p w14:paraId="3FC8AAFF">
      <w:pPr>
        <w:bidi w:val="0"/>
        <w:ind w:firstLine="640" w:firstLineChars="200"/>
        <w:rPr>
          <w:rFonts w:hint="eastAsia" w:ascii="仿宋_GB2312" w:hAnsi="仿宋_GB2312" w:eastAsia="仿宋_GB2312" w:cs="仿宋_GB2312"/>
          <w:szCs w:val="32"/>
          <w:u w:val="none"/>
        </w:rPr>
      </w:pPr>
      <w:r>
        <w:rPr>
          <w:rFonts w:hint="eastAsia" w:ascii="仿宋_GB2312" w:hAnsi="仿宋_GB2312" w:eastAsia="仿宋_GB2312" w:cs="仿宋_GB2312"/>
          <w:szCs w:val="32"/>
          <w:u w:val="none"/>
        </w:rPr>
        <w:t xml:space="preserve">（二）部门决算中项目绩效自评结果。 本单位当年根据内部管理要求对办事处对 2021 年度一般公共预算项目支出全面开展绩效自评，从评价情况来看，本单位整体支出主要用途是办事处正常开支，保证办事处工作正常运转，较好的完成了年度工作目标。项目资金做到了专款专用，资金使用审批手续完备，符合相关财务制度；不存在截留、挤占支出等情况，总体执行情况良好。 </w:t>
      </w:r>
    </w:p>
    <w:p w14:paraId="6493D9EC">
      <w:pPr>
        <w:bidi w:val="0"/>
        <w:ind w:firstLine="640" w:firstLineChars="200"/>
        <w:rPr>
          <w:rFonts w:hint="eastAsia" w:ascii="仿宋_GB2312" w:hAnsi="仿宋_GB2312" w:eastAsia="仿宋_GB2312" w:cs="仿宋_GB2312"/>
          <w:szCs w:val="32"/>
          <w:u w:val="none"/>
          <w:lang w:eastAsia="zh-CN"/>
        </w:rPr>
      </w:pPr>
      <w:r>
        <w:rPr>
          <w:rFonts w:hint="eastAsia" w:ascii="仿宋_GB2312" w:hAnsi="仿宋_GB2312" w:eastAsia="仿宋_GB2312" w:cs="仿宋_GB2312"/>
          <w:szCs w:val="32"/>
          <w:u w:val="none"/>
        </w:rPr>
        <w:t>（三）绩效评价结果应用情况。 根据部门绩效评价结果，进一步强化预算管理。严格执行年初预算，严禁超预算或者无预算安排支出。加大公用执 行经费的预算力度，重大支出项目做到有计划、有监督、有评估，做到支出有据可依，确保预算、决算的一致性。二是严格执行行政事业单位会计制度，加强财务人员培训，按会计制度办事</w:t>
      </w:r>
    </w:p>
    <w:p w14:paraId="5A41FE92">
      <w:pPr>
        <w:spacing w:line="560" w:lineRule="exact"/>
        <w:ind w:firstLine="64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十四、财政专项支出、专项转移支付支出的部门（单位）参照部门预算公开的范围、体例和内容进行公开。</w:t>
      </w:r>
    </w:p>
    <w:p w14:paraId="616EE73B">
      <w:pPr>
        <w:spacing w:line="560" w:lineRule="exact"/>
        <w:ind w:firstLine="640"/>
        <w:rPr>
          <w:rFonts w:hint="eastAsia" w:ascii="黑体" w:hAnsi="黑体" w:eastAsia="黑体" w:cs="黑体"/>
          <w:kern w:val="2"/>
          <w:sz w:val="32"/>
          <w:szCs w:val="32"/>
          <w:lang w:val="en-US" w:eastAsia="zh-CN" w:bidi="ar-SA"/>
        </w:rPr>
      </w:pPr>
      <w:r>
        <w:rPr>
          <w:rFonts w:hint="eastAsia" w:ascii="仿宋_GB2312" w:hAnsi="仿宋_GB2312" w:eastAsia="仿宋_GB2312" w:cs="仿宋_GB2312"/>
          <w:szCs w:val="32"/>
        </w:rPr>
        <w:t>本单位无财政专项支出、专项转移支付支出。</w:t>
      </w:r>
    </w:p>
    <w:p w14:paraId="757FC9C2">
      <w:pPr>
        <w:pStyle w:val="10"/>
        <w:numPr>
          <w:ilvl w:val="0"/>
          <w:numId w:val="2"/>
        </w:num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其他需要说明的情况</w:t>
      </w:r>
    </w:p>
    <w:p w14:paraId="4EE6CA53">
      <w:pPr>
        <w:pStyle w:val="10"/>
        <w:numPr>
          <w:ilvl w:val="0"/>
          <w:numId w:val="0"/>
        </w:numP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无其他需要说明的情况</w:t>
      </w:r>
    </w:p>
    <w:p w14:paraId="0FBB9675">
      <w:pPr>
        <w:pStyle w:val="1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第五部分  名词解释</w:t>
      </w:r>
    </w:p>
    <w:p w14:paraId="66BB11D6">
      <w:pPr>
        <w:pageBreakBefore w:val="0"/>
        <w:widowControl w:val="0"/>
        <w:kinsoku/>
        <w:wordWrap/>
        <w:overflowPunct/>
        <w:topLinePunct w:val="0"/>
        <w:bidi w:val="0"/>
        <w:spacing w:line="360" w:lineRule="auto"/>
        <w:ind w:firstLine="640" w:firstLineChars="200"/>
        <w:textAlignment w:val="auto"/>
        <w:rPr>
          <w:rFonts w:hint="eastAsia" w:ascii="仿宋_GB2312" w:eastAsia="仿宋_GB2312"/>
          <w:bCs/>
          <w:kern w:val="44"/>
          <w:sz w:val="32"/>
          <w:szCs w:val="32"/>
          <w:highlight w:val="none"/>
          <w:lang w:eastAsia="zh-CN"/>
        </w:rPr>
      </w:pPr>
      <w:r>
        <w:rPr>
          <w:rFonts w:hint="eastAsia" w:ascii="仿宋_GB2312" w:eastAsia="仿宋_GB2312"/>
          <w:bCs/>
          <w:kern w:val="44"/>
          <w:sz w:val="32"/>
          <w:szCs w:val="32"/>
          <w:highlight w:val="none"/>
        </w:rPr>
        <w:t>(一)</w:t>
      </w:r>
      <w:r>
        <w:rPr>
          <w:rFonts w:hint="eastAsia" w:ascii="仿宋_GB2312" w:eastAsia="仿宋_GB2312"/>
          <w:spacing w:val="6"/>
          <w:sz w:val="32"/>
          <w:szCs w:val="32"/>
          <w:highlight w:val="none"/>
        </w:rPr>
        <w:t>一般公共预算</w:t>
      </w:r>
      <w:r>
        <w:rPr>
          <w:rFonts w:hint="eastAsia" w:ascii="仿宋_GB2312" w:eastAsia="仿宋_GB2312"/>
          <w:bCs/>
          <w:kern w:val="44"/>
          <w:sz w:val="32"/>
          <w:szCs w:val="32"/>
          <w:highlight w:val="none"/>
        </w:rPr>
        <w:t>财政拨款收入：</w:t>
      </w:r>
      <w:r>
        <w:rPr>
          <w:rFonts w:hint="default" w:ascii="仿宋_GB2312" w:eastAsia="仿宋_GB2312"/>
          <w:bCs/>
          <w:kern w:val="44"/>
          <w:sz w:val="32"/>
          <w:szCs w:val="32"/>
          <w:highlight w:val="none"/>
        </w:rPr>
        <w:t>指</w:t>
      </w:r>
      <w:r>
        <w:rPr>
          <w:rFonts w:hint="eastAsia" w:ascii="仿宋_GB2312" w:eastAsia="仿宋_GB2312"/>
          <w:bCs/>
          <w:kern w:val="44"/>
          <w:sz w:val="32"/>
          <w:szCs w:val="32"/>
          <w:highlight w:val="none"/>
          <w:lang w:eastAsia="zh-CN"/>
        </w:rPr>
        <w:t>市级</w:t>
      </w:r>
      <w:r>
        <w:rPr>
          <w:rFonts w:hint="default" w:ascii="仿宋_GB2312" w:eastAsia="仿宋_GB2312"/>
          <w:bCs/>
          <w:kern w:val="44"/>
          <w:sz w:val="32"/>
          <w:szCs w:val="32"/>
          <w:highlight w:val="none"/>
        </w:rPr>
        <w:t>财政</w:t>
      </w:r>
      <w:r>
        <w:rPr>
          <w:rFonts w:hint="eastAsia" w:ascii="仿宋_GB2312" w:eastAsia="仿宋_GB2312"/>
          <w:spacing w:val="6"/>
          <w:sz w:val="32"/>
          <w:szCs w:val="32"/>
          <w:highlight w:val="none"/>
        </w:rPr>
        <w:t>一般公共预算</w:t>
      </w:r>
      <w:r>
        <w:rPr>
          <w:rFonts w:hint="default" w:ascii="仿宋_GB2312" w:eastAsia="仿宋_GB2312"/>
          <w:bCs/>
          <w:kern w:val="44"/>
          <w:sz w:val="32"/>
          <w:szCs w:val="32"/>
          <w:highlight w:val="none"/>
        </w:rPr>
        <w:t>当年拨付的</w:t>
      </w:r>
      <w:r>
        <w:rPr>
          <w:rFonts w:hint="eastAsia" w:ascii="仿宋_GB2312" w:eastAsia="仿宋_GB2312"/>
          <w:bCs/>
          <w:kern w:val="44"/>
          <w:sz w:val="32"/>
          <w:szCs w:val="32"/>
          <w:highlight w:val="none"/>
          <w:lang w:eastAsia="zh-CN"/>
        </w:rPr>
        <w:t>资金。</w:t>
      </w:r>
    </w:p>
    <w:p w14:paraId="57F458E2">
      <w:pPr>
        <w:pageBreakBefore w:val="0"/>
        <w:widowControl w:val="0"/>
        <w:kinsoku/>
        <w:wordWrap/>
        <w:overflowPunct/>
        <w:topLinePunct w:val="0"/>
        <w:bidi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二</w:t>
      </w:r>
      <w:r>
        <w:rPr>
          <w:rFonts w:hint="eastAsia" w:ascii="仿宋_GB2312" w:eastAsia="仿宋_GB2312"/>
          <w:bCs/>
          <w:kern w:val="44"/>
          <w:sz w:val="32"/>
          <w:szCs w:val="32"/>
          <w:highlight w:val="none"/>
        </w:rPr>
        <w:t>)</w:t>
      </w:r>
      <w:r>
        <w:rPr>
          <w:rFonts w:hint="eastAsia" w:ascii="仿宋_GB2312" w:hAnsi="宋体" w:eastAsia="仿宋_GB2312"/>
          <w:sz w:val="32"/>
          <w:szCs w:val="32"/>
          <w:highlight w:val="none"/>
        </w:rPr>
        <w:t>政府性基金</w:t>
      </w:r>
      <w:r>
        <w:rPr>
          <w:rFonts w:hint="eastAsia" w:ascii="仿宋_GB2312" w:eastAsia="仿宋_GB2312"/>
          <w:spacing w:val="6"/>
          <w:sz w:val="32"/>
          <w:szCs w:val="32"/>
          <w:highlight w:val="none"/>
        </w:rPr>
        <w:t>预算</w:t>
      </w:r>
      <w:r>
        <w:rPr>
          <w:rFonts w:hint="eastAsia" w:ascii="仿宋_GB2312" w:eastAsia="仿宋_GB2312"/>
          <w:bCs/>
          <w:kern w:val="44"/>
          <w:sz w:val="32"/>
          <w:szCs w:val="32"/>
          <w:highlight w:val="none"/>
        </w:rPr>
        <w:t>财政拨款收入：</w:t>
      </w:r>
      <w:r>
        <w:rPr>
          <w:rFonts w:hint="default" w:ascii="仿宋_GB2312" w:eastAsia="仿宋_GB2312"/>
          <w:bCs/>
          <w:kern w:val="44"/>
          <w:sz w:val="32"/>
          <w:szCs w:val="32"/>
          <w:highlight w:val="none"/>
        </w:rPr>
        <w:t>指</w:t>
      </w:r>
      <w:r>
        <w:rPr>
          <w:rFonts w:hint="eastAsia" w:ascii="仿宋_GB2312" w:eastAsia="仿宋_GB2312"/>
          <w:bCs/>
          <w:kern w:val="44"/>
          <w:sz w:val="32"/>
          <w:szCs w:val="32"/>
          <w:highlight w:val="none"/>
          <w:lang w:eastAsia="zh-CN"/>
        </w:rPr>
        <w:t>市级</w:t>
      </w:r>
      <w:r>
        <w:rPr>
          <w:rFonts w:hint="default" w:ascii="仿宋_GB2312" w:eastAsia="仿宋_GB2312"/>
          <w:bCs/>
          <w:kern w:val="44"/>
          <w:sz w:val="32"/>
          <w:szCs w:val="32"/>
          <w:highlight w:val="none"/>
        </w:rPr>
        <w:t>财政</w:t>
      </w:r>
      <w:r>
        <w:rPr>
          <w:rFonts w:hint="eastAsia" w:ascii="仿宋_GB2312" w:hAnsi="宋体" w:eastAsia="仿宋_GB2312"/>
          <w:sz w:val="32"/>
          <w:szCs w:val="32"/>
          <w:highlight w:val="none"/>
        </w:rPr>
        <w:t>政府性基金</w:t>
      </w:r>
      <w:r>
        <w:rPr>
          <w:rFonts w:hint="eastAsia" w:ascii="仿宋_GB2312" w:eastAsia="仿宋_GB2312"/>
          <w:spacing w:val="6"/>
          <w:sz w:val="32"/>
          <w:szCs w:val="32"/>
          <w:highlight w:val="none"/>
        </w:rPr>
        <w:t>预算</w:t>
      </w:r>
      <w:r>
        <w:rPr>
          <w:rFonts w:hint="default" w:ascii="仿宋_GB2312" w:eastAsia="仿宋_GB2312"/>
          <w:bCs/>
          <w:kern w:val="44"/>
          <w:sz w:val="32"/>
          <w:szCs w:val="32"/>
          <w:highlight w:val="none"/>
        </w:rPr>
        <w:t>当年拨付的</w:t>
      </w:r>
      <w:r>
        <w:rPr>
          <w:rFonts w:hint="eastAsia" w:ascii="仿宋_GB2312" w:eastAsia="仿宋_GB2312"/>
          <w:bCs/>
          <w:kern w:val="44"/>
          <w:sz w:val="32"/>
          <w:szCs w:val="32"/>
          <w:highlight w:val="none"/>
          <w:lang w:eastAsia="zh-CN"/>
        </w:rPr>
        <w:t>资金。</w:t>
      </w:r>
    </w:p>
    <w:p w14:paraId="71CEBE26">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三</w:t>
      </w:r>
      <w:r>
        <w:rPr>
          <w:rFonts w:hint="eastAsia" w:ascii="仿宋_GB2312" w:eastAsia="仿宋_GB2312"/>
          <w:bCs/>
          <w:kern w:val="44"/>
          <w:sz w:val="32"/>
          <w:szCs w:val="32"/>
          <w:highlight w:val="none"/>
        </w:rPr>
        <w:t>)</w:t>
      </w:r>
      <w:r>
        <w:rPr>
          <w:rFonts w:hint="eastAsia" w:ascii="仿宋_GB2312" w:eastAsia="仿宋_GB2312"/>
          <w:bCs/>
          <w:kern w:val="44"/>
          <w:sz w:val="32"/>
          <w:szCs w:val="32"/>
          <w:lang w:eastAsia="zh-CN"/>
        </w:rPr>
        <w:t>国有资本经营</w:t>
      </w:r>
      <w:r>
        <w:rPr>
          <w:rFonts w:hint="eastAsia" w:ascii="仿宋_GB2312" w:eastAsia="仿宋_GB2312"/>
          <w:bCs/>
          <w:kern w:val="44"/>
          <w:sz w:val="32"/>
          <w:szCs w:val="32"/>
        </w:rPr>
        <w:t>预算财政拨款收入：指市级财政</w:t>
      </w:r>
      <w:r>
        <w:rPr>
          <w:rFonts w:hint="eastAsia" w:ascii="仿宋_GB2312" w:eastAsia="仿宋_GB2312"/>
          <w:bCs/>
          <w:kern w:val="44"/>
          <w:sz w:val="32"/>
          <w:szCs w:val="32"/>
          <w:lang w:eastAsia="zh-CN"/>
        </w:rPr>
        <w:t>国有资本经营</w:t>
      </w:r>
      <w:r>
        <w:rPr>
          <w:rFonts w:hint="eastAsia" w:ascii="仿宋_GB2312" w:eastAsia="仿宋_GB2312"/>
          <w:bCs/>
          <w:kern w:val="44"/>
          <w:sz w:val="32"/>
          <w:szCs w:val="32"/>
        </w:rPr>
        <w:t>预算当年拨付的资金。</w:t>
      </w:r>
    </w:p>
    <w:p w14:paraId="5945934E">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四</w:t>
      </w:r>
      <w:r>
        <w:rPr>
          <w:rFonts w:hint="eastAsia" w:ascii="仿宋_GB2312" w:eastAsia="仿宋_GB2312"/>
          <w:bCs/>
          <w:kern w:val="44"/>
          <w:sz w:val="32"/>
          <w:szCs w:val="32"/>
          <w:highlight w:val="none"/>
        </w:rPr>
        <w:t>)上级补助收入：指从</w:t>
      </w:r>
      <w:r>
        <w:rPr>
          <w:rFonts w:hint="eastAsia" w:ascii="仿宋_GB2312" w:hAnsi="宋体" w:eastAsia="仿宋_GB2312"/>
          <w:sz w:val="32"/>
          <w:szCs w:val="32"/>
          <w:highlight w:val="none"/>
        </w:rPr>
        <w:t>事业单位</w:t>
      </w:r>
      <w:r>
        <w:rPr>
          <w:rFonts w:hint="eastAsia" w:ascii="仿宋_GB2312" w:eastAsia="仿宋_GB2312"/>
          <w:bCs/>
          <w:kern w:val="44"/>
          <w:sz w:val="32"/>
          <w:szCs w:val="32"/>
          <w:highlight w:val="none"/>
        </w:rPr>
        <w:t>主管部门和上级单位取得的非财政补助收入。</w:t>
      </w:r>
    </w:p>
    <w:p w14:paraId="24BCA245">
      <w:pPr>
        <w:pageBreakBefore w:val="0"/>
        <w:widowControl w:val="0"/>
        <w:kinsoku/>
        <w:wordWrap/>
        <w:overflowPunct/>
        <w:topLinePunct w:val="0"/>
        <w:bidi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五</w:t>
      </w:r>
      <w:r>
        <w:rPr>
          <w:rFonts w:hint="eastAsia" w:ascii="仿宋_GB2312" w:eastAsia="仿宋_GB2312"/>
          <w:bCs/>
          <w:kern w:val="44"/>
          <w:sz w:val="32"/>
          <w:szCs w:val="32"/>
          <w:highlight w:val="none"/>
        </w:rPr>
        <w:t>)事业收入：指事业单位开展专业业务活动及其辅助活动取得的收入。</w:t>
      </w:r>
    </w:p>
    <w:p w14:paraId="5624ABD5">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六</w:t>
      </w:r>
      <w:r>
        <w:rPr>
          <w:rFonts w:hint="eastAsia" w:ascii="仿宋_GB2312" w:eastAsia="仿宋_GB2312"/>
          <w:bCs/>
          <w:kern w:val="44"/>
          <w:sz w:val="32"/>
          <w:szCs w:val="32"/>
          <w:highlight w:val="none"/>
        </w:rPr>
        <w:t>)经营收入：指事业单位在专业业务活动及其辅助活动之外开展非独立核算经营活动取得的收入。</w:t>
      </w:r>
    </w:p>
    <w:p w14:paraId="23952AF2">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hAnsi="宋体" w:eastAsia="仿宋_GB2312"/>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七</w:t>
      </w:r>
      <w:r>
        <w:rPr>
          <w:rFonts w:hint="eastAsia" w:ascii="仿宋_GB2312" w:eastAsia="仿宋_GB2312"/>
          <w:bCs/>
          <w:kern w:val="44"/>
          <w:sz w:val="32"/>
          <w:szCs w:val="32"/>
          <w:highlight w:val="none"/>
        </w:rPr>
        <w:t>)其他收入：指</w:t>
      </w:r>
      <w:r>
        <w:rPr>
          <w:rFonts w:hint="eastAsia" w:ascii="仿宋_GB2312" w:hAnsi="宋体" w:eastAsia="仿宋_GB2312"/>
          <w:sz w:val="32"/>
          <w:szCs w:val="32"/>
          <w:highlight w:val="none"/>
        </w:rPr>
        <w:t>单位取得的除</w:t>
      </w:r>
      <w:r>
        <w:rPr>
          <w:rFonts w:hint="eastAsia" w:ascii="仿宋_GB2312" w:hAnsi="宋体" w:eastAsia="仿宋_GB2312"/>
          <w:sz w:val="32"/>
          <w:szCs w:val="32"/>
          <w:highlight w:val="none"/>
          <w:lang w:eastAsia="zh-CN"/>
        </w:rPr>
        <w:t>上述“一般公共预算财政拨款收入”、“</w:t>
      </w:r>
      <w:r>
        <w:rPr>
          <w:rFonts w:hint="eastAsia" w:ascii="仿宋_GB2312" w:hAnsi="宋体" w:eastAsia="仿宋_GB2312"/>
          <w:sz w:val="32"/>
          <w:szCs w:val="32"/>
          <w:highlight w:val="none"/>
        </w:rPr>
        <w:t>政府性基金</w:t>
      </w:r>
      <w:r>
        <w:rPr>
          <w:rFonts w:hint="eastAsia" w:ascii="仿宋_GB2312" w:eastAsia="仿宋_GB2312"/>
          <w:spacing w:val="6"/>
          <w:sz w:val="32"/>
          <w:szCs w:val="32"/>
          <w:highlight w:val="none"/>
        </w:rPr>
        <w:t>预算</w:t>
      </w:r>
      <w:r>
        <w:rPr>
          <w:rFonts w:hint="eastAsia" w:ascii="仿宋_GB2312" w:eastAsia="仿宋_GB2312"/>
          <w:bCs/>
          <w:kern w:val="44"/>
          <w:sz w:val="32"/>
          <w:szCs w:val="32"/>
          <w:highlight w:val="none"/>
        </w:rPr>
        <w:t>财政拨款收入</w:t>
      </w:r>
      <w:r>
        <w:rPr>
          <w:rFonts w:hint="eastAsia" w:ascii="仿宋_GB2312" w:hAnsi="宋体" w:eastAsia="仿宋_GB2312"/>
          <w:sz w:val="32"/>
          <w:szCs w:val="32"/>
          <w:highlight w:val="none"/>
          <w:lang w:eastAsia="zh-CN"/>
        </w:rPr>
        <w:t>”、“</w:t>
      </w:r>
      <w:r>
        <w:rPr>
          <w:rFonts w:hint="eastAsia" w:ascii="仿宋_GB2312" w:eastAsia="仿宋_GB2312"/>
          <w:bCs/>
          <w:kern w:val="44"/>
          <w:sz w:val="32"/>
          <w:szCs w:val="32"/>
          <w:lang w:eastAsia="zh-CN"/>
        </w:rPr>
        <w:t>国有资本经营</w:t>
      </w:r>
      <w:r>
        <w:rPr>
          <w:rFonts w:hint="eastAsia" w:ascii="仿宋_GB2312" w:eastAsia="仿宋_GB2312"/>
          <w:bCs/>
          <w:kern w:val="44"/>
          <w:sz w:val="32"/>
          <w:szCs w:val="32"/>
        </w:rPr>
        <w:t>预算财政拨款收入</w:t>
      </w:r>
      <w:r>
        <w:rPr>
          <w:rFonts w:hint="eastAsia" w:ascii="仿宋_GB2312" w:hAnsi="宋体" w:eastAsia="仿宋_GB2312"/>
          <w:sz w:val="32"/>
          <w:szCs w:val="32"/>
          <w:highlight w:val="none"/>
          <w:lang w:eastAsia="zh-CN"/>
        </w:rPr>
        <w:t>”、“</w:t>
      </w:r>
      <w:r>
        <w:rPr>
          <w:rFonts w:hint="eastAsia" w:ascii="仿宋_GB2312" w:eastAsia="仿宋_GB2312"/>
          <w:bCs/>
          <w:kern w:val="44"/>
          <w:sz w:val="32"/>
          <w:szCs w:val="32"/>
          <w:highlight w:val="none"/>
        </w:rPr>
        <w:t>上级补助收入</w:t>
      </w:r>
      <w:r>
        <w:rPr>
          <w:rFonts w:hint="eastAsia" w:ascii="仿宋_GB2312" w:hAnsi="宋体" w:eastAsia="仿宋_GB2312"/>
          <w:sz w:val="32"/>
          <w:szCs w:val="32"/>
          <w:highlight w:val="none"/>
          <w:lang w:eastAsia="zh-CN"/>
        </w:rPr>
        <w:t>”、“事业收入”、“经营收入”等</w:t>
      </w:r>
      <w:r>
        <w:rPr>
          <w:rFonts w:hint="eastAsia" w:ascii="仿宋_GB2312" w:hAnsi="宋体" w:eastAsia="仿宋_GB2312"/>
          <w:sz w:val="32"/>
          <w:szCs w:val="32"/>
          <w:highlight w:val="none"/>
        </w:rPr>
        <w:t>收入以外的各项收入</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该</w:t>
      </w:r>
      <w:r>
        <w:rPr>
          <w:rFonts w:hint="eastAsia" w:ascii="仿宋" w:hAnsi="仿宋" w:eastAsia="仿宋" w:cs="仿宋"/>
          <w:sz w:val="32"/>
          <w:szCs w:val="32"/>
          <w:highlight w:val="none"/>
          <w:lang w:val="en-US" w:eastAsia="zh-CN"/>
        </w:rPr>
        <w:t>项名词解</w:t>
      </w:r>
      <w:r>
        <w:rPr>
          <w:rFonts w:hint="eastAsia" w:ascii="仿宋" w:hAnsi="仿宋" w:eastAsia="仿宋" w:cs="仿宋"/>
          <w:sz w:val="32"/>
          <w:szCs w:val="32"/>
          <w:highlight w:val="none"/>
        </w:rPr>
        <w:t>释</w:t>
      </w:r>
      <w:r>
        <w:rPr>
          <w:rFonts w:hint="eastAsia" w:ascii="仿宋" w:hAnsi="仿宋" w:eastAsia="仿宋" w:cs="仿宋"/>
          <w:sz w:val="32"/>
          <w:szCs w:val="32"/>
          <w:highlight w:val="none"/>
          <w:lang w:eastAsia="zh-CN"/>
        </w:rPr>
        <w:t>中“上述……等收入”请依据部门收入的实际情况进行</w:t>
      </w:r>
      <w:r>
        <w:rPr>
          <w:rFonts w:hint="eastAsia" w:ascii="仿宋" w:hAnsi="仿宋" w:eastAsia="仿宋" w:cs="仿宋"/>
          <w:sz w:val="32"/>
          <w:szCs w:val="32"/>
          <w:highlight w:val="none"/>
          <w:lang w:val="en-US" w:eastAsia="zh-CN"/>
        </w:rPr>
        <w:t>解</w:t>
      </w:r>
      <w:r>
        <w:rPr>
          <w:rFonts w:hint="eastAsia" w:ascii="仿宋" w:hAnsi="仿宋" w:eastAsia="仿宋" w:cs="仿宋"/>
          <w:sz w:val="32"/>
          <w:szCs w:val="32"/>
          <w:highlight w:val="none"/>
        </w:rPr>
        <w:t>释</w:t>
      </w:r>
      <w:r>
        <w:rPr>
          <w:rFonts w:hint="eastAsia" w:ascii="仿宋_GB2312" w:hAnsi="宋体" w:eastAsia="仿宋_GB2312"/>
          <w:sz w:val="32"/>
          <w:szCs w:val="32"/>
          <w:highlight w:val="none"/>
          <w:lang w:eastAsia="zh-CN"/>
        </w:rPr>
        <w:t>）</w:t>
      </w:r>
    </w:p>
    <w:p w14:paraId="2AB7DF25">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FangSong_GB2312" w:hAnsi="FangSong_GB2312" w:eastAsia="FangSong_GB2312"/>
          <w:color w:val="000000"/>
          <w:sz w:val="32"/>
          <w:lang w:eastAsia="zh-CN"/>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八</w:t>
      </w: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使用非财政拨款结余</w:t>
      </w:r>
      <w:r>
        <w:rPr>
          <w:rFonts w:hint="eastAsia" w:ascii="仿宋_GB2312" w:eastAsia="仿宋_GB2312"/>
          <w:bCs/>
          <w:kern w:val="44"/>
          <w:sz w:val="32"/>
          <w:szCs w:val="32"/>
          <w:highlight w:val="none"/>
        </w:rPr>
        <w:t>：</w:t>
      </w:r>
      <w:r>
        <w:rPr>
          <w:rFonts w:hint="default" w:ascii="FangSong_GB2312" w:hAnsi="FangSong_GB2312" w:eastAsia="FangSong_GB2312"/>
          <w:color w:val="000000"/>
          <w:sz w:val="32"/>
        </w:rPr>
        <w:t>指事业单位</w:t>
      </w:r>
      <w:r>
        <w:rPr>
          <w:rFonts w:hint="eastAsia" w:ascii="FangSong_GB2312" w:hAnsi="FangSong_GB2312" w:eastAsia="FangSong_GB2312"/>
          <w:color w:val="000000"/>
          <w:sz w:val="32"/>
          <w:lang w:eastAsia="zh-CN"/>
        </w:rPr>
        <w:t>使用以前年度积累的非财政拨款结余弥补当年收支差额的金额。</w:t>
      </w:r>
    </w:p>
    <w:p w14:paraId="4F203259">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九</w:t>
      </w:r>
      <w:r>
        <w:rPr>
          <w:rFonts w:hint="eastAsia" w:ascii="仿宋_GB2312" w:eastAsia="仿宋_GB2312"/>
          <w:bCs/>
          <w:kern w:val="44"/>
          <w:sz w:val="32"/>
          <w:szCs w:val="32"/>
          <w:highlight w:val="none"/>
        </w:rPr>
        <w:t>)年初结转和结余：</w:t>
      </w:r>
      <w:r>
        <w:rPr>
          <w:rFonts w:hint="default" w:ascii="FangSong_GB2312" w:hAnsi="FangSong_GB2312" w:eastAsia="FangSong_GB2312"/>
          <w:color w:val="000000"/>
          <w:sz w:val="32"/>
        </w:rPr>
        <w:t>指</w:t>
      </w:r>
      <w:r>
        <w:rPr>
          <w:rFonts w:hint="eastAsia" w:ascii="FangSong_GB2312" w:hAnsi="FangSong_GB2312" w:eastAsia="FangSong_GB2312"/>
          <w:color w:val="000000"/>
          <w:sz w:val="32"/>
          <w:lang w:eastAsia="zh-CN"/>
        </w:rPr>
        <w:t>单位</w:t>
      </w:r>
      <w:r>
        <w:rPr>
          <w:rFonts w:hint="default" w:ascii="FangSong_GB2312" w:hAnsi="FangSong_GB2312" w:eastAsia="FangSong_GB2312"/>
          <w:color w:val="000000"/>
          <w:sz w:val="32"/>
        </w:rPr>
        <w:t>以前年度</w:t>
      </w:r>
      <w:r>
        <w:rPr>
          <w:rFonts w:hint="eastAsia" w:ascii="FangSong_GB2312" w:hAnsi="FangSong_GB2312" w:eastAsia="FangSong_GB2312"/>
          <w:color w:val="000000"/>
          <w:sz w:val="32"/>
          <w:lang w:eastAsia="zh-CN"/>
        </w:rPr>
        <w:t>尚未完成</w:t>
      </w:r>
      <w:r>
        <w:rPr>
          <w:rFonts w:hint="default" w:ascii="FangSong_GB2312" w:hAnsi="FangSong_GB2312" w:eastAsia="FangSong_GB2312"/>
          <w:color w:val="000000"/>
          <w:sz w:val="32"/>
        </w:rPr>
        <w:t>、结转到本年仍按原规定用途继续使用的资金</w:t>
      </w:r>
      <w:r>
        <w:rPr>
          <w:rFonts w:hint="eastAsia" w:ascii="FangSong_GB2312" w:hAnsi="FangSong_GB2312" w:eastAsia="FangSong_GB2312"/>
          <w:color w:val="000000"/>
          <w:sz w:val="32"/>
          <w:lang w:eastAsia="zh-CN"/>
        </w:rPr>
        <w:t>，或项目已完成等产生的结余资金</w:t>
      </w:r>
      <w:r>
        <w:rPr>
          <w:rFonts w:hint="default" w:ascii="FangSong_GB2312" w:hAnsi="FangSong_GB2312" w:eastAsia="FangSong_GB2312"/>
          <w:color w:val="000000"/>
          <w:sz w:val="32"/>
        </w:rPr>
        <w:t>。</w:t>
      </w:r>
    </w:p>
    <w:p w14:paraId="5B22EB7D">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十</w:t>
      </w:r>
      <w:r>
        <w:rPr>
          <w:rFonts w:hint="eastAsia" w:ascii="仿宋_GB2312" w:eastAsia="仿宋_GB2312"/>
          <w:bCs/>
          <w:kern w:val="44"/>
          <w:sz w:val="32"/>
          <w:szCs w:val="32"/>
          <w:highlight w:val="none"/>
        </w:rPr>
        <w:t>)本部门使用的支出功能分类科目(到项级)</w:t>
      </w:r>
    </w:p>
    <w:p w14:paraId="74301F46">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sz w:val="32"/>
          <w:szCs w:val="32"/>
          <w:highlight w:val="none"/>
        </w:rPr>
      </w:pPr>
      <w:r>
        <w:rPr>
          <w:rFonts w:hint="eastAsia" w:ascii="仿宋_GB2312" w:eastAsia="仿宋_GB2312"/>
          <w:bCs/>
          <w:kern w:val="44"/>
          <w:sz w:val="32"/>
          <w:szCs w:val="32"/>
          <w:highlight w:val="none"/>
        </w:rPr>
        <w:t>1.</w:t>
      </w:r>
      <w:r>
        <w:rPr>
          <w:rFonts w:hint="eastAsia" w:ascii="仿宋_GB2312" w:eastAsia="仿宋_GB2312"/>
          <w:sz w:val="32"/>
          <w:szCs w:val="32"/>
          <w:highlight w:val="none"/>
        </w:rPr>
        <w:t>一般公共服务(类)财政事务(款)行政运行(项)</w:t>
      </w:r>
    </w:p>
    <w:p w14:paraId="51D5499A">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sz w:val="32"/>
          <w:szCs w:val="32"/>
          <w:highlight w:val="none"/>
        </w:rPr>
        <w:t>2.…</w:t>
      </w:r>
    </w:p>
    <w:p w14:paraId="417665E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sz w:val="32"/>
          <w:szCs w:val="32"/>
          <w:highlight w:val="none"/>
          <w:lang w:eastAsia="zh-CN"/>
        </w:rPr>
      </w:pPr>
      <w:r>
        <w:rPr>
          <w:rFonts w:hint="eastAsia" w:ascii="仿宋_GB2312" w:eastAsia="仿宋_GB2312"/>
          <w:sz w:val="32"/>
          <w:szCs w:val="32"/>
          <w:highlight w:val="none"/>
          <w:lang w:eastAsia="zh-CN"/>
        </w:rPr>
        <w:t>（</w:t>
      </w:r>
      <w:r>
        <w:rPr>
          <w:rFonts w:hint="eastAsia" w:ascii="仿宋_GB2312" w:eastAsia="仿宋_GB2312"/>
          <w:sz w:val="32"/>
          <w:szCs w:val="32"/>
          <w:highlight w:val="none"/>
        </w:rPr>
        <w:t>参考《</w:t>
      </w:r>
      <w:r>
        <w:rPr>
          <w:rFonts w:hint="eastAsia" w:ascii="仿宋_GB2312"/>
          <w:sz w:val="32"/>
          <w:szCs w:val="32"/>
          <w:highlight w:val="none"/>
          <w:lang w:eastAsia="zh-CN"/>
        </w:rPr>
        <w:t>2022年</w:t>
      </w:r>
      <w:r>
        <w:rPr>
          <w:rFonts w:hint="eastAsia" w:ascii="仿宋_GB2312" w:eastAsia="仿宋_GB2312"/>
          <w:sz w:val="32"/>
          <w:szCs w:val="32"/>
          <w:highlight w:val="none"/>
        </w:rPr>
        <w:t>政府收支分类科目》说明逐项解释</w:t>
      </w:r>
      <w:r>
        <w:rPr>
          <w:rFonts w:hint="eastAsia" w:ascii="仿宋_GB2312" w:eastAsia="仿宋_GB2312"/>
          <w:sz w:val="32"/>
          <w:szCs w:val="32"/>
          <w:highlight w:val="none"/>
          <w:lang w:eastAsia="zh-CN"/>
        </w:rPr>
        <w:t>）</w:t>
      </w:r>
    </w:p>
    <w:p w14:paraId="112CE637">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一</w:t>
      </w:r>
      <w:r>
        <w:rPr>
          <w:rFonts w:hint="eastAsia" w:ascii="仿宋_GB2312" w:eastAsia="仿宋_GB2312"/>
          <w:bCs/>
          <w:kern w:val="44"/>
          <w:sz w:val="32"/>
          <w:szCs w:val="32"/>
          <w:highlight w:val="none"/>
        </w:rPr>
        <w:t>)结余分配：指事业单位按照会计制度规定缴纳</w:t>
      </w:r>
      <w:r>
        <w:rPr>
          <w:rFonts w:hint="eastAsia" w:ascii="仿宋_GB2312" w:eastAsia="仿宋_GB2312"/>
          <w:bCs/>
          <w:kern w:val="44"/>
          <w:sz w:val="32"/>
          <w:szCs w:val="32"/>
          <w:highlight w:val="none"/>
          <w:lang w:eastAsia="zh-CN"/>
        </w:rPr>
        <w:t>的企业</w:t>
      </w:r>
      <w:r>
        <w:rPr>
          <w:rFonts w:hint="eastAsia" w:ascii="仿宋_GB2312" w:eastAsia="仿宋_GB2312"/>
          <w:bCs/>
          <w:kern w:val="44"/>
          <w:sz w:val="32"/>
          <w:szCs w:val="32"/>
          <w:highlight w:val="none"/>
        </w:rPr>
        <w:t>所得税</w:t>
      </w:r>
      <w:r>
        <w:rPr>
          <w:rFonts w:hint="eastAsia" w:ascii="仿宋_GB2312" w:eastAsia="仿宋_GB2312"/>
          <w:bCs/>
          <w:kern w:val="44"/>
          <w:sz w:val="32"/>
          <w:szCs w:val="32"/>
          <w:highlight w:val="none"/>
          <w:lang w:eastAsia="zh-CN"/>
        </w:rPr>
        <w:t>、提取的专用结余以及转入非财政拨款结余的金额</w:t>
      </w:r>
      <w:r>
        <w:rPr>
          <w:rFonts w:hint="eastAsia" w:ascii="仿宋_GB2312" w:eastAsia="仿宋_GB2312"/>
          <w:bCs/>
          <w:kern w:val="44"/>
          <w:sz w:val="32"/>
          <w:szCs w:val="32"/>
          <w:highlight w:val="none"/>
        </w:rPr>
        <w:t>等。</w:t>
      </w:r>
    </w:p>
    <w:p w14:paraId="1EEE3B5E">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二</w:t>
      </w:r>
      <w:r>
        <w:rPr>
          <w:rFonts w:hint="eastAsia" w:ascii="仿宋_GB2312" w:eastAsia="仿宋_GB2312"/>
          <w:bCs/>
          <w:kern w:val="44"/>
          <w:sz w:val="32"/>
          <w:szCs w:val="32"/>
          <w:highlight w:val="none"/>
        </w:rPr>
        <w:t>)年末结转和结余：指单位</w:t>
      </w:r>
      <w:r>
        <w:rPr>
          <w:rFonts w:hint="eastAsia" w:ascii="仿宋_GB2312" w:eastAsia="仿宋_GB2312"/>
          <w:bCs/>
          <w:kern w:val="44"/>
          <w:sz w:val="32"/>
          <w:szCs w:val="32"/>
          <w:highlight w:val="none"/>
          <w:lang w:eastAsia="zh-CN"/>
        </w:rPr>
        <w:t>按有关规定结转到下年或以后年度继续使用的资金</w:t>
      </w:r>
      <w:r>
        <w:rPr>
          <w:rFonts w:hint="eastAsia" w:ascii="仿宋_GB2312" w:eastAsia="仿宋_GB2312"/>
          <w:bCs/>
          <w:kern w:val="44"/>
          <w:sz w:val="32"/>
          <w:szCs w:val="32"/>
          <w:highlight w:val="none"/>
        </w:rPr>
        <w:t>，或项目已完成等产生的结余资金。</w:t>
      </w:r>
    </w:p>
    <w:p w14:paraId="525CC76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三</w:t>
      </w:r>
      <w:r>
        <w:rPr>
          <w:rFonts w:hint="eastAsia" w:ascii="仿宋_GB2312" w:eastAsia="仿宋_GB2312"/>
          <w:bCs/>
          <w:kern w:val="44"/>
          <w:sz w:val="32"/>
          <w:szCs w:val="32"/>
          <w:highlight w:val="none"/>
        </w:rPr>
        <w:t>)基本支出：指为保障机构正常运转、完成日常工作任务而发生的</w:t>
      </w:r>
      <w:r>
        <w:rPr>
          <w:rFonts w:ascii="仿宋_GB2312" w:eastAsia="仿宋_GB2312"/>
          <w:bCs/>
          <w:kern w:val="44"/>
          <w:sz w:val="32"/>
          <w:szCs w:val="32"/>
          <w:highlight w:val="none"/>
        </w:rPr>
        <w:t>人员支出和公用支出</w:t>
      </w:r>
      <w:r>
        <w:rPr>
          <w:rFonts w:hint="eastAsia" w:ascii="仿宋_GB2312" w:eastAsia="仿宋_GB2312"/>
          <w:bCs/>
          <w:kern w:val="44"/>
          <w:sz w:val="32"/>
          <w:szCs w:val="32"/>
          <w:highlight w:val="none"/>
        </w:rPr>
        <w:t>。</w:t>
      </w:r>
    </w:p>
    <w:p w14:paraId="158F75EC">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FangSong_GB2312" w:hAnsi="FangSong_GB2312" w:eastAsia="FangSong_GB2312"/>
          <w:color w:val="000000"/>
          <w:sz w:val="32"/>
          <w:szCs w:val="22"/>
        </w:rPr>
      </w:pPr>
      <w:r>
        <w:rPr>
          <w:rFonts w:hint="eastAsia" w:ascii="FangSong_GB2312" w:hAnsi="FangSong_GB2312" w:eastAsia="FangSong_GB2312"/>
          <w:color w:val="000000"/>
          <w:sz w:val="32"/>
          <w:szCs w:val="22"/>
        </w:rPr>
        <w:t>(十</w:t>
      </w:r>
      <w:r>
        <w:rPr>
          <w:rFonts w:hint="eastAsia" w:ascii="FangSong_GB2312" w:hAnsi="FangSong_GB2312" w:eastAsia="FangSong_GB2312"/>
          <w:color w:val="000000"/>
          <w:sz w:val="32"/>
          <w:szCs w:val="22"/>
          <w:lang w:eastAsia="zh-CN"/>
        </w:rPr>
        <w:t>四</w:t>
      </w:r>
      <w:r>
        <w:rPr>
          <w:rFonts w:hint="eastAsia" w:ascii="FangSong_GB2312" w:hAnsi="FangSong_GB2312" w:eastAsia="FangSong_GB2312"/>
          <w:color w:val="000000"/>
          <w:sz w:val="32"/>
          <w:szCs w:val="22"/>
        </w:rPr>
        <w:t>)项目支出：指在基本支出之外为完成特定行政任务或事业发展目标所发生的支出。</w:t>
      </w:r>
    </w:p>
    <w:p w14:paraId="7630E3A9">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五</w:t>
      </w:r>
      <w:r>
        <w:rPr>
          <w:rFonts w:hint="eastAsia" w:ascii="仿宋_GB2312" w:eastAsia="仿宋_GB2312"/>
          <w:sz w:val="32"/>
          <w:szCs w:val="32"/>
          <w:highlight w:val="none"/>
        </w:rPr>
        <w:t>)</w:t>
      </w:r>
      <w:r>
        <w:rPr>
          <w:rFonts w:hint="eastAsia" w:ascii="仿宋_GB2312" w:eastAsia="仿宋_GB2312"/>
          <w:bCs/>
          <w:kern w:val="44"/>
          <w:sz w:val="32"/>
          <w:szCs w:val="32"/>
          <w:highlight w:val="none"/>
        </w:rPr>
        <w:t>经营支出：指事业单位在专业活动及辅助活动之外开展非独立核算经营活动发生的支出。</w:t>
      </w:r>
    </w:p>
    <w:p w14:paraId="0C63D65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sz w:val="32"/>
          <w:szCs w:val="32"/>
          <w:highlight w:val="yellow"/>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六</w:t>
      </w:r>
      <w:r>
        <w:rPr>
          <w:rFonts w:hint="eastAsia" w:ascii="仿宋_GB2312" w:eastAsia="仿宋_GB2312"/>
          <w:sz w:val="32"/>
          <w:szCs w:val="32"/>
          <w:highlight w:val="none"/>
        </w:rPr>
        <w:t>)“三公”经费：</w:t>
      </w:r>
      <w:r>
        <w:rPr>
          <w:rFonts w:hint="eastAsia" w:ascii="仿宋_GB2312" w:eastAsia="仿宋_GB2312"/>
          <w:sz w:val="32"/>
          <w:szCs w:val="32"/>
          <w:highlight w:val="none"/>
          <w:lang w:eastAsia="zh-CN"/>
        </w:rPr>
        <w:t>纳入财政一般公共预算管理的</w:t>
      </w:r>
      <w:r>
        <w:rPr>
          <w:rFonts w:hint="eastAsia" w:ascii="仿宋_GB2312" w:eastAsia="仿宋_GB2312"/>
          <w:sz w:val="32"/>
          <w:szCs w:val="32"/>
          <w:highlight w:val="none"/>
        </w:rPr>
        <w:t>“三公”经费</w:t>
      </w:r>
      <w:r>
        <w:rPr>
          <w:rFonts w:hint="eastAsia" w:ascii="仿宋_GB2312" w:eastAsia="仿宋_GB2312"/>
          <w:sz w:val="32"/>
          <w:szCs w:val="32"/>
          <w:highlight w:val="none"/>
          <w:lang w:eastAsia="zh-CN"/>
        </w:rPr>
        <w:t>，是</w:t>
      </w:r>
      <w:r>
        <w:rPr>
          <w:rFonts w:hint="eastAsia" w:ascii="仿宋_GB2312" w:eastAsia="仿宋_GB2312"/>
          <w:sz w:val="32"/>
          <w:szCs w:val="32"/>
          <w:highlight w:val="none"/>
        </w:rPr>
        <w:t>指</w:t>
      </w:r>
      <w:r>
        <w:rPr>
          <w:rFonts w:hint="eastAsia" w:ascii="仿宋_GB2312" w:eastAsia="仿宋_GB2312"/>
          <w:sz w:val="32"/>
          <w:szCs w:val="32"/>
          <w:highlight w:val="none"/>
          <w:lang w:eastAsia="zh-CN"/>
        </w:rPr>
        <w:t>市直部门</w:t>
      </w:r>
      <w:r>
        <w:rPr>
          <w:rFonts w:hint="eastAsia" w:ascii="仿宋_GB2312" w:eastAsia="仿宋_GB2312"/>
          <w:sz w:val="32"/>
          <w:szCs w:val="32"/>
          <w:highlight w:val="none"/>
        </w:rPr>
        <w:t>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w:t>
      </w:r>
      <w:r>
        <w:rPr>
          <w:rFonts w:hint="eastAsia" w:ascii="仿宋_GB2312" w:eastAsia="仿宋_GB2312"/>
          <w:sz w:val="32"/>
          <w:szCs w:val="32"/>
          <w:highlight w:val="none"/>
          <w:lang w:eastAsia="zh-CN"/>
        </w:rPr>
        <w:t>、牌照费</w:t>
      </w:r>
      <w:r>
        <w:rPr>
          <w:rFonts w:hint="eastAsia" w:ascii="仿宋_GB2312" w:eastAsia="仿宋_GB2312"/>
          <w:sz w:val="32"/>
          <w:szCs w:val="32"/>
          <w:highlight w:val="none"/>
        </w:rPr>
        <w:t>)及燃料费、维修费、过桥过路费、保险费、安全奖励费用等支出；公务接待费反映单位按规定开支的各类公务接待(含外宾接待)费用。</w:t>
      </w:r>
    </w:p>
    <w:p w14:paraId="6E2E47A4">
      <w:pPr>
        <w:pageBreakBefore w:val="0"/>
        <w:widowControl w:val="0"/>
        <w:kinsoku/>
        <w:wordWrap/>
        <w:overflowPunct/>
        <w:topLinePunct w:val="0"/>
        <w:bidi w:val="0"/>
        <w:snapToGrid w:val="0"/>
        <w:spacing w:line="360" w:lineRule="auto"/>
        <w:ind w:firstLine="640" w:firstLineChars="200"/>
        <w:textAlignment w:val="auto"/>
        <w:rPr>
          <w:rFonts w:hint="eastAsia" w:ascii="仿宋_GB2312" w:eastAsia="仿宋_GB2312"/>
          <w:sz w:val="32"/>
          <w:szCs w:val="32"/>
          <w:highlight w:val="yellow"/>
          <w:lang w:eastAsia="zh-CN"/>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七</w:t>
      </w:r>
      <w:r>
        <w:rPr>
          <w:rFonts w:hint="eastAsia" w:ascii="仿宋_GB2312" w:eastAsia="仿宋_GB2312"/>
          <w:sz w:val="32"/>
          <w:szCs w:val="32"/>
          <w:highlight w:val="none"/>
        </w:rPr>
        <w:t>)机关运行经费：指为保障行政单位（</w:t>
      </w:r>
      <w:r>
        <w:rPr>
          <w:rFonts w:hint="eastAsia" w:ascii="仿宋_GB2312" w:eastAsia="仿宋_GB2312"/>
          <w:sz w:val="32"/>
          <w:szCs w:val="32"/>
          <w:highlight w:val="none"/>
          <w:lang w:eastAsia="zh-CN"/>
        </w:rPr>
        <w:t>包括</w:t>
      </w:r>
      <w:r>
        <w:rPr>
          <w:rFonts w:hint="eastAsia" w:ascii="仿宋_GB2312" w:eastAsia="仿宋_GB2312"/>
          <w:sz w:val="32"/>
          <w:szCs w:val="32"/>
          <w:highlight w:val="none"/>
        </w:rPr>
        <w:t>参照公务员法管理的事业单位）运行用于购买货物和服务的各项资金</w:t>
      </w:r>
      <w:r>
        <w:rPr>
          <w:rFonts w:hint="eastAsia"/>
          <w:lang w:val="en-US" w:eastAsia="zh-CN"/>
        </w:rPr>
        <w:t>，</w:t>
      </w:r>
      <w:r>
        <w:rPr>
          <w:rFonts w:hint="default"/>
          <w:lang w:val="en-US" w:eastAsia="zh-CN"/>
        </w:rPr>
        <w:t>包括办公</w:t>
      </w:r>
      <w:r>
        <w:rPr>
          <w:rFonts w:hint="eastAsia"/>
          <w:lang w:val="en-US" w:eastAsia="zh-CN"/>
        </w:rPr>
        <w:t>费</w:t>
      </w:r>
      <w:r>
        <w:rPr>
          <w:rFonts w:hint="eastAsia" w:ascii="仿宋_GB2312" w:eastAsia="仿宋_GB2312"/>
          <w:sz w:val="32"/>
          <w:szCs w:val="32"/>
          <w:highlight w:val="none"/>
          <w:lang w:eastAsia="zh-CN"/>
        </w:rPr>
        <w:t>、</w:t>
      </w:r>
      <w:r>
        <w:rPr>
          <w:rFonts w:ascii="仿宋_GB2312" w:eastAsia="仿宋_GB2312"/>
          <w:sz w:val="32"/>
          <w:szCs w:val="32"/>
          <w:highlight w:val="none"/>
        </w:rPr>
        <w:t>印刷费、邮电费、差旅费、会议费、福利费、日常维修费、专用材料及一般设备购置费、办公用房水电费、</w:t>
      </w:r>
      <w:r>
        <w:rPr>
          <w:rFonts w:hint="eastAsia" w:ascii="仿宋_GB2312" w:eastAsia="仿宋_GB2312"/>
          <w:sz w:val="32"/>
          <w:szCs w:val="32"/>
          <w:highlight w:val="none"/>
        </w:rPr>
        <w:t>办公用房取暖费、</w:t>
      </w:r>
      <w:r>
        <w:rPr>
          <w:rFonts w:ascii="仿宋_GB2312" w:eastAsia="仿宋_GB2312"/>
          <w:sz w:val="32"/>
          <w:szCs w:val="32"/>
          <w:highlight w:val="none"/>
        </w:rPr>
        <w:t>办公用房物业管理费、公务用车运行维护费以及其他费用。</w:t>
      </w:r>
    </w:p>
    <w:p w14:paraId="7A560B01">
      <w:pPr>
        <w:pageBreakBefore w:val="0"/>
        <w:widowControl w:val="0"/>
        <w:kinsoku/>
        <w:wordWrap/>
        <w:overflowPunct/>
        <w:topLinePunct w:val="0"/>
        <w:bidi w:val="0"/>
        <w:spacing w:line="360" w:lineRule="auto"/>
        <w:ind w:firstLine="640"/>
        <w:textAlignment w:val="auto"/>
        <w:rPr>
          <w:rFonts w:hint="eastAsia" w:ascii="仿宋_GB2312" w:eastAsia="仿宋_GB2312"/>
          <w:sz w:val="32"/>
          <w:szCs w:val="32"/>
          <w:highlight w:val="none"/>
          <w:lang w:eastAsia="zh-CN"/>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八</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其他专用名词。</w:t>
      </w:r>
    </w:p>
    <w:p w14:paraId="159D1A9B">
      <w:pPr>
        <w:pageBreakBefore w:val="0"/>
        <w:widowControl w:val="0"/>
        <w:kinsoku/>
        <w:wordWrap/>
        <w:overflowPunct/>
        <w:topLinePunct w:val="0"/>
        <w:bidi w:val="0"/>
        <w:spacing w:line="360" w:lineRule="auto"/>
        <w:ind w:firstLine="640"/>
        <w:textAlignment w:val="auto"/>
        <w:rPr>
          <w:rFonts w:hint="eastAsia" w:ascii="仿宋_GB2312" w:eastAsia="仿宋_GB2312"/>
          <w:sz w:val="32"/>
          <w:szCs w:val="32"/>
          <w:highlight w:val="none"/>
        </w:rPr>
      </w:pPr>
      <w:r>
        <w:rPr>
          <w:rFonts w:hint="eastAsia" w:ascii="仿宋_GB2312" w:eastAsia="仿宋_GB2312"/>
          <w:sz w:val="32"/>
          <w:szCs w:val="32"/>
          <w:highlight w:val="none"/>
          <w:lang w:eastAsia="zh-CN"/>
        </w:rPr>
        <w:t>（根据本部门使用的</w:t>
      </w:r>
      <w:r>
        <w:rPr>
          <w:rFonts w:hint="eastAsia" w:ascii="仿宋_GB2312" w:eastAsia="仿宋_GB2312"/>
          <w:sz w:val="32"/>
          <w:szCs w:val="32"/>
          <w:highlight w:val="none"/>
        </w:rPr>
        <w:t>其他专用名词</w:t>
      </w:r>
      <w:r>
        <w:rPr>
          <w:rFonts w:hint="eastAsia" w:ascii="仿宋_GB2312" w:eastAsia="仿宋_GB2312"/>
          <w:sz w:val="32"/>
          <w:szCs w:val="32"/>
          <w:highlight w:val="none"/>
          <w:lang w:eastAsia="zh-CN"/>
        </w:rPr>
        <w:t>补充</w:t>
      </w:r>
      <w:r>
        <w:rPr>
          <w:rFonts w:hint="eastAsia" w:ascii="仿宋_GB2312" w:eastAsia="仿宋_GB2312"/>
          <w:sz w:val="32"/>
          <w:szCs w:val="32"/>
          <w:highlight w:val="none"/>
        </w:rPr>
        <w:t>解释</w:t>
      </w:r>
      <w:r>
        <w:rPr>
          <w:rFonts w:hint="eastAsia" w:ascii="仿宋_GB2312" w:eastAsia="仿宋_GB2312"/>
          <w:sz w:val="32"/>
          <w:szCs w:val="32"/>
          <w:highlight w:val="none"/>
          <w:lang w:eastAsia="zh-CN"/>
        </w:rPr>
        <w:t>）</w:t>
      </w:r>
    </w:p>
    <w:p w14:paraId="6714C8AA">
      <w:pPr>
        <w:pStyle w:val="1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第六部分  附件</w:t>
      </w:r>
    </w:p>
    <w:p w14:paraId="0967A63B">
      <w:pPr>
        <w:pageBreakBefore w:val="0"/>
        <w:widowControl w:val="0"/>
        <w:kinsoku/>
        <w:wordWrap/>
        <w:overflowPunct/>
        <w:topLinePunct w:val="0"/>
        <w:bidi w:val="0"/>
        <w:snapToGrid w:val="0"/>
        <w:spacing w:line="360" w:lineRule="auto"/>
        <w:ind w:firstLine="640" w:firstLineChars="200"/>
        <w:textAlignment w:val="auto"/>
        <w:rPr>
          <w:rFonts w:hint="eastAsia"/>
          <w:lang w:val="en-US" w:eastAsia="zh-CN"/>
        </w:rPr>
      </w:pPr>
      <w:r>
        <w:rPr>
          <w:rFonts w:hint="eastAsia"/>
          <w:lang w:val="en-US" w:eastAsia="zh-CN"/>
        </w:rPr>
        <w:t xml:space="preserve"> 本单位当年根据有关规定未开展绩效评价工作，无相关 附件。</w:t>
      </w:r>
    </w:p>
    <w:p w14:paraId="4DFB98CB">
      <w:pPr>
        <w:pageBreakBefore w:val="0"/>
        <w:widowControl w:val="0"/>
        <w:kinsoku/>
        <w:wordWrap/>
        <w:overflowPunct/>
        <w:topLinePunct w:val="0"/>
        <w:bidi w:val="0"/>
        <w:snapToGrid w:val="0"/>
        <w:spacing w:line="360" w:lineRule="auto"/>
        <w:ind w:firstLine="640" w:firstLineChars="200"/>
        <w:textAlignment w:val="auto"/>
        <w:rPr>
          <w:rFonts w:hint="default"/>
          <w:lang w:val="en-US" w:eastAsia="zh-CN"/>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E26E56-372C-417B-AB19-5BFFB16FD7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44122801-6BAE-452E-A4D3-ED7BBC1FAA3C}"/>
  </w:font>
  <w:font w:name="仿宋">
    <w:panose1 w:val="02010609060101010101"/>
    <w:charset w:val="86"/>
    <w:family w:val="modern"/>
    <w:pitch w:val="default"/>
    <w:sig w:usb0="800002BF" w:usb1="38CF7CFA" w:usb2="00000016" w:usb3="00000000" w:csb0="00040001" w:csb1="00000000"/>
    <w:embedRegular r:id="rId3" w:fontKey="{1249237A-4D12-45EF-BED9-151567C95198}"/>
  </w:font>
  <w:font w:name="方正小标宋简体">
    <w:panose1 w:val="02000000000000000000"/>
    <w:charset w:val="86"/>
    <w:family w:val="auto"/>
    <w:pitch w:val="default"/>
    <w:sig w:usb0="A00002BF" w:usb1="184F6CFA" w:usb2="00000012" w:usb3="00000000" w:csb0="00040001" w:csb1="00000000"/>
    <w:embedRegular r:id="rId4" w:fontKey="{130251E9-6ABC-46B5-8C33-7BF7EE9352A7}"/>
  </w:font>
  <w:font w:name="楷体_GB2312">
    <w:panose1 w:val="02010609030101010101"/>
    <w:charset w:val="86"/>
    <w:family w:val="modern"/>
    <w:pitch w:val="default"/>
    <w:sig w:usb0="00000001" w:usb1="080E0000" w:usb2="00000000" w:usb3="00000000" w:csb0="00040000" w:csb1="00000000"/>
    <w:embedRegular r:id="rId5" w:fontKey="{11607539-2F3F-4040-BF79-C05243CF09A6}"/>
  </w:font>
  <w:font w:name="？？">
    <w:altName w:val="宋体"/>
    <w:panose1 w:val="00000000000000000000"/>
    <w:charset w:val="86"/>
    <w:family w:val="roman"/>
    <w:pitch w:val="default"/>
    <w:sig w:usb0="00000000" w:usb1="00000000" w:usb2="00000010" w:usb3="00000000" w:csb0="00040000" w:csb1="00000000"/>
    <w:embedRegular r:id="rId6" w:fontKey="{11E09F00-D5E4-46A9-B7F2-8DF0701C5632}"/>
  </w:font>
  <w:font w:name="FangSong_GB2312">
    <w:altName w:val="仿宋_GB2312"/>
    <w:panose1 w:val="00000000000000000000"/>
    <w:charset w:val="00"/>
    <w:family w:val="swiss"/>
    <w:pitch w:val="default"/>
    <w:sig w:usb0="00000000" w:usb1="00000000" w:usb2="00000000" w:usb3="00000000" w:csb0="00000001" w:csb1="00000000"/>
    <w:embedRegular r:id="rId7" w:fontKey="{8A9E692F-A22E-43BC-9AB6-EB8510C2F33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434B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196A4E">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14:paraId="2E196A4E">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65C14"/>
    <w:multiLevelType w:val="singleLevel"/>
    <w:tmpl w:val="C1A65C14"/>
    <w:lvl w:ilvl="0" w:tentative="0">
      <w:start w:val="2"/>
      <w:numFmt w:val="chineseCounting"/>
      <w:suff w:val="nothing"/>
      <w:lvlText w:val="%1、"/>
      <w:lvlJc w:val="left"/>
      <w:rPr>
        <w:rFonts w:hint="eastAsia"/>
      </w:rPr>
    </w:lvl>
  </w:abstractNum>
  <w:abstractNum w:abstractNumId="1">
    <w:nsid w:val="0D96BC0D"/>
    <w:multiLevelType w:val="singleLevel"/>
    <w:tmpl w:val="0D96BC0D"/>
    <w:lvl w:ilvl="0" w:tentative="0">
      <w:start w:val="4"/>
      <w:numFmt w:val="chineseCounting"/>
      <w:suff w:val="space"/>
      <w:lvlText w:val="第%1部分"/>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yN2MzNDA3OTkzMTk2YzhiMzdjNWI2N2Y1NGZmYzkifQ=="/>
  </w:docVars>
  <w:rsids>
    <w:rsidRoot w:val="00172A27"/>
    <w:rsid w:val="013E7AC7"/>
    <w:rsid w:val="01BE2D5A"/>
    <w:rsid w:val="029861A7"/>
    <w:rsid w:val="02A34C5F"/>
    <w:rsid w:val="05A361EF"/>
    <w:rsid w:val="0603185D"/>
    <w:rsid w:val="066F0480"/>
    <w:rsid w:val="069C1222"/>
    <w:rsid w:val="06EA398A"/>
    <w:rsid w:val="07500C2E"/>
    <w:rsid w:val="07C42015"/>
    <w:rsid w:val="08BB4CF2"/>
    <w:rsid w:val="08BF7782"/>
    <w:rsid w:val="09BA4874"/>
    <w:rsid w:val="0D20727A"/>
    <w:rsid w:val="0D2838E8"/>
    <w:rsid w:val="0F155897"/>
    <w:rsid w:val="0F782054"/>
    <w:rsid w:val="0FE232D7"/>
    <w:rsid w:val="10644984"/>
    <w:rsid w:val="106C7341"/>
    <w:rsid w:val="107226B0"/>
    <w:rsid w:val="10ED7ECB"/>
    <w:rsid w:val="11E06FA9"/>
    <w:rsid w:val="12172533"/>
    <w:rsid w:val="12E80C4A"/>
    <w:rsid w:val="13DB4F89"/>
    <w:rsid w:val="151C034B"/>
    <w:rsid w:val="17B24FAF"/>
    <w:rsid w:val="17DF5EC9"/>
    <w:rsid w:val="18D34F6F"/>
    <w:rsid w:val="1980363C"/>
    <w:rsid w:val="19823B1B"/>
    <w:rsid w:val="1AAE67BE"/>
    <w:rsid w:val="1ABE6FE3"/>
    <w:rsid w:val="1AD05FDE"/>
    <w:rsid w:val="1D9C0305"/>
    <w:rsid w:val="1F085EE0"/>
    <w:rsid w:val="210C177B"/>
    <w:rsid w:val="21A86C72"/>
    <w:rsid w:val="21F62F01"/>
    <w:rsid w:val="24317D36"/>
    <w:rsid w:val="2A4243A4"/>
    <w:rsid w:val="2ABC5374"/>
    <w:rsid w:val="2B146097"/>
    <w:rsid w:val="2C543195"/>
    <w:rsid w:val="3069714B"/>
    <w:rsid w:val="30B11BE5"/>
    <w:rsid w:val="31072E65"/>
    <w:rsid w:val="317821EF"/>
    <w:rsid w:val="31902C3E"/>
    <w:rsid w:val="324D79F5"/>
    <w:rsid w:val="32683364"/>
    <w:rsid w:val="33A066C8"/>
    <w:rsid w:val="341328FE"/>
    <w:rsid w:val="342815E4"/>
    <w:rsid w:val="364A12E8"/>
    <w:rsid w:val="36C06BEC"/>
    <w:rsid w:val="37054B8B"/>
    <w:rsid w:val="37CB2439"/>
    <w:rsid w:val="386A515B"/>
    <w:rsid w:val="38E677D5"/>
    <w:rsid w:val="391F30E3"/>
    <w:rsid w:val="39D57AEA"/>
    <w:rsid w:val="39E73ADD"/>
    <w:rsid w:val="3A96743D"/>
    <w:rsid w:val="3B2E0A9A"/>
    <w:rsid w:val="3C300DB8"/>
    <w:rsid w:val="3CCC762D"/>
    <w:rsid w:val="3F134852"/>
    <w:rsid w:val="3FA93C5C"/>
    <w:rsid w:val="3FD85D09"/>
    <w:rsid w:val="40117033"/>
    <w:rsid w:val="402C37E7"/>
    <w:rsid w:val="40557BBD"/>
    <w:rsid w:val="40E575B6"/>
    <w:rsid w:val="415E5FF2"/>
    <w:rsid w:val="43CC47F6"/>
    <w:rsid w:val="467B616A"/>
    <w:rsid w:val="47DA38F3"/>
    <w:rsid w:val="4A075347"/>
    <w:rsid w:val="4A273CC0"/>
    <w:rsid w:val="4A831624"/>
    <w:rsid w:val="4C6F174F"/>
    <w:rsid w:val="4CF76003"/>
    <w:rsid w:val="4DF80089"/>
    <w:rsid w:val="4F3B42FB"/>
    <w:rsid w:val="501C4516"/>
    <w:rsid w:val="505C103B"/>
    <w:rsid w:val="50874A7C"/>
    <w:rsid w:val="5219152A"/>
    <w:rsid w:val="52A707CD"/>
    <w:rsid w:val="54155AC4"/>
    <w:rsid w:val="54162067"/>
    <w:rsid w:val="544D0F4F"/>
    <w:rsid w:val="55A07CB5"/>
    <w:rsid w:val="593542E4"/>
    <w:rsid w:val="59E6188F"/>
    <w:rsid w:val="5B726329"/>
    <w:rsid w:val="5BD443CE"/>
    <w:rsid w:val="5D14783E"/>
    <w:rsid w:val="5D301AE5"/>
    <w:rsid w:val="5D334270"/>
    <w:rsid w:val="5D486349"/>
    <w:rsid w:val="5DF87710"/>
    <w:rsid w:val="5F4014D0"/>
    <w:rsid w:val="61980F92"/>
    <w:rsid w:val="627B0ECC"/>
    <w:rsid w:val="64510316"/>
    <w:rsid w:val="645706A8"/>
    <w:rsid w:val="649B2F7D"/>
    <w:rsid w:val="64E32140"/>
    <w:rsid w:val="653448B6"/>
    <w:rsid w:val="65547BFE"/>
    <w:rsid w:val="65E968A5"/>
    <w:rsid w:val="661C0CF6"/>
    <w:rsid w:val="662D0574"/>
    <w:rsid w:val="66826A61"/>
    <w:rsid w:val="66A948C2"/>
    <w:rsid w:val="66AC55DF"/>
    <w:rsid w:val="69880225"/>
    <w:rsid w:val="69AD32FC"/>
    <w:rsid w:val="69C80956"/>
    <w:rsid w:val="6A5A093E"/>
    <w:rsid w:val="6B050A84"/>
    <w:rsid w:val="6C5076BD"/>
    <w:rsid w:val="6CF22418"/>
    <w:rsid w:val="6D8A46AE"/>
    <w:rsid w:val="6DCA1178"/>
    <w:rsid w:val="6EA00679"/>
    <w:rsid w:val="70170310"/>
    <w:rsid w:val="710B2708"/>
    <w:rsid w:val="73972FFE"/>
    <w:rsid w:val="74056784"/>
    <w:rsid w:val="74823C8D"/>
    <w:rsid w:val="76DC4D6B"/>
    <w:rsid w:val="76E81511"/>
    <w:rsid w:val="77E963DD"/>
    <w:rsid w:val="78675726"/>
    <w:rsid w:val="795379F2"/>
    <w:rsid w:val="797353EC"/>
    <w:rsid w:val="7BAA698E"/>
    <w:rsid w:val="7BE063D3"/>
    <w:rsid w:val="7C94315B"/>
    <w:rsid w:val="7F737D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next w:val="1"/>
    <w:qFormat/>
    <w:uiPriority w:val="0"/>
    <w:pPr>
      <w:snapToGrid w:val="0"/>
      <w:jc w:val="left"/>
    </w:pPr>
    <w:rPr>
      <w:sz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样式1"/>
    <w:basedOn w:val="1"/>
    <w:qFormat/>
    <w:uiPriority w:val="0"/>
  </w:style>
  <w:style w:type="paragraph" w:customStyle="1" w:styleId="10">
    <w:name w:val="正文缩进 + 首行缩进:  2 字符"/>
    <w:basedOn w:val="1"/>
    <w:qFormat/>
    <w:uiPriority w:val="0"/>
    <w:pPr>
      <w:spacing w:line="560" w:lineRule="exact"/>
      <w:ind w:firstLine="640"/>
    </w:pPr>
    <w:rPr>
      <w:rFonts w:ascii="仿宋" w:hAnsi="仿宋" w:eastAsia="仿宋" w:cs="宋体"/>
      <w:sz w:val="32"/>
      <w:szCs w:val="20"/>
    </w:rPr>
  </w:style>
  <w:style w:type="paragraph" w:customStyle="1" w:styleId="1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chart" Target="charts/chart1.xml"/><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oleObject" Target="embeddings/oleObject28.bin"/><Relationship Id="rId58" Type="http://schemas.openxmlformats.org/officeDocument/2006/relationships/image" Target="media/image27.emf"/><Relationship Id="rId57" Type="http://schemas.openxmlformats.org/officeDocument/2006/relationships/oleObject" Target="embeddings/oleObject27.bin"/><Relationship Id="rId56" Type="http://schemas.openxmlformats.org/officeDocument/2006/relationships/image" Target="media/image26.emf"/><Relationship Id="rId55" Type="http://schemas.openxmlformats.org/officeDocument/2006/relationships/oleObject" Target="embeddings/oleObject26.bin"/><Relationship Id="rId54" Type="http://schemas.openxmlformats.org/officeDocument/2006/relationships/image" Target="media/image25.emf"/><Relationship Id="rId53" Type="http://schemas.openxmlformats.org/officeDocument/2006/relationships/oleObject" Target="embeddings/oleObject25.bin"/><Relationship Id="rId52" Type="http://schemas.openxmlformats.org/officeDocument/2006/relationships/image" Target="media/image24.emf"/><Relationship Id="rId51" Type="http://schemas.openxmlformats.org/officeDocument/2006/relationships/oleObject" Target="embeddings/oleObject24.bin"/><Relationship Id="rId50" Type="http://schemas.openxmlformats.org/officeDocument/2006/relationships/image" Target="media/image23.e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emf"/><Relationship Id="rId47" Type="http://schemas.openxmlformats.org/officeDocument/2006/relationships/oleObject" Target="embeddings/oleObject22.bin"/><Relationship Id="rId46" Type="http://schemas.openxmlformats.org/officeDocument/2006/relationships/image" Target="media/image21.emf"/><Relationship Id="rId45" Type="http://schemas.openxmlformats.org/officeDocument/2006/relationships/oleObject" Target="embeddings/oleObject21.bin"/><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22270;&#34920;%20&#22312;%20&#38468;&#20214;3&#65306;%20&#37096;&#38376;&#65288;&#21333;&#20301;&#65289;&#20915;&#31639;&#20844;&#24320;&#27169;&#26495;.doc"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25742337164751"/>
          <c:y val="0.0431252104359823"/>
          <c:w val="0.938888888888889"/>
          <c:h val="0.780185758513932"/>
        </c:manualLayout>
      </c:layout>
      <c:pie3DChart>
        <c:varyColors val="1"/>
        <c:ser>
          <c:idx val="0"/>
          <c:order val="0"/>
          <c:tx>
            <c:strRef>
              <c:f>'[图表 在 附件3： 部门（单位）决算公开模板.doc]Sheet1'!$A$3</c:f>
              <c:strCache>
                <c:ptCount val="1"/>
                <c:pt idx="0">
                  <c:v>2022年度</c:v>
                </c:pt>
              </c:strCache>
            </c:strRef>
          </c:tx>
          <c:explosion val="0"/>
          <c:dPt>
            <c:idx val="0"/>
            <c:bubble3D val="0"/>
            <c:explosion val="0"/>
            <c:spPr>
              <a:solidFill>
                <a:srgbClr val="4F81BD"/>
              </a:solidFill>
              <a:ln w="25400">
                <a:solidFill>
                  <a:srgbClr val="FFFFFF"/>
                </a:solidFill>
              </a:ln>
              <a:effectLst/>
            </c:spPr>
          </c:dPt>
          <c:dPt>
            <c:idx val="1"/>
            <c:bubble3D val="0"/>
            <c:explosion val="0"/>
            <c:spPr>
              <a:solidFill>
                <a:srgbClr val="C0504D"/>
              </a:solidFill>
              <a:ln w="25400">
                <a:solidFill>
                  <a:srgbClr val="FFFFFF"/>
                </a:solidFill>
              </a:ln>
              <a:effectLst/>
            </c:spPr>
          </c:dPt>
          <c:dPt>
            <c:idx val="2"/>
            <c:bubble3D val="0"/>
            <c:explosion val="0"/>
            <c:spPr>
              <a:solidFill>
                <a:srgbClr val="9BBB59"/>
              </a:solidFill>
              <a:ln w="25400">
                <a:solidFill>
                  <a:srgbClr val="FFFFFF"/>
                </a:solidFill>
              </a:ln>
              <a:effectLst/>
            </c:spPr>
          </c:dPt>
          <c:dPt>
            <c:idx val="3"/>
            <c:bubble3D val="0"/>
            <c:explosion val="0"/>
            <c:spPr>
              <a:solidFill>
                <a:srgbClr val="8064A2"/>
              </a:solidFill>
              <a:ln w="25400">
                <a:solidFill>
                  <a:srgbClr val="FFFFFF"/>
                </a:solidFill>
              </a:ln>
              <a:effectLst/>
            </c:spPr>
          </c:dPt>
          <c:dPt>
            <c:idx val="4"/>
            <c:bubble3D val="0"/>
            <c:explosion val="0"/>
            <c:spPr>
              <a:solidFill>
                <a:srgbClr val="4BACC6"/>
              </a:solidFill>
              <a:ln w="25400">
                <a:solidFill>
                  <a:srgbClr val="FFFFFF"/>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'[图表 在 附件3： 部门（单位）决算公开模板.doc]Sheet1'!$B$2:$F$2</c:f>
              <c:strCache>
                <c:ptCount val="5"/>
                <c:pt idx="0">
                  <c:v>财政拨款收入</c:v>
                </c:pt>
                <c:pt idx="1">
                  <c:v>上级补助收入</c:v>
                </c:pt>
                <c:pt idx="2">
                  <c:v>事业收入</c:v>
                </c:pt>
                <c:pt idx="3">
                  <c:v>经营收入</c:v>
                </c:pt>
                <c:pt idx="4">
                  <c:v>其他收入</c:v>
                </c:pt>
              </c:strCache>
            </c:strRef>
          </c:cat>
          <c:val>
            <c:numRef>
              <c:f>'[图表 在 附件3： 部门（单位）决算公开模板.doc]Sheet1'!$B$3:$F$3</c:f>
              <c:numCache>
                <c:formatCode>General</c:formatCode>
                <c:ptCount val="5"/>
                <c:pt idx="0">
                  <c:v>2035.17</c:v>
                </c:pt>
                <c:pt idx="1">
                  <c:v>0</c:v>
                </c:pt>
                <c:pt idx="2">
                  <c:v>0</c:v>
                </c:pt>
                <c:pt idx="3">
                  <c:v>0</c:v>
                </c:pt>
                <c:pt idx="4">
                  <c:v>0</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a:outerShdw blurRad="63500" dist="37357" dir="2700000" sx="0" sy="0" rotWithShape="0">
        <a:scrgbClr r="0" g="0" b="0"/>
      </a:outerShdw>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24</Pages>
  <Words>4986</Words>
  <Characters>5326</Characters>
  <Lines>0</Lines>
  <Paragraphs>0</Paragraphs>
  <TotalTime>6</TotalTime>
  <ScaleCrop>false</ScaleCrop>
  <LinksUpToDate>false</LinksUpToDate>
  <CharactersWithSpaces>5488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A-Talent--stan</cp:lastModifiedBy>
  <cp:lastPrinted>2023-07-20T01:40:00Z</cp:lastPrinted>
  <dcterms:modified xsi:type="dcterms:W3CDTF">2024-08-09T03:17:19Z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A5BC97B22E464E59878BA80F3D223233_13</vt:lpwstr>
  </property>
</Properties>
</file>