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AF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潜江市202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年财政预算管理工作情况</w:t>
      </w:r>
    </w:p>
    <w:p w14:paraId="21F9A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今年来</w:t>
      </w:r>
      <w:r>
        <w:rPr>
          <w:rFonts w:hint="eastAsia" w:ascii="仿宋" w:hAnsi="仿宋" w:eastAsia="仿宋" w:cs="仿宋"/>
          <w:sz w:val="32"/>
          <w:szCs w:val="32"/>
        </w:rPr>
        <w:t>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省财政厅、</w:t>
      </w:r>
      <w:r>
        <w:rPr>
          <w:rFonts w:hint="eastAsia" w:ascii="仿宋" w:hAnsi="仿宋" w:eastAsia="仿宋" w:cs="仿宋"/>
          <w:sz w:val="32"/>
          <w:szCs w:val="32"/>
        </w:rPr>
        <w:t>市委市政府的坚强领导下，全市财政部门坚持以习近平新时代中国特色社会主义思想为指导，认真贯彻落实中央、省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市各项决策部署，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紧紧围绕</w:t>
      </w:r>
      <w:r>
        <w:rPr>
          <w:rFonts w:hint="eastAsia" w:ascii="仿宋" w:hAnsi="仿宋" w:eastAsia="仿宋" w:cs="仿宋"/>
          <w:sz w:val="32"/>
          <w:szCs w:val="32"/>
        </w:rPr>
        <w:t>“加快打造‘一城三基地’、奋力建设四化同步发展示范区”目标任务，充分发挥财政政策效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 w:cs="仿宋"/>
          <w:sz w:val="32"/>
          <w:szCs w:val="32"/>
        </w:rPr>
        <w:t>，认真履行财政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，全力以赴抓增收、拓财源、推改革、强保障，各项工作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取得了较好成效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为推动全市高质量发展作出了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贡献。</w:t>
      </w:r>
    </w:p>
    <w:p w14:paraId="50D8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（一）聚焦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以政领财，敢担当勇作为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刻认识财政工作的政治属性，充分发扬“以政领财、以财辅政，政令财行、财随政走”的优良财政工作传统，敢于担当，勇于作为，凡重大形势变化，财政部门第一时间向“四大家”拿出“财政应对预案”；凡重大政策出台，财政部门第一时间向“四大家”拿出“财政测算方案”；凡重大指示批示，财政部门向“四大家”第一时间拿出“财政落实方案”，确保市委市政府重大决策部署和市人大决定、决议在财政部门落实落地。</w:t>
      </w:r>
    </w:p>
    <w:p w14:paraId="1AA11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）聚焦政策协同，稳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 w:cs="仿宋"/>
          <w:b/>
          <w:sz w:val="32"/>
          <w:szCs w:val="32"/>
        </w:rPr>
        <w:t>促发展。</w:t>
      </w:r>
      <w:r>
        <w:rPr>
          <w:rFonts w:hint="eastAsia" w:ascii="仿宋" w:hAnsi="仿宋" w:eastAsia="仿宋" w:cs="仿宋"/>
          <w:sz w:val="32"/>
          <w:szCs w:val="32"/>
        </w:rPr>
        <w:t>继续“巩固拓展”减税降费成效，全市新增减税降费1.86亿元，激发市场主体活力。充分发挥财税政策对需求端的拉动作用，统筹财政资金35亿元，专项用于落实省市稳健经济发展系列政策和全市惠企政策兑现；安排产业发展专项资金3.2亿元，支持招商引资和纺织服装、家居制造、智能装备等特色产业和高新企业创新发展；落实“虾十条”政策资金3.5亿元，支持虾稻产业高质量发展。落实就业专项补助资金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963万元、财政贴息2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797万元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撬动</w:t>
      </w:r>
      <w:r>
        <w:rPr>
          <w:rFonts w:hint="eastAsia" w:ascii="仿宋" w:hAnsi="仿宋" w:eastAsia="仿宋" w:cs="仿宋"/>
          <w:sz w:val="32"/>
          <w:szCs w:val="32"/>
        </w:rPr>
        <w:t>发放个人创业担保贷款67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884万元、小微企业贷款2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060万元，全力支持创业就业。实施中小企业“采购优待”政策措施，面向中小微企业采购占比达到91.7%、利用政府采购合同融资10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793万元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切实优化营商环境</w:t>
      </w:r>
      <w:r>
        <w:rPr>
          <w:rFonts w:hint="eastAsia" w:ascii="仿宋" w:hAnsi="仿宋" w:eastAsia="仿宋" w:cs="仿宋"/>
          <w:sz w:val="32"/>
          <w:szCs w:val="32"/>
        </w:rPr>
        <w:t>。继续促进恢复和扩大消费，落实财政资金7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892万元，支持汽车消费、住房购买、“商文旅体”消费融合，释放消费潜力。</w:t>
      </w:r>
    </w:p>
    <w:p w14:paraId="73B0F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）聚焦项目建设，统资源扩投资。</w:t>
      </w:r>
      <w:r>
        <w:rPr>
          <w:rFonts w:hint="eastAsia" w:ascii="仿宋" w:hAnsi="仿宋" w:eastAsia="仿宋" w:cs="仿宋"/>
          <w:sz w:val="32"/>
          <w:szCs w:val="32"/>
        </w:rPr>
        <w:t>坚持“项目为王”，精准谋划项目、储备项目、申报项目，加强周调度、月通报，做到即发即用，用足用好政府专项债限额，全年积极争取并发行债券322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908万元，其中：新增一般债券43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453万元，新增专项债券248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400万元，再融资一般债券24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427万元，再融资专项债券6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628万元，集中支持24个民生项目和重点投资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激发活力助力稳增长</w:t>
      </w:r>
      <w:r>
        <w:rPr>
          <w:rFonts w:hint="eastAsia" w:ascii="仿宋" w:hAnsi="仿宋" w:eastAsia="仿宋" w:cs="仿宋"/>
          <w:sz w:val="32"/>
          <w:szCs w:val="32"/>
        </w:rPr>
        <w:t>。同时，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统筹用好中央预算内投资3亿元、落实PPP支出责任2.5亿元、累计投放产业发展基金3.3亿元，支持带动扩大社会有效投资。</w:t>
      </w:r>
    </w:p>
    <w:p w14:paraId="58A87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10" w:rightChars="10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）聚焦财源建设，抓收入壮实力。</w:t>
      </w:r>
      <w:r>
        <w:rPr>
          <w:rFonts w:hint="eastAsia" w:ascii="仿宋" w:hAnsi="仿宋" w:eastAsia="仿宋" w:cs="仿宋"/>
          <w:bCs/>
          <w:sz w:val="32"/>
          <w:szCs w:val="32"/>
        </w:rPr>
        <w:t>强化收入征管协同共治，加强收入调度组织，实现财政收入平稳增长。元至1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运行稳中有进，持续向好，财政收入保持较高增速，财税各项指标均好于全省平均水平，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全省排名第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六，地方税收收入全省排名第四。</w:t>
      </w:r>
      <w:r>
        <w:rPr>
          <w:rFonts w:hint="eastAsia" w:ascii="仿宋" w:hAnsi="仿宋" w:eastAsia="仿宋" w:cs="仿宋"/>
          <w:sz w:val="32"/>
          <w:szCs w:val="32"/>
        </w:rPr>
        <w:t>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地方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一般公共预算收入完成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303,432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万元，同比增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%，为年初预算的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%，其中地方税收收入完成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229,826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万元,同比增长2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%,为年初预算的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%，税收占比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%；非税收入完成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73,606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万元,同比增长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%，为年初预算的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同时，协同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市直</w:t>
      </w:r>
      <w:r>
        <w:rPr>
          <w:rFonts w:hint="eastAsia" w:ascii="仿宋" w:hAnsi="仿宋" w:eastAsia="仿宋" w:cs="仿宋"/>
          <w:kern w:val="0"/>
          <w:sz w:val="32"/>
          <w:szCs w:val="32"/>
        </w:rPr>
        <w:t>各部门积极向上争取到位中央、省级各类转移支付资金51亿元。</w:t>
      </w:r>
    </w:p>
    <w:p w14:paraId="6DD9B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10" w:rightChars="10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）聚焦重点领域，兜底线保民生。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加强财政库款调度，加快各类资金的拨付，加大对经济社会发展薄弱环节和关键领域的投入。元至1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月，全市一般公共财政预算支出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75.11</w:t>
      </w:r>
      <w:r>
        <w:rPr>
          <w:rFonts w:hint="eastAsia" w:ascii="仿宋" w:hAnsi="仿宋" w:eastAsia="仿宋" w:cs="仿宋"/>
          <w:kern w:val="0"/>
          <w:sz w:val="32"/>
          <w:szCs w:val="32"/>
        </w:rPr>
        <w:t>亿元，实现保工资、保运转和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保</w:t>
      </w:r>
      <w:r>
        <w:rPr>
          <w:rFonts w:hint="eastAsia" w:ascii="仿宋" w:hAnsi="仿宋" w:eastAsia="仿宋" w:cs="仿宋"/>
          <w:kern w:val="0"/>
          <w:sz w:val="32"/>
          <w:szCs w:val="32"/>
        </w:rPr>
        <w:t>重点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民生</w:t>
      </w:r>
      <w:r>
        <w:rPr>
          <w:rFonts w:hint="eastAsia" w:ascii="仿宋" w:hAnsi="仿宋" w:eastAsia="仿宋" w:cs="仿宋"/>
          <w:kern w:val="0"/>
          <w:sz w:val="32"/>
          <w:szCs w:val="32"/>
        </w:rPr>
        <w:t>支出的目标，保持适度支出强度。其中：“三保支出”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54.18</w:t>
      </w:r>
      <w:r>
        <w:rPr>
          <w:rFonts w:hint="eastAsia" w:ascii="仿宋" w:hAnsi="仿宋" w:eastAsia="仿宋" w:cs="仿宋"/>
          <w:kern w:val="0"/>
          <w:sz w:val="32"/>
          <w:szCs w:val="32"/>
        </w:rPr>
        <w:t>亿元，进度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82.7</w:t>
      </w:r>
      <w:r>
        <w:rPr>
          <w:rFonts w:hint="eastAsia"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全市民生支出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630,057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万元，同比增长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%。按照“一杆子插到底”的要求，落实财政直达资金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194,000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实际支出165,490万元，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支出进度8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%，实现资金直达基层，尽快惠企利民。优化区镇街道财政管理体制，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加大</w:t>
      </w:r>
      <w:r>
        <w:rPr>
          <w:rFonts w:hint="eastAsia" w:ascii="仿宋" w:hAnsi="仿宋" w:eastAsia="仿宋" w:cs="仿宋"/>
          <w:kern w:val="0"/>
          <w:sz w:val="32"/>
          <w:szCs w:val="32"/>
        </w:rPr>
        <w:t>财力向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基层</w:t>
      </w:r>
      <w:r>
        <w:rPr>
          <w:rFonts w:hint="eastAsia" w:ascii="仿宋" w:hAnsi="仿宋" w:eastAsia="仿宋" w:cs="仿宋"/>
          <w:kern w:val="0"/>
          <w:sz w:val="32"/>
          <w:szCs w:val="32"/>
        </w:rPr>
        <w:t>倾斜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力度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，确保基层平稳运行。</w:t>
      </w:r>
    </w:p>
    <w:p w14:paraId="1375A0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）聚焦改革创新，强管理增效能。</w:t>
      </w:r>
      <w:r>
        <w:rPr>
          <w:rFonts w:hint="eastAsia" w:ascii="仿宋" w:hAnsi="仿宋" w:eastAsia="仿宋" w:cs="仿宋"/>
          <w:bCs/>
          <w:sz w:val="32"/>
          <w:szCs w:val="32"/>
        </w:rPr>
        <w:t>统筹推进各项财政管理改革，加快健全现代财政制度，切实把制度优势转化为治理效能，预算精准性与约束力明显增强，支出绩效有效提升。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一年</w:t>
      </w:r>
      <w:r>
        <w:rPr>
          <w:rFonts w:hint="eastAsia" w:ascii="仿宋" w:hAnsi="仿宋" w:eastAsia="仿宋" w:cs="仿宋"/>
          <w:bCs/>
          <w:sz w:val="32"/>
          <w:szCs w:val="32"/>
        </w:rPr>
        <w:t>来，通过强化预算编制与执行管理，严格落实零基预算，压一般、减专项、统结余，共统筹财政资金1.9亿元，集中支持大事要事和重点项目建设。加强财政投资评审，276个送审项目累计审减资金28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125万元，进一步提高了财政资金使用效益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实施政府采购全流程电子化、采购专员、质疑投诉处理机制、份额预留等改革，进一步提高采购绩效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加快推进国有企业重组改革和行政事业资产双集中管理，优化财政资源配置，提升国有资本资产效益。加强财会监督与审计、巡察等各类监督贯通协调机制建设，出台《进一步加强财会监督、严肃财经纪律的通知》，规范财政财务管理。严格落实地方债务化解责任，分类锁定五类债务，制定“1+5”化解方案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守住不发生系统性风险的底线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截止目前，统筹各类财政资金8.1亿元偿还法定债务；筹集4.3亿元化解企业欠款问题。分类推进国有平台公司市场化转型，增强造血功能，严防融资平台债务风险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bookmarkStart w:id="0" w:name="_GoBack"/>
      <w:bookmarkEnd w:id="0"/>
    </w:p>
    <w:p w14:paraId="4C6F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宋体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462A188-C68C-485E-BEC7-E6B71A5EFF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87FB2C-4889-4D06-82CB-F059EA68E7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C0321E1-9586-4CC4-8590-F33CB4D527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77DD95-FA94-4A80-B856-56C19C473D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GJkN2Q1M2Q2ZDczMmE2YWYwYzk5YWUwOWFkNDcifQ=="/>
  </w:docVars>
  <w:rsids>
    <w:rsidRoot w:val="15EA6A63"/>
    <w:rsid w:val="15EA6A63"/>
    <w:rsid w:val="4B55023A"/>
    <w:rsid w:val="4E581E19"/>
    <w:rsid w:val="52F448FA"/>
    <w:rsid w:val="65A2724B"/>
    <w:rsid w:val="6C5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6311</Words>
  <Characters>6949</Characters>
  <Lines>0</Lines>
  <Paragraphs>0</Paragraphs>
  <TotalTime>0</TotalTime>
  <ScaleCrop>false</ScaleCrop>
  <LinksUpToDate>false</LinksUpToDate>
  <CharactersWithSpaces>6959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2024-10-11T08:16:00Z</dcterms:created>
  <dc:creator>jingle</dc:creator>
  <cp:lastModifiedBy>jingle</cp:lastModifiedBy>
  <dcterms:modified xsi:type="dcterms:W3CDTF">2024-10-22T01:43:39Z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B985467F1A5B4827A14C3797A698205A_13</vt:lpwstr>
  </property>
</Properties>
</file>