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451DD">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000000"/>
          <w:kern w:val="0"/>
          <w:sz w:val="44"/>
          <w:szCs w:val="44"/>
          <w:lang w:val="en-US" w:eastAsia="zh-CN"/>
        </w:rPr>
      </w:pPr>
      <w:r>
        <w:rPr>
          <w:rFonts w:hint="eastAsia" w:ascii="方正小标宋简体" w:hAnsi="方正小标宋简体" w:eastAsia="方正小标宋简体" w:cs="方正小标宋简体"/>
          <w:sz w:val="44"/>
          <w:szCs w:val="44"/>
        </w:rPr>
        <w:t>潜江市202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年预算绩效工作开展情况说明</w:t>
      </w:r>
    </w:p>
    <w:p w14:paraId="66C6AEEF">
      <w:pPr>
        <w:pStyle w:val="6"/>
        <w:keepNext w:val="0"/>
        <w:keepLines w:val="0"/>
        <w:pageBreakBefore w:val="0"/>
        <w:widowControl w:val="0"/>
        <w:kinsoku/>
        <w:overflowPunct/>
        <w:topLinePunct w:val="0"/>
        <w:autoSpaceDE/>
        <w:autoSpaceDN/>
        <w:bidi w:val="0"/>
        <w:adjustRightInd/>
        <w:snapToGrid/>
        <w:spacing w:line="560" w:lineRule="exact"/>
        <w:textAlignment w:val="auto"/>
        <w:rPr>
          <w:rFonts w:hint="eastAsia"/>
          <w:lang w:val="en-US" w:eastAsia="zh-CN"/>
        </w:rPr>
      </w:pPr>
    </w:p>
    <w:p w14:paraId="2582DAA5">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w:t>
      </w:r>
      <w:r>
        <w:rPr>
          <w:rFonts w:hint="eastAsia" w:ascii="仿宋" w:hAnsi="仿宋" w:eastAsia="仿宋" w:cs="仿宋"/>
          <w:sz w:val="32"/>
          <w:szCs w:val="32"/>
          <w:lang w:eastAsia="zh-CN"/>
        </w:rPr>
        <w:t>潜江市坚持以习近平新时代中国特色社会主义思想为指导，深入贯彻“花钱必问效、无效必问责”要求，以推进财政科学管理试点为抓手，持续深化全过程预算绩效管理，构建起“事前评估、事中监控、事后评价、结果应用”全链条闭环体系。</w:t>
      </w:r>
    </w:p>
    <w:p w14:paraId="43BDC1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lang w:eastAsia="zh-CN"/>
        </w:rPr>
        <w:t>一、</w:t>
      </w:r>
      <w:r>
        <w:rPr>
          <w:rFonts w:hint="eastAsia" w:ascii="CESI黑体-GB2312" w:hAnsi="CESI黑体-GB2312" w:eastAsia="CESI黑体-GB2312" w:cs="CESI黑体-GB2312"/>
          <w:sz w:val="32"/>
          <w:szCs w:val="32"/>
        </w:rPr>
        <w:t>事前把关，源头筑牢绩效防线</w:t>
      </w:r>
    </w:p>
    <w:p w14:paraId="1ED1D2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按照零基预算改革要求，打破“基数+增长”传统模式，严格落实新增重大项目、重要政策事前绩效评估机制，坚持“不评估不立项、不立项不安排预算”。将绩效目标作为预算编制前置要件，2025年完成727个项目绩效目标、68个部门整体绩效目标审核</w:t>
      </w:r>
      <w:r>
        <w:rPr>
          <w:rFonts w:hint="eastAsia" w:ascii="方正仿宋_GB2312" w:hAnsi="方正仿宋_GB2312" w:eastAsia="方正仿宋_GB2312" w:cs="方正仿宋_GB2312"/>
          <w:sz w:val="32"/>
          <w:szCs w:val="32"/>
          <w:lang w:eastAsia="zh-CN"/>
        </w:rPr>
        <w:t>批复</w:t>
      </w:r>
      <w:r>
        <w:rPr>
          <w:rFonts w:hint="eastAsia" w:ascii="方正仿宋_GB2312" w:hAnsi="方正仿宋_GB2312" w:eastAsia="方正仿宋_GB2312" w:cs="方正仿宋_GB2312"/>
          <w:sz w:val="32"/>
          <w:szCs w:val="32"/>
        </w:rPr>
        <w:t>，涉及资金20.65亿元，对目标不明确、指标不量化的项目一律不予入库、不予安排预算。</w:t>
      </w:r>
    </w:p>
    <w:p w14:paraId="60037CC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事中监控，动态纠偏不留死角</w:t>
      </w:r>
    </w:p>
    <w:p w14:paraId="1C236F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建立健全“预算执行进度+绩效目标”双监控机制，实现财政资金运行全程动态监管。常态化对全市财政支出项目开展双向跟踪监控，重点核查项目资金拨付进度、实际支出效率、绩效目标完成情况，及时发现资金使用、项目推进中的堵点问题，第一时间督促整改、动态纠偏。推动财政管理重心从“事后算账”向“事前预判、事中调控”转变，确保财政资金高效运转、专款专用。</w:t>
      </w:r>
    </w:p>
    <w:p w14:paraId="69C802D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事后评价，重点领域精准覆盖</w:t>
      </w:r>
    </w:p>
    <w:p w14:paraId="0F058A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2025年实现全市53个部门整体支出、445个财政支出项目绩效自评全覆盖，做到支出必评价、绩效必问效。聚焦民生保障、产业发展、基础设施建设等重点领域，选取38个重大项目开展财政重点绩效</w:t>
      </w:r>
      <w:r>
        <w:rPr>
          <w:rFonts w:hint="eastAsia" w:ascii="方正仿宋_GB2312" w:hAnsi="方正仿宋_GB2312" w:eastAsia="方正仿宋_GB2312" w:cs="方正仿宋_GB2312"/>
          <w:sz w:val="32"/>
          <w:szCs w:val="32"/>
          <w:lang w:eastAsia="zh-CN"/>
        </w:rPr>
        <w:t>再</w:t>
      </w:r>
      <w:r>
        <w:rPr>
          <w:rFonts w:hint="eastAsia" w:ascii="方正仿宋_GB2312" w:hAnsi="方正仿宋_GB2312" w:eastAsia="方正仿宋_GB2312" w:cs="方正仿宋_GB2312"/>
          <w:sz w:val="32"/>
          <w:szCs w:val="32"/>
        </w:rPr>
        <w:t>评价，涉及资金11.23亿元，精准核查资金使用规范性、项目实施实效性、政策落地成效。主动拓宽监督渠道，全年向市人大报送重点项目绩效评价报告10份，依法依规向社会公开重点项目绩效评价信息，主动接受人大、社会及公众监督，以全方位监督倒逼财政资金使用效益持续提升。</w:t>
      </w:r>
    </w:p>
    <w:p w14:paraId="19E4EF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lang w:eastAsia="zh-CN"/>
        </w:rPr>
        <w:t>四、</w:t>
      </w:r>
      <w:r>
        <w:rPr>
          <w:rFonts w:hint="eastAsia" w:ascii="CESI黑体-GB2312" w:hAnsi="CESI黑体-GB2312" w:eastAsia="CESI黑体-GB2312" w:cs="CESI黑体-GB2312"/>
          <w:sz w:val="32"/>
          <w:szCs w:val="32"/>
        </w:rPr>
        <w:t>结果应用，硬化挂钩刚性约束</w:t>
      </w:r>
    </w:p>
    <w:p w14:paraId="6BB88F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将214个项目绩效评价报告结果汇编成《关于2025年度重点项目绩效评价结果应用有关事项的通知》，作为2026年度全市部门预算编制的重要参考依据，实现评价结果与预算安排的有效衔接。</w:t>
      </w:r>
      <w:r>
        <w:rPr>
          <w:rFonts w:hint="eastAsia" w:ascii="方正仿宋_GB2312" w:hAnsi="方正仿宋_GB2312" w:eastAsia="方正仿宋_GB2312" w:cs="方正仿宋_GB2312"/>
          <w:sz w:val="32"/>
          <w:szCs w:val="32"/>
          <w:lang w:eastAsia="zh-CN"/>
        </w:rPr>
        <w:t>同步</w:t>
      </w:r>
      <w:r>
        <w:rPr>
          <w:rFonts w:hint="eastAsia" w:ascii="方正仿宋_GB2312" w:hAnsi="方正仿宋_GB2312" w:eastAsia="方正仿宋_GB2312" w:cs="方正仿宋_GB2312"/>
          <w:sz w:val="32"/>
          <w:szCs w:val="32"/>
        </w:rPr>
        <w:t>结合人大、审计及各类巡查意见，</w:t>
      </w:r>
      <w:r>
        <w:rPr>
          <w:rFonts w:hint="eastAsia" w:ascii="方正仿宋_GB2312" w:hAnsi="方正仿宋_GB2312" w:eastAsia="方正仿宋_GB2312" w:cs="方正仿宋_GB2312"/>
          <w:sz w:val="32"/>
          <w:szCs w:val="32"/>
          <w:lang w:eastAsia="zh-CN"/>
        </w:rPr>
        <w:t>出台</w:t>
      </w:r>
      <w:r>
        <w:rPr>
          <w:rFonts w:hint="eastAsia" w:ascii="方正仿宋_GB2312" w:hAnsi="方正仿宋_GB2312" w:eastAsia="方正仿宋_GB2312" w:cs="方正仿宋_GB2312"/>
          <w:sz w:val="32"/>
          <w:szCs w:val="32"/>
        </w:rPr>
        <w:t>《关于重点绩效评价结果与预算安排挂钩的实施细则》，健全评价得分与预算扣减金额直接量化挂钩机制，做到“评价有标准、扣减有依据、挂钩有力度”。</w:t>
      </w:r>
      <w:r>
        <w:rPr>
          <w:rFonts w:hint="eastAsia" w:ascii="方正仿宋_GB2312" w:hAnsi="方正仿宋_GB2312" w:eastAsia="方正仿宋_GB2312" w:cs="方正仿宋_GB2312"/>
          <w:sz w:val="32"/>
          <w:szCs w:val="32"/>
          <w:lang w:val="en-US" w:eastAsia="zh-CN"/>
        </w:rPr>
        <w:t>2025年</w:t>
      </w:r>
      <w:r>
        <w:rPr>
          <w:rFonts w:hint="eastAsia" w:ascii="方正仿宋_GB2312" w:hAnsi="方正仿宋_GB2312" w:eastAsia="方正仿宋_GB2312" w:cs="方正仿宋_GB2312"/>
          <w:sz w:val="32"/>
          <w:szCs w:val="32"/>
        </w:rPr>
        <w:t>依据评价结果核减潜江市工业项目报建“零收费”、潜江市预防性体检工作经费本级配套（取消收费）、潜江市港船舶溢油应急设备库运营费等低效项目预算1</w:t>
      </w:r>
      <w:r>
        <w:rPr>
          <w:rFonts w:hint="eastAsia" w:ascii="方正仿宋_GB2312" w:hAnsi="方正仿宋_GB2312" w:eastAsia="方正仿宋_GB2312" w:cs="方正仿宋_GB2312"/>
          <w:sz w:val="32"/>
          <w:szCs w:val="32"/>
          <w:lang w:val="en-US" w:eastAsia="zh-CN"/>
        </w:rPr>
        <w:t>357</w:t>
      </w:r>
      <w:r>
        <w:rPr>
          <w:rFonts w:hint="eastAsia" w:ascii="方正仿宋_GB2312" w:hAnsi="方正仿宋_GB2312" w:eastAsia="方正仿宋_GB2312" w:cs="方正仿宋_GB2312"/>
          <w:sz w:val="32"/>
          <w:szCs w:val="32"/>
        </w:rPr>
        <w:t>万元，切实推动绩效评价成果落地见效。</w:t>
      </w:r>
    </w:p>
    <w:p w14:paraId="425F878B">
      <w:pPr>
        <w:pStyle w:val="6"/>
        <w:keepNext w:val="0"/>
        <w:keepLines w:val="0"/>
        <w:pageBreakBefore w:val="0"/>
        <w:widowControl w:val="0"/>
        <w:kinsoku/>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p>
    <w:p w14:paraId="00347198">
      <w:pPr>
        <w:pStyle w:val="6"/>
        <w:keepNext w:val="0"/>
        <w:keepLines w:val="0"/>
        <w:pageBreakBefore w:val="0"/>
        <w:widowControl w:val="0"/>
        <w:kinsoku/>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p>
    <w:p w14:paraId="391B65CC">
      <w:pPr>
        <w:pStyle w:val="6"/>
        <w:keepNext w:val="0"/>
        <w:keepLines w:val="0"/>
        <w:pageBreakBefore w:val="0"/>
        <w:widowControl w:val="0"/>
        <w:kinsoku/>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p>
    <w:p w14:paraId="14BB51A1">
      <w:pPr>
        <w:pStyle w:val="6"/>
        <w:keepNext w:val="0"/>
        <w:keepLines w:val="0"/>
        <w:pageBreakBefore w:val="0"/>
        <w:widowControl w:val="0"/>
        <w:kinsoku/>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sz w:val="32"/>
          <w:szCs w:val="32"/>
        </w:rPr>
      </w:pPr>
    </w:p>
    <w:p w14:paraId="2453A40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2024年度</w:t>
      </w:r>
      <w:r>
        <w:rPr>
          <w:rFonts w:hint="eastAsia" w:ascii="方正小标宋简体" w:hAnsi="方正小标宋简体" w:eastAsia="方正小标宋简体" w:cs="方正小标宋简体"/>
          <w:sz w:val="32"/>
          <w:szCs w:val="32"/>
        </w:rPr>
        <w:t>潜江市</w:t>
      </w:r>
      <w:r>
        <w:rPr>
          <w:rFonts w:hint="eastAsia" w:ascii="方正小标宋简体" w:hAnsi="方正小标宋简体" w:eastAsia="方正小标宋简体" w:cs="方正小标宋简体"/>
          <w:sz w:val="32"/>
          <w:szCs w:val="32"/>
          <w:lang w:val="en-US" w:eastAsia="zh-CN"/>
        </w:rPr>
        <w:t>“房屋征迁补偿资金”</w:t>
      </w:r>
    </w:p>
    <w:p w14:paraId="5369FC9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项目绩</w:t>
      </w:r>
      <w:r>
        <w:rPr>
          <w:rFonts w:hint="eastAsia" w:ascii="方正小标宋简体" w:hAnsi="方正小标宋简体" w:eastAsia="方正小标宋简体" w:cs="方正小标宋简体"/>
          <w:sz w:val="32"/>
          <w:szCs w:val="32"/>
        </w:rPr>
        <w:t>效评价报告</w:t>
      </w:r>
    </w:p>
    <w:p w14:paraId="76CC9A44">
      <w:pPr>
        <w:pStyle w:val="4"/>
        <w:spacing w:before="0" w:after="0" w:line="620" w:lineRule="exact"/>
        <w:ind w:left="0" w:leftChars="0" w:firstLine="640" w:firstLineChars="200"/>
        <w:rPr>
          <w:rFonts w:hint="eastAsia" w:ascii="仿宋_GB2312" w:hAnsi="仿宋_GB2312" w:eastAsia="仿宋_GB2312" w:cs="仿宋_GB2312"/>
          <w:b w:val="0"/>
          <w:bCs w:val="0"/>
          <w:color w:val="auto"/>
          <w:kern w:val="2"/>
          <w:sz w:val="32"/>
          <w:szCs w:val="32"/>
          <w:lang w:val="en-US" w:eastAsia="zh-CN" w:bidi="ar-SA"/>
        </w:rPr>
      </w:pPr>
    </w:p>
    <w:p w14:paraId="092979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2025年，潜江市财政局委</w:t>
      </w:r>
      <w:r>
        <w:rPr>
          <w:rFonts w:hint="eastAsia" w:ascii="仿宋" w:hAnsi="仿宋" w:eastAsia="仿宋" w:cs="仿宋"/>
          <w:b w:val="0"/>
          <w:bCs w:val="0"/>
          <w:color w:val="auto"/>
          <w:kern w:val="2"/>
          <w:sz w:val="32"/>
          <w:szCs w:val="32"/>
          <w:u w:val="none"/>
          <w:lang w:val="en-US" w:eastAsia="zh-CN" w:bidi="ar-SA"/>
        </w:rPr>
        <w:t>托湖北泽阳房地产估价有限公司对2024年度“房屋征迁补偿资</w:t>
      </w:r>
      <w:r>
        <w:rPr>
          <w:rFonts w:hint="eastAsia" w:ascii="仿宋" w:hAnsi="仿宋" w:eastAsia="仿宋" w:cs="仿宋"/>
          <w:b w:val="0"/>
          <w:bCs w:val="0"/>
          <w:color w:val="auto"/>
          <w:kern w:val="2"/>
          <w:sz w:val="32"/>
          <w:szCs w:val="32"/>
          <w:lang w:val="en-US" w:eastAsia="zh-CN" w:bidi="ar-SA"/>
        </w:rPr>
        <w:t>金”项目开展了绩效评价。现将2024年度“房屋征迁补偿资金”项目绩效评价情况简要报告如下：</w:t>
      </w:r>
    </w:p>
    <w:p w14:paraId="43821061">
      <w:pPr>
        <w:keepNext w:val="0"/>
        <w:keepLines w:val="0"/>
        <w:pageBreakBefore w:val="0"/>
        <w:widowControl w:val="0"/>
        <w:numPr>
          <w:ilvl w:val="0"/>
          <w:numId w:val="2"/>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0"/>
        <w:rPr>
          <w:rFonts w:hint="eastAsia" w:ascii="黑体" w:hAnsi="黑体" w:eastAsia="黑体" w:cs="黑体"/>
          <w:color w:val="auto"/>
          <w:sz w:val="32"/>
          <w:szCs w:val="32"/>
          <w:lang w:val="en-US" w:eastAsia="zh-CN"/>
        </w:rPr>
      </w:pPr>
      <w:bookmarkStart w:id="0" w:name="_Toc19499"/>
      <w:r>
        <w:rPr>
          <w:rFonts w:hint="eastAsia" w:ascii="黑体" w:hAnsi="黑体" w:eastAsia="黑体" w:cs="黑体"/>
          <w:color w:val="auto"/>
          <w:sz w:val="32"/>
          <w:szCs w:val="32"/>
          <w:lang w:val="en-US" w:eastAsia="zh-CN"/>
        </w:rPr>
        <w:t>基本情况</w:t>
      </w:r>
    </w:p>
    <w:p w14:paraId="1693B3A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u w:val="none"/>
          <w:lang w:val="en-US" w:eastAsia="zh-CN" w:bidi="ar-SA"/>
        </w:rPr>
        <w:t>2024年度“房屋征迁补偿资金”项目实施单位为市房屋征收与补偿管理办公室，项目年初预算资金12968万元，项目实际到位资金12968万元，资金到位率100%；项目实际执行金额12968万元，预算执行率为100%。</w:t>
      </w:r>
    </w:p>
    <w:p w14:paraId="2CFA57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项目年度绩效目标为：加速城市旧区改造，优化城市空间布局，新建的安置小区配套设施完善，提升居民整体生活环境质量。推动城市建设高质量发展，优化土地资源配置、改善居民居住条件、促进城市可持续发展、维护社会和谐稳定。</w:t>
      </w:r>
    </w:p>
    <w:p w14:paraId="33F771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项目绩效目标核心指标为：1.征迁房屋补偿数量201户、征迁房屋及附属物面积132927平方米、过渡费安置补偿户数2474户、征迁意见回复数量≥70个；2.拆迁档案资料完整率100%、资金发放准确率100%；3.房屋征迁补偿标准：园林、泰丰街道一类土地上房屋3500元/m²为基数，二类土地上房屋3200元/m²；园林、泰丰街道以外依照评估报告的评估价值确定；4过渡安置补偿标准：园林、泰丰街道过渡安置费补偿标准为200元/人・月；园林、泰丰街道以外过渡安置费补偿标准为260元/人・月。</w:t>
      </w:r>
    </w:p>
    <w:p w14:paraId="5BC4D80E">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二、绩效评价分数与等级</w:t>
      </w:r>
      <w:bookmarkEnd w:id="0"/>
    </w:p>
    <w:p w14:paraId="6570B01B">
      <w:pPr>
        <w:pStyle w:val="8"/>
        <w:keepNext w:val="0"/>
        <w:keepLines w:val="0"/>
        <w:pageBreakBefore w:val="0"/>
        <w:widowControl w:val="0"/>
        <w:tabs>
          <w:tab w:val="right" w:pos="8306"/>
          <w:tab w:val="clear" w:pos="8307"/>
        </w:tabs>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b w:val="0"/>
          <w:bCs w:val="0"/>
          <w:color w:val="auto"/>
          <w:kern w:val="2"/>
          <w:sz w:val="32"/>
          <w:szCs w:val="32"/>
          <w:u w:val="none"/>
          <w:lang w:val="en-US" w:eastAsia="zh-CN" w:bidi="ar-SA"/>
        </w:rPr>
        <w:t>2024年度“房屋征迁补偿资金”项目绩效评价从项目的决策、过程、产出及效果四大维度进行综合分析评价，综合得分为96分，绩效评价等级为“优”。投入、过程、产出、效果四个维度评价得分结果如下表所示</w:t>
      </w:r>
      <w:r>
        <w:rPr>
          <w:rFonts w:hint="eastAsia" w:ascii="仿宋" w:hAnsi="仿宋" w:eastAsia="仿宋" w:cs="仿宋"/>
          <w:color w:val="auto"/>
          <w:sz w:val="32"/>
          <w:szCs w:val="32"/>
          <w:lang w:val="en-US" w:eastAsia="zh-CN"/>
        </w:rPr>
        <w:t>：</w:t>
      </w:r>
    </w:p>
    <w:p w14:paraId="14A6624E">
      <w:pPr>
        <w:spacing w:line="560" w:lineRule="exact"/>
        <w:jc w:val="center"/>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项目绩效得分情况表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19"/>
        <w:gridCol w:w="2541"/>
        <w:gridCol w:w="2131"/>
        <w:gridCol w:w="2131"/>
      </w:tblGrid>
      <w:tr w14:paraId="51F9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9" w:type="dxa"/>
            <w:shd w:val="clear" w:color="auto" w:fill="auto"/>
            <w:vAlign w:val="center"/>
          </w:tcPr>
          <w:p w14:paraId="742E7B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序号</w:t>
            </w:r>
          </w:p>
        </w:tc>
        <w:tc>
          <w:tcPr>
            <w:tcW w:w="2541" w:type="dxa"/>
            <w:shd w:val="clear" w:color="auto" w:fill="auto"/>
            <w:vAlign w:val="center"/>
          </w:tcPr>
          <w:p w14:paraId="733F66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评</w:t>
            </w:r>
            <w:r>
              <w:rPr>
                <w:rFonts w:hint="eastAsia" w:cs="Times New Roman"/>
                <w:color w:val="auto"/>
                <w:sz w:val="32"/>
                <w:szCs w:val="32"/>
                <w:highlight w:val="none"/>
                <w:lang w:val="en-US" w:eastAsia="zh-CN"/>
              </w:rPr>
              <w:t>价</w:t>
            </w:r>
            <w:r>
              <w:rPr>
                <w:rFonts w:hint="default" w:ascii="Times New Roman" w:hAnsi="Times New Roman" w:eastAsia="仿宋_GB2312" w:cs="Times New Roman"/>
                <w:color w:val="auto"/>
                <w:sz w:val="32"/>
                <w:szCs w:val="32"/>
                <w:highlight w:val="none"/>
                <w:lang w:val="en-US" w:eastAsia="zh-CN"/>
              </w:rPr>
              <w:t>指标</w:t>
            </w:r>
          </w:p>
        </w:tc>
        <w:tc>
          <w:tcPr>
            <w:tcW w:w="2131" w:type="dxa"/>
            <w:shd w:val="clear" w:color="auto" w:fill="auto"/>
            <w:vAlign w:val="center"/>
          </w:tcPr>
          <w:p w14:paraId="4B610C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权重</w:t>
            </w:r>
          </w:p>
        </w:tc>
        <w:tc>
          <w:tcPr>
            <w:tcW w:w="2131" w:type="dxa"/>
            <w:shd w:val="clear" w:color="auto" w:fill="auto"/>
            <w:vAlign w:val="center"/>
          </w:tcPr>
          <w:p w14:paraId="112211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得分</w:t>
            </w:r>
          </w:p>
        </w:tc>
      </w:tr>
      <w:tr w14:paraId="668C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19" w:type="dxa"/>
            <w:shd w:val="clear" w:color="auto" w:fill="auto"/>
            <w:vAlign w:val="center"/>
          </w:tcPr>
          <w:p w14:paraId="088C5D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w:t>
            </w:r>
          </w:p>
        </w:tc>
        <w:tc>
          <w:tcPr>
            <w:tcW w:w="2541" w:type="dxa"/>
            <w:shd w:val="clear" w:color="auto" w:fill="auto"/>
            <w:vAlign w:val="center"/>
          </w:tcPr>
          <w:p w14:paraId="428C607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决策</w:t>
            </w:r>
          </w:p>
        </w:tc>
        <w:tc>
          <w:tcPr>
            <w:tcW w:w="2131" w:type="dxa"/>
            <w:shd w:val="clear" w:color="auto" w:fill="auto"/>
            <w:vAlign w:val="center"/>
          </w:tcPr>
          <w:p w14:paraId="739A48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20</w:t>
            </w:r>
          </w:p>
        </w:tc>
        <w:tc>
          <w:tcPr>
            <w:tcW w:w="2131" w:type="dxa"/>
            <w:shd w:val="clear" w:color="auto" w:fill="auto"/>
            <w:vAlign w:val="center"/>
          </w:tcPr>
          <w:p w14:paraId="32B6B1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20</w:t>
            </w:r>
          </w:p>
        </w:tc>
      </w:tr>
      <w:tr w14:paraId="4328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19" w:type="dxa"/>
            <w:shd w:val="clear" w:color="auto" w:fill="auto"/>
            <w:vAlign w:val="center"/>
          </w:tcPr>
          <w:p w14:paraId="51A046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p>
        </w:tc>
        <w:tc>
          <w:tcPr>
            <w:tcW w:w="2541" w:type="dxa"/>
            <w:shd w:val="clear" w:color="auto" w:fill="auto"/>
            <w:vAlign w:val="center"/>
          </w:tcPr>
          <w:p w14:paraId="3723D5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过程</w:t>
            </w:r>
          </w:p>
        </w:tc>
        <w:tc>
          <w:tcPr>
            <w:tcW w:w="2131" w:type="dxa"/>
            <w:shd w:val="clear" w:color="auto" w:fill="auto"/>
            <w:vAlign w:val="center"/>
          </w:tcPr>
          <w:p w14:paraId="3C9F46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20</w:t>
            </w:r>
          </w:p>
        </w:tc>
        <w:tc>
          <w:tcPr>
            <w:tcW w:w="2131" w:type="dxa"/>
            <w:shd w:val="clear" w:color="auto" w:fill="auto"/>
            <w:vAlign w:val="center"/>
          </w:tcPr>
          <w:p w14:paraId="5A3902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20</w:t>
            </w:r>
          </w:p>
        </w:tc>
      </w:tr>
      <w:tr w14:paraId="1E8A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719" w:type="dxa"/>
            <w:shd w:val="clear" w:color="auto" w:fill="auto"/>
            <w:vAlign w:val="center"/>
          </w:tcPr>
          <w:p w14:paraId="314332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w:t>
            </w:r>
          </w:p>
        </w:tc>
        <w:tc>
          <w:tcPr>
            <w:tcW w:w="2541" w:type="dxa"/>
            <w:shd w:val="clear" w:color="auto" w:fill="auto"/>
            <w:vAlign w:val="center"/>
          </w:tcPr>
          <w:p w14:paraId="06EDFE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产出</w:t>
            </w:r>
          </w:p>
        </w:tc>
        <w:tc>
          <w:tcPr>
            <w:tcW w:w="2131" w:type="dxa"/>
            <w:shd w:val="clear" w:color="auto" w:fill="auto"/>
            <w:vAlign w:val="center"/>
          </w:tcPr>
          <w:p w14:paraId="08C238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44</w:t>
            </w:r>
          </w:p>
        </w:tc>
        <w:tc>
          <w:tcPr>
            <w:tcW w:w="2131" w:type="dxa"/>
            <w:shd w:val="clear" w:color="auto" w:fill="auto"/>
            <w:vAlign w:val="center"/>
          </w:tcPr>
          <w:p w14:paraId="60B8B0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42</w:t>
            </w:r>
          </w:p>
        </w:tc>
      </w:tr>
      <w:tr w14:paraId="66EE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19" w:type="dxa"/>
            <w:shd w:val="clear" w:color="auto" w:fill="auto"/>
            <w:vAlign w:val="center"/>
          </w:tcPr>
          <w:p w14:paraId="05546A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w:t>
            </w:r>
          </w:p>
        </w:tc>
        <w:tc>
          <w:tcPr>
            <w:tcW w:w="2541" w:type="dxa"/>
            <w:shd w:val="clear" w:color="auto" w:fill="auto"/>
            <w:vAlign w:val="center"/>
          </w:tcPr>
          <w:p w14:paraId="1DE37F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效果</w:t>
            </w:r>
          </w:p>
        </w:tc>
        <w:tc>
          <w:tcPr>
            <w:tcW w:w="2131" w:type="dxa"/>
            <w:shd w:val="clear" w:color="auto" w:fill="auto"/>
            <w:vAlign w:val="center"/>
          </w:tcPr>
          <w:p w14:paraId="395165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16</w:t>
            </w:r>
          </w:p>
        </w:tc>
        <w:tc>
          <w:tcPr>
            <w:tcW w:w="2131" w:type="dxa"/>
            <w:shd w:val="clear" w:color="auto" w:fill="auto"/>
            <w:vAlign w:val="center"/>
          </w:tcPr>
          <w:p w14:paraId="0B72E7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14</w:t>
            </w:r>
          </w:p>
        </w:tc>
      </w:tr>
      <w:tr w14:paraId="16DE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0" w:type="dxa"/>
            <w:gridSpan w:val="2"/>
            <w:shd w:val="clear" w:color="auto" w:fill="auto"/>
            <w:vAlign w:val="center"/>
          </w:tcPr>
          <w:p w14:paraId="21587784">
            <w:pPr>
              <w:spacing w:line="360" w:lineRule="auto"/>
              <w:jc w:val="center"/>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合计</w:t>
            </w:r>
          </w:p>
        </w:tc>
        <w:tc>
          <w:tcPr>
            <w:tcW w:w="2131" w:type="dxa"/>
            <w:shd w:val="clear" w:color="auto" w:fill="auto"/>
            <w:vAlign w:val="center"/>
          </w:tcPr>
          <w:p w14:paraId="4D6B4F3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100</w:t>
            </w:r>
          </w:p>
        </w:tc>
        <w:tc>
          <w:tcPr>
            <w:tcW w:w="2131" w:type="dxa"/>
            <w:shd w:val="clear" w:color="auto" w:fill="auto"/>
            <w:vAlign w:val="center"/>
          </w:tcPr>
          <w:p w14:paraId="3AA1CD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96</w:t>
            </w:r>
          </w:p>
        </w:tc>
      </w:tr>
    </w:tbl>
    <w:p w14:paraId="612A24B6">
      <w:pPr>
        <w:rPr>
          <w:rFonts w:hint="eastAsia"/>
          <w:lang w:val="en-US" w:eastAsia="zh-CN"/>
        </w:rPr>
      </w:pPr>
    </w:p>
    <w:p w14:paraId="5F741A4C">
      <w:pPr>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leftChars="0" w:right="0" w:rightChars="0" w:firstLine="640" w:firstLineChars="200"/>
        <w:jc w:val="both"/>
        <w:textAlignment w:val="auto"/>
        <w:outlineLvl w:val="0"/>
        <w:rPr>
          <w:rFonts w:hint="eastAsia" w:ascii="黑体" w:hAnsi="黑体" w:eastAsia="黑体" w:cs="黑体"/>
          <w:color w:val="auto"/>
          <w:sz w:val="32"/>
          <w:szCs w:val="32"/>
          <w:lang w:val="en-US" w:eastAsia="zh-CN"/>
        </w:rPr>
      </w:pPr>
      <w:bookmarkStart w:id="1" w:name="_Toc20260"/>
      <w:bookmarkStart w:id="2" w:name="_Toc2633"/>
      <w:bookmarkStart w:id="3" w:name="_Toc26584"/>
      <w:r>
        <w:rPr>
          <w:rFonts w:hint="eastAsia" w:ascii="黑体" w:hAnsi="黑体" w:eastAsia="黑体" w:cs="黑体"/>
          <w:color w:val="auto"/>
          <w:sz w:val="32"/>
          <w:szCs w:val="32"/>
          <w:lang w:val="en-US" w:eastAsia="zh-CN"/>
        </w:rPr>
        <w:t>三、</w:t>
      </w:r>
      <w:bookmarkEnd w:id="1"/>
      <w:bookmarkEnd w:id="2"/>
      <w:bookmarkEnd w:id="3"/>
      <w:r>
        <w:rPr>
          <w:rFonts w:hint="eastAsia" w:ascii="黑体" w:hAnsi="黑体" w:eastAsia="黑体" w:cs="黑体"/>
          <w:color w:val="auto"/>
          <w:sz w:val="32"/>
          <w:szCs w:val="32"/>
          <w:lang w:val="en-US" w:eastAsia="zh-CN"/>
        </w:rPr>
        <w:t>绩效评价指标情况</w:t>
      </w:r>
    </w:p>
    <w:p w14:paraId="37E30D39">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（一）项目决策。</w:t>
      </w:r>
    </w:p>
    <w:p w14:paraId="52DB659A">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决策指标标准分20分，评价得分20分。项目立项符合国家法律法规、国民经济发展规划和相关政策及行业发展规划要求，实施前经过了必要的集体决策，立项依据充分，立项程序规范、依据合理，与项目相适应。</w:t>
      </w:r>
    </w:p>
    <w:p w14:paraId="017E05CC">
      <w:pPr>
        <w:keepNext w:val="0"/>
        <w:keepLines w:val="0"/>
        <w:pageBreakBefore w:val="0"/>
        <w:widowControl w:val="0"/>
        <w:numPr>
          <w:ilvl w:val="0"/>
          <w:numId w:val="3"/>
        </w:numPr>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项目过程。</w:t>
      </w:r>
    </w:p>
    <w:p w14:paraId="45D5A77A">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r>
        <w:rPr>
          <w:rFonts w:hint="default" w:ascii="仿宋" w:hAnsi="仿宋" w:eastAsia="仿宋" w:cs="仿宋"/>
          <w:b w:val="0"/>
          <w:bCs w:val="0"/>
          <w:color w:val="auto"/>
          <w:kern w:val="2"/>
          <w:sz w:val="32"/>
          <w:szCs w:val="32"/>
          <w:u w:val="none"/>
          <w:lang w:val="en-US" w:eastAsia="zh-CN" w:bidi="ar-SA"/>
        </w:rPr>
        <w:t>过程</w:t>
      </w:r>
      <w:r>
        <w:rPr>
          <w:rFonts w:hint="eastAsia" w:ascii="仿宋" w:hAnsi="仿宋" w:eastAsia="仿宋" w:cs="仿宋"/>
          <w:b w:val="0"/>
          <w:bCs w:val="0"/>
          <w:color w:val="auto"/>
          <w:kern w:val="2"/>
          <w:sz w:val="32"/>
          <w:szCs w:val="32"/>
          <w:u w:val="none"/>
          <w:lang w:val="en-US" w:eastAsia="zh-CN" w:bidi="ar-SA"/>
        </w:rPr>
        <w:t>指标标准分20</w:t>
      </w:r>
      <w:r>
        <w:rPr>
          <w:rFonts w:hint="default" w:ascii="仿宋" w:hAnsi="仿宋" w:eastAsia="仿宋" w:cs="仿宋"/>
          <w:b w:val="0"/>
          <w:bCs w:val="0"/>
          <w:color w:val="auto"/>
          <w:kern w:val="2"/>
          <w:sz w:val="32"/>
          <w:szCs w:val="32"/>
          <w:u w:val="none"/>
          <w:lang w:val="en-US" w:eastAsia="zh-CN" w:bidi="ar-SA"/>
        </w:rPr>
        <w:t>分，评价得分</w:t>
      </w:r>
      <w:r>
        <w:rPr>
          <w:rFonts w:hint="eastAsia" w:ascii="仿宋" w:hAnsi="仿宋" w:eastAsia="仿宋" w:cs="仿宋"/>
          <w:b w:val="0"/>
          <w:bCs w:val="0"/>
          <w:color w:val="auto"/>
          <w:kern w:val="2"/>
          <w:sz w:val="32"/>
          <w:szCs w:val="32"/>
          <w:u w:val="none"/>
          <w:lang w:val="en-US" w:eastAsia="zh-CN" w:bidi="ar-SA"/>
        </w:rPr>
        <w:t>20</w:t>
      </w:r>
      <w:r>
        <w:rPr>
          <w:rFonts w:hint="default" w:ascii="仿宋" w:hAnsi="仿宋" w:eastAsia="仿宋" w:cs="仿宋"/>
          <w:b w:val="0"/>
          <w:bCs w:val="0"/>
          <w:color w:val="auto"/>
          <w:kern w:val="2"/>
          <w:sz w:val="32"/>
          <w:szCs w:val="32"/>
          <w:u w:val="none"/>
          <w:lang w:val="en-US" w:eastAsia="zh-CN" w:bidi="ar-SA"/>
        </w:rPr>
        <w:t>分</w:t>
      </w:r>
      <w:r>
        <w:rPr>
          <w:rFonts w:hint="eastAsia" w:ascii="仿宋" w:hAnsi="仿宋" w:eastAsia="仿宋" w:cs="仿宋"/>
          <w:b w:val="0"/>
          <w:bCs w:val="0"/>
          <w:color w:val="auto"/>
          <w:kern w:val="2"/>
          <w:sz w:val="32"/>
          <w:szCs w:val="32"/>
          <w:u w:val="none"/>
          <w:lang w:val="en-US" w:eastAsia="zh-CN" w:bidi="ar-SA"/>
        </w:rPr>
        <w:t>。从财务管理层面来看，预算执行率100%，资金使用均按《市征收办业务审查资金拨付制度》进行了业务科初审、财务科复审、相关领导终审的多重审核，并填写了《土地储备资金申请表》，经土地储备中心、征收办、财政局、市政府审批。截至评价基准日，市征收办已将资金全部拨付给相关单位及被征收对象；从组织实施层面来看，严格按照资金拨付制度执行业务流程，项目申报资料等资料齐全，按档案目录顺序全部归档。</w:t>
      </w:r>
    </w:p>
    <w:p w14:paraId="5281E577">
      <w:pPr>
        <w:keepNext w:val="0"/>
        <w:keepLines w:val="0"/>
        <w:pageBreakBefore w:val="0"/>
        <w:widowControl w:val="0"/>
        <w:numPr>
          <w:ilvl w:val="0"/>
          <w:numId w:val="3"/>
        </w:numPr>
        <w:kinsoku/>
        <w:wordWrap/>
        <w:topLinePunct w:val="0"/>
        <w:autoSpaceDE/>
        <w:autoSpaceDN/>
        <w:bidi w:val="0"/>
        <w:spacing w:line="570" w:lineRule="exact"/>
        <w:ind w:left="0" w:lef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项目产出。</w:t>
      </w:r>
    </w:p>
    <w:p w14:paraId="3DA79902">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产出指标标准分44分，评价得分42分。2024年完成了应征迁房屋补偿户数201户，其中：园林街道37户、泰丰街道16户、泽口街道124户、竹根滩镇1户、王场镇1户、后湖管理区22户；纳入征收范围并完成测量登记的房屋建筑面积及其附属物建筑面积共计132927平方米；符合条件的被征收人发放过渡费安置补偿的户数2474户；房屋征收补偿标准、房屋征收过渡安置费补偿标准均严格按照文件标准执行。主要扣分原因：超期安置户占比39%。2024年过渡安置费共发放2474户，本次统计人数为2255户（王场镇因工作人员调整，未获取到签约年限，未纳入统计），签约超过5年仍在发放过渡安置费的887户（2012-2018年）。</w:t>
      </w:r>
    </w:p>
    <w:p w14:paraId="7648E40A">
      <w:pPr>
        <w:keepNext w:val="0"/>
        <w:keepLines w:val="0"/>
        <w:pageBreakBefore w:val="0"/>
        <w:widowControl w:val="0"/>
        <w:numPr>
          <w:ilvl w:val="0"/>
          <w:numId w:val="3"/>
        </w:numPr>
        <w:kinsoku/>
        <w:wordWrap/>
        <w:topLinePunct w:val="0"/>
        <w:autoSpaceDE/>
        <w:autoSpaceDN/>
        <w:bidi w:val="0"/>
        <w:spacing w:line="570" w:lineRule="exact"/>
        <w:ind w:left="0" w:lef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项目效果。</w:t>
      </w:r>
    </w:p>
    <w:p w14:paraId="729CD518">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效益指标标准分16分，评价得分14分。项目开展带动建筑、装修、建材等上下游产业协同发展，新建园区吸引企业投资入驻，增加地方税收收入。加速了城市旧区改造，优化了城市空间布局，新建的安置小区配套设施完善，显著提升了居民整体生活环境质量。过渡安置费到位，切实保障了被征收人在过渡期间的居住条件。主要扣分原因：生态效益方面，征迁后会引入部分工业项目，运营期会对生态环境产生负面影响。</w:t>
      </w:r>
    </w:p>
    <w:p w14:paraId="10966CBA">
      <w:pPr>
        <w:pStyle w:val="4"/>
        <w:keepNext w:val="0"/>
        <w:keepLines w:val="0"/>
        <w:pageBreakBefore w:val="0"/>
        <w:widowControl w:val="0"/>
        <w:kinsoku/>
        <w:wordWrap/>
        <w:overflowPunct/>
        <w:topLinePunct w:val="0"/>
        <w:autoSpaceDE/>
        <w:autoSpaceDN/>
        <w:bidi w:val="0"/>
        <w:adjustRightInd w:val="0"/>
        <w:spacing w:line="560" w:lineRule="exact"/>
        <w:ind w:left="0" w:leftChars="0" w:right="0" w:firstLine="640" w:firstLineChars="200"/>
        <w:jc w:val="both"/>
        <w:textAlignment w:val="auto"/>
        <w:rPr>
          <w:rFonts w:hint="eastAsia" w:ascii="黑体" w:hAnsi="黑体" w:eastAsia="黑体" w:cs="黑体"/>
          <w:b w:val="0"/>
          <w:bCs w:val="0"/>
          <w:color w:val="auto"/>
          <w:sz w:val="32"/>
          <w:szCs w:val="32"/>
        </w:rPr>
      </w:pPr>
      <w:bookmarkStart w:id="4" w:name="_Toc112771454"/>
      <w:r>
        <w:rPr>
          <w:rFonts w:hint="eastAsia" w:ascii="黑体" w:hAnsi="黑体" w:eastAsia="黑体" w:cs="黑体"/>
          <w:b w:val="0"/>
          <w:bCs w:val="0"/>
          <w:color w:val="auto"/>
          <w:sz w:val="32"/>
          <w:szCs w:val="32"/>
        </w:rPr>
        <w:t>四</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highlight w:val="none"/>
        </w:rPr>
        <w:t>项目成效</w:t>
      </w:r>
      <w:r>
        <w:rPr>
          <w:rFonts w:hint="eastAsia" w:ascii="黑体" w:hAnsi="黑体" w:eastAsia="黑体" w:cs="黑体"/>
          <w:b w:val="0"/>
          <w:bCs w:val="0"/>
          <w:color w:val="auto"/>
          <w:sz w:val="32"/>
          <w:szCs w:val="32"/>
          <w:highlight w:val="none"/>
          <w:lang w:eastAsia="zh-CN"/>
        </w:rPr>
        <w:t>、</w:t>
      </w:r>
      <w:r>
        <w:rPr>
          <w:rFonts w:hint="eastAsia" w:ascii="黑体" w:hAnsi="黑体" w:eastAsia="黑体" w:cs="黑体"/>
          <w:b w:val="0"/>
          <w:bCs w:val="0"/>
          <w:color w:val="auto"/>
          <w:sz w:val="32"/>
          <w:szCs w:val="32"/>
        </w:rPr>
        <w:t>存在的问题和原因</w:t>
      </w:r>
      <w:bookmarkEnd w:id="4"/>
    </w:p>
    <w:p w14:paraId="4760E4F6">
      <w:pPr>
        <w:keepNext w:val="0"/>
        <w:keepLines w:val="0"/>
        <w:pageBreakBefore w:val="0"/>
        <w:widowControl w:val="0"/>
        <w:kinsoku/>
        <w:wordWrap/>
        <w:overflowPunct/>
        <w:topLinePunct w:val="0"/>
        <w:autoSpaceDE/>
        <w:autoSpaceDN/>
        <w:bidi w:val="0"/>
        <w:adjustRightInd w:val="0"/>
        <w:spacing w:line="560" w:lineRule="exact"/>
        <w:ind w:leftChars="0" w:right="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（一）项目成效。</w:t>
      </w:r>
    </w:p>
    <w:p w14:paraId="4B5A0199">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项目的实施，</w:t>
      </w:r>
      <w:r>
        <w:rPr>
          <w:rFonts w:hint="default" w:ascii="仿宋" w:hAnsi="仿宋" w:eastAsia="仿宋" w:cs="仿宋"/>
          <w:b w:val="0"/>
          <w:bCs w:val="0"/>
          <w:color w:val="auto"/>
          <w:kern w:val="2"/>
          <w:sz w:val="32"/>
          <w:szCs w:val="32"/>
          <w:u w:val="none"/>
          <w:lang w:val="en-US" w:eastAsia="zh-CN" w:bidi="ar-SA"/>
        </w:rPr>
        <w:t>被征收居民</w:t>
      </w:r>
      <w:r>
        <w:rPr>
          <w:rFonts w:hint="eastAsia" w:ascii="仿宋" w:hAnsi="仿宋" w:eastAsia="仿宋" w:cs="仿宋"/>
          <w:b w:val="0"/>
          <w:bCs w:val="0"/>
          <w:color w:val="auto"/>
          <w:kern w:val="2"/>
          <w:sz w:val="32"/>
          <w:szCs w:val="32"/>
          <w:u w:val="none"/>
          <w:lang w:val="en-US" w:eastAsia="zh-CN" w:bidi="ar-SA"/>
        </w:rPr>
        <w:t>的</w:t>
      </w:r>
      <w:r>
        <w:rPr>
          <w:rFonts w:hint="default" w:ascii="仿宋" w:hAnsi="仿宋" w:eastAsia="仿宋" w:cs="仿宋"/>
          <w:b w:val="0"/>
          <w:bCs w:val="0"/>
          <w:color w:val="auto"/>
          <w:kern w:val="2"/>
          <w:sz w:val="32"/>
          <w:szCs w:val="32"/>
          <w:u w:val="none"/>
          <w:lang w:val="en-US" w:eastAsia="zh-CN" w:bidi="ar-SA"/>
        </w:rPr>
        <w:t>合法财产权益得到切实保障。补偿资金及时发放，不仅让居民生活得到妥善安置，满足了基本居住需求，显著增强了居民对政府的信任与认可</w:t>
      </w:r>
      <w:r>
        <w:rPr>
          <w:rFonts w:hint="eastAsia" w:ascii="仿宋" w:hAnsi="仿宋" w:eastAsia="仿宋" w:cs="仿宋"/>
          <w:b w:val="0"/>
          <w:bCs w:val="0"/>
          <w:color w:val="auto"/>
          <w:kern w:val="2"/>
          <w:sz w:val="32"/>
          <w:szCs w:val="32"/>
          <w:u w:val="none"/>
          <w:lang w:val="en-US" w:eastAsia="zh-CN" w:bidi="ar-SA"/>
        </w:rPr>
        <w:t>。</w:t>
      </w:r>
      <w:r>
        <w:rPr>
          <w:rFonts w:hint="default" w:ascii="仿宋" w:hAnsi="仿宋" w:eastAsia="仿宋" w:cs="仿宋"/>
          <w:b w:val="0"/>
          <w:bCs w:val="0"/>
          <w:color w:val="auto"/>
          <w:kern w:val="2"/>
          <w:sz w:val="32"/>
          <w:szCs w:val="32"/>
          <w:u w:val="none"/>
          <w:lang w:val="en-US" w:eastAsia="zh-CN" w:bidi="ar-SA"/>
        </w:rPr>
        <w:t>对城市建设而言，补偿资金的精准到位推动被征收居民及时搬迁，为重点项目顺利落地腾出土地，避免因补偿问题导致的工程拖延，保障了城市建设按规划推进。同时，通过土地资源的重新配置，助力城市产业结构优化升级，为经济可持续发展注入动力</w:t>
      </w:r>
      <w:r>
        <w:rPr>
          <w:rFonts w:hint="eastAsia" w:ascii="仿宋" w:hAnsi="仿宋" w:eastAsia="仿宋" w:cs="仿宋"/>
          <w:b w:val="0"/>
          <w:bCs w:val="0"/>
          <w:color w:val="auto"/>
          <w:kern w:val="2"/>
          <w:sz w:val="32"/>
          <w:szCs w:val="32"/>
          <w:u w:val="none"/>
          <w:lang w:val="en-US" w:eastAsia="zh-CN" w:bidi="ar-SA"/>
        </w:rPr>
        <w:t>。</w:t>
      </w:r>
    </w:p>
    <w:p w14:paraId="2975081B">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right="0"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（二）存在的问题和原因。</w:t>
      </w:r>
    </w:p>
    <w:p w14:paraId="7E86EBCA">
      <w:pPr>
        <w:keepNext w:val="0"/>
        <w:keepLines w:val="0"/>
        <w:pageBreakBefore w:val="0"/>
        <w:widowControl w:val="0"/>
        <w:kinsoku/>
        <w:wordWrap/>
        <w:topLinePunct w:val="0"/>
        <w:autoSpaceDE/>
        <w:autoSpaceDN/>
        <w:bidi w:val="0"/>
        <w:spacing w:line="570" w:lineRule="exact"/>
        <w:ind w:firstLine="640" w:firstLineChars="200"/>
        <w:textAlignment w:val="auto"/>
        <w:rPr>
          <w:rFonts w:hint="default" w:ascii="仿宋" w:hAnsi="仿宋" w:eastAsia="仿宋" w:cs="仿宋"/>
          <w:b w:val="0"/>
          <w:bCs w:val="0"/>
          <w:color w:val="auto"/>
          <w:kern w:val="2"/>
          <w:sz w:val="32"/>
          <w:szCs w:val="32"/>
          <w:u w:val="none"/>
          <w:lang w:val="en-US" w:eastAsia="zh-CN" w:bidi="ar-SA"/>
        </w:rPr>
      </w:pPr>
      <w:bookmarkStart w:id="5" w:name="_Toc112771455"/>
      <w:r>
        <w:rPr>
          <w:rFonts w:hint="eastAsia" w:ascii="仿宋" w:hAnsi="仿宋" w:eastAsia="仿宋" w:cs="仿宋"/>
          <w:b w:val="0"/>
          <w:bCs w:val="0"/>
          <w:color w:val="auto"/>
          <w:kern w:val="2"/>
          <w:sz w:val="32"/>
          <w:szCs w:val="32"/>
          <w:u w:val="none"/>
          <w:lang w:val="en-US" w:eastAsia="zh-CN" w:bidi="ar-SA"/>
        </w:rPr>
        <w:t>1.超期安置户占比过高：2024年过渡安置费发放对象中超过5年（签约时间在2012-2018年）发放户数占比高达39%。主要是由于泽口地区产业项目征迁推进快，拆迁户数多，但配套安置房规划滞后、规划的安置房数量未能满足实际需求，存在房源供给缺口；泰丰、园林、杨市等地区的安置房建设周期过长，导致房源供应严重滞后。</w:t>
      </w:r>
    </w:p>
    <w:p w14:paraId="0FE35BCB">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r>
        <w:rPr>
          <w:rFonts w:hint="eastAsia" w:ascii="仿宋" w:hAnsi="仿宋" w:eastAsia="仿宋" w:cs="仿宋"/>
          <w:b w:val="0"/>
          <w:bCs w:val="0"/>
          <w:color w:val="auto"/>
          <w:kern w:val="2"/>
          <w:sz w:val="32"/>
          <w:szCs w:val="32"/>
          <w:u w:val="none"/>
          <w:lang w:val="en-US" w:eastAsia="zh-CN" w:bidi="ar-SA"/>
        </w:rPr>
        <w:t>2.对生态环境的负面影响：拆迁后引入的部分工业项目，即使严格落实环保措施，运营期产生的污染物（如经过处理的达标废水、低浓度废气）已实现达标排放，但其长期累积仍可能对生态系统造成影响。</w:t>
      </w:r>
    </w:p>
    <w:p w14:paraId="04B1FF3F">
      <w:pPr>
        <w:pStyle w:val="4"/>
        <w:keepNext w:val="0"/>
        <w:keepLines w:val="0"/>
        <w:pageBreakBefore w:val="0"/>
        <w:widowControl w:val="0"/>
        <w:kinsoku/>
        <w:wordWrap/>
        <w:overflowPunct/>
        <w:topLinePunct w:val="0"/>
        <w:autoSpaceDE/>
        <w:autoSpaceDN/>
        <w:bidi w:val="0"/>
        <w:adjustRightInd w:val="0"/>
        <w:spacing w:line="560" w:lineRule="exact"/>
        <w:ind w:left="0" w:leftChars="0" w:right="0"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rPr>
        <w:t>五</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建议</w:t>
      </w:r>
      <w:bookmarkEnd w:id="5"/>
      <w:r>
        <w:rPr>
          <w:rFonts w:hint="eastAsia" w:ascii="黑体" w:hAnsi="黑体" w:eastAsia="黑体" w:cs="黑体"/>
          <w:b w:val="0"/>
          <w:bCs w:val="0"/>
          <w:sz w:val="32"/>
          <w:szCs w:val="32"/>
          <w:lang w:eastAsia="zh-CN"/>
        </w:rPr>
        <w:t>和改进措施</w:t>
      </w:r>
    </w:p>
    <w:p w14:paraId="1FC36825">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u w:val="none"/>
          <w:lang w:val="en-US" w:eastAsia="zh-CN" w:bidi="ar-SA"/>
        </w:rPr>
      </w:pPr>
      <w:bookmarkStart w:id="6" w:name="_Toc3723"/>
      <w:bookmarkStart w:id="7" w:name="_Toc25666"/>
      <w:r>
        <w:rPr>
          <w:rFonts w:hint="eastAsia" w:ascii="仿宋" w:hAnsi="仿宋" w:eastAsia="仿宋" w:cs="仿宋"/>
          <w:color w:val="auto"/>
          <w:kern w:val="2"/>
          <w:sz w:val="32"/>
          <w:szCs w:val="32"/>
          <w:lang w:val="en-US" w:eastAsia="zh-CN" w:bidi="ar-SA"/>
        </w:rPr>
        <w:t>（一）</w:t>
      </w:r>
      <w:bookmarkEnd w:id="6"/>
      <w:bookmarkEnd w:id="7"/>
      <w:r>
        <w:rPr>
          <w:rFonts w:hint="eastAsia" w:ascii="仿宋" w:hAnsi="仿宋" w:eastAsia="仿宋" w:cs="仿宋"/>
          <w:b w:val="0"/>
          <w:bCs w:val="0"/>
          <w:color w:val="auto"/>
          <w:kern w:val="2"/>
          <w:sz w:val="32"/>
          <w:szCs w:val="32"/>
          <w:u w:val="none"/>
          <w:lang w:val="en-US" w:eastAsia="zh-CN" w:bidi="ar-SA"/>
        </w:rPr>
        <w:t>缩短安置周期，加快房源建设并全流程跟踪，优化分配流程，优先保障超期户，严控过渡期；推广“房票+货币”的安置模式，对自愿放弃安置房者按市价补偿，超期户自主购房可享受购房优惠政策，并同时健全数据管理，设置超期预警线，及时排查滞后环节，明确责任与解决时限。</w:t>
      </w:r>
    </w:p>
    <w:p w14:paraId="769A449A">
      <w:pPr>
        <w:keepNext w:val="0"/>
        <w:keepLines w:val="0"/>
        <w:pageBreakBefore w:val="0"/>
        <w:widowControl w:val="0"/>
        <w:kinsoku/>
        <w:wordWrap/>
        <w:topLinePunct w:val="0"/>
        <w:autoSpaceDE/>
        <w:autoSpaceDN/>
        <w:bidi w:val="0"/>
        <w:spacing w:line="570" w:lineRule="exact"/>
        <w:ind w:firstLine="640" w:firstLineChars="200"/>
        <w:textAlignment w:val="auto"/>
        <w:rPr>
          <w:rFonts w:hint="default" w:ascii="仿宋" w:hAnsi="仿宋" w:eastAsia="仿宋" w:cs="仿宋"/>
          <w:b w:val="0"/>
          <w:bCs w:val="0"/>
          <w:color w:val="auto"/>
          <w:kern w:val="2"/>
          <w:sz w:val="32"/>
          <w:szCs w:val="32"/>
          <w:u w:val="none"/>
          <w:lang w:val="en-US" w:eastAsia="zh-CN" w:bidi="ar-SA"/>
        </w:rPr>
      </w:pPr>
      <w:r>
        <w:rPr>
          <w:rFonts w:hint="eastAsia" w:ascii="仿宋" w:hAnsi="仿宋" w:eastAsia="仿宋" w:cs="仿宋"/>
          <w:color w:val="auto"/>
          <w:kern w:val="2"/>
          <w:sz w:val="32"/>
          <w:szCs w:val="32"/>
          <w:lang w:val="en-US" w:eastAsia="zh-CN" w:bidi="ar-SA"/>
        </w:rPr>
        <w:t>（二）</w:t>
      </w:r>
      <w:r>
        <w:rPr>
          <w:rFonts w:hint="eastAsia" w:ascii="仿宋" w:hAnsi="仿宋" w:eastAsia="仿宋" w:cs="仿宋"/>
          <w:b w:val="0"/>
          <w:bCs w:val="0"/>
          <w:color w:val="auto"/>
          <w:kern w:val="2"/>
          <w:sz w:val="32"/>
          <w:szCs w:val="32"/>
          <w:u w:val="none"/>
          <w:lang w:val="en-US" w:eastAsia="zh-CN" w:bidi="ar-SA"/>
        </w:rPr>
        <w:t>以后年度引入项目时，可设置产业引入生态准入指标（如：工业项目环评通过率达到100%，生态补偿资金落实率100%），并建设生态考核机制，将生态保护要求嵌入征迁全流程，既限制开发行为对环境的负面影响，又通过量化标准确保生态效益可考核、可追溯，符合“绿色征迁”政策导向。</w:t>
      </w:r>
    </w:p>
    <w:p w14:paraId="390EE036">
      <w:pPr>
        <w:keepNext w:val="0"/>
        <w:keepLines w:val="0"/>
        <w:pageBreakBefore w:val="0"/>
        <w:widowControl w:val="0"/>
        <w:kinsoku/>
        <w:wordWrap/>
        <w:topLinePunct w:val="0"/>
        <w:autoSpaceDE/>
        <w:autoSpaceDN/>
        <w:bidi w:val="0"/>
        <w:spacing w:line="570" w:lineRule="exact"/>
        <w:ind w:firstLine="640" w:firstLineChars="200"/>
        <w:textAlignment w:val="auto"/>
        <w:rPr>
          <w:rFonts w:hint="default" w:ascii="仿宋" w:hAnsi="仿宋" w:eastAsia="仿宋" w:cs="仿宋"/>
          <w:b w:val="0"/>
          <w:bCs w:val="0"/>
          <w:color w:val="auto"/>
          <w:kern w:val="2"/>
          <w:sz w:val="32"/>
          <w:szCs w:val="32"/>
          <w:u w:val="none"/>
          <w:lang w:val="en-US" w:eastAsia="zh-CN" w:bidi="ar-SA"/>
        </w:rPr>
      </w:pPr>
      <w:r>
        <w:rPr>
          <w:rFonts w:hint="eastAsia" w:ascii="仿宋" w:hAnsi="仿宋" w:eastAsia="仿宋" w:cs="仿宋"/>
          <w:color w:val="auto"/>
          <w:kern w:val="2"/>
          <w:sz w:val="32"/>
          <w:szCs w:val="32"/>
          <w:lang w:val="en-US" w:eastAsia="zh-CN" w:bidi="ar-SA"/>
        </w:rPr>
        <w:t>（三）</w:t>
      </w:r>
      <w:r>
        <w:rPr>
          <w:rFonts w:hint="default" w:ascii="仿宋" w:hAnsi="仿宋" w:eastAsia="仿宋" w:cs="仿宋"/>
          <w:b w:val="0"/>
          <w:bCs w:val="0"/>
          <w:color w:val="auto"/>
          <w:kern w:val="2"/>
          <w:sz w:val="32"/>
          <w:szCs w:val="32"/>
          <w:u w:val="none"/>
          <w:lang w:val="en-US" w:eastAsia="zh-CN" w:bidi="ar-SA"/>
        </w:rPr>
        <w:t>下年度预算申报时，结合区域差异细化标准，如按“基准价+区位调整系数”，确保预算标准与市场价值匹配，减少后期争议。过渡安置费预算需与安置房建设工期挂钩，按“安置房预计交付时间+3个月搬家缓冲期”核定过渡周期，避免因工期延误导致过渡费超支</w:t>
      </w:r>
      <w:r>
        <w:rPr>
          <w:rFonts w:hint="eastAsia" w:ascii="仿宋" w:hAnsi="仿宋" w:eastAsia="仿宋" w:cs="仿宋"/>
          <w:b w:val="0"/>
          <w:bCs w:val="0"/>
          <w:color w:val="auto"/>
          <w:kern w:val="2"/>
          <w:sz w:val="32"/>
          <w:szCs w:val="32"/>
          <w:u w:val="none"/>
          <w:lang w:val="en-US" w:eastAsia="zh-CN" w:bidi="ar-SA"/>
        </w:rPr>
        <w:t>。</w:t>
      </w:r>
    </w:p>
    <w:p w14:paraId="64323FCC">
      <w:pPr>
        <w:pStyle w:val="5"/>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51791FA4">
      <w:pPr>
        <w:keepNext w:val="0"/>
        <w:keepLines w:val="0"/>
        <w:pageBreakBefore w:val="0"/>
        <w:widowControl w:val="0"/>
        <w:kinsoku/>
        <w:wordWrap w:val="0"/>
        <w:overflowPunct/>
        <w:topLinePunct w:val="0"/>
        <w:autoSpaceDE/>
        <w:autoSpaceDN/>
        <w:bidi w:val="0"/>
        <w:adjustRightInd/>
        <w:snapToGrid/>
        <w:spacing w:line="560" w:lineRule="exact"/>
        <w:ind w:right="641" w:firstLine="0" w:firstLineChars="0"/>
        <w:jc w:val="both"/>
        <w:textAlignment w:val="auto"/>
        <w:rPr>
          <w:rFonts w:hint="default" w:ascii="仿宋" w:hAnsi="仿宋" w:eastAsia="仿宋" w:cs="仿宋"/>
          <w:sz w:val="32"/>
          <w:szCs w:val="32"/>
          <w:lang w:val="en-US" w:eastAsia="zh-CN"/>
        </w:rPr>
      </w:pPr>
    </w:p>
    <w:p w14:paraId="13CEC331">
      <w:pPr>
        <w:pStyle w:val="2"/>
        <w:rPr>
          <w:rFonts w:hint="default" w:ascii="仿宋" w:hAnsi="仿宋" w:eastAsia="仿宋" w:cs="仿宋"/>
          <w:sz w:val="32"/>
          <w:szCs w:val="32"/>
          <w:lang w:val="en-US" w:eastAsia="zh-CN"/>
        </w:rPr>
      </w:pPr>
    </w:p>
    <w:p w14:paraId="54C57FDF">
      <w:pPr>
        <w:rPr>
          <w:rFonts w:hint="default" w:ascii="仿宋" w:hAnsi="仿宋" w:eastAsia="仿宋" w:cs="仿宋"/>
          <w:sz w:val="32"/>
          <w:szCs w:val="32"/>
          <w:lang w:val="en-US" w:eastAsia="zh-CN"/>
        </w:rPr>
      </w:pPr>
    </w:p>
    <w:p w14:paraId="268D83F0">
      <w:pPr>
        <w:pStyle w:val="2"/>
        <w:rPr>
          <w:rFonts w:hint="default" w:ascii="仿宋" w:hAnsi="仿宋" w:eastAsia="仿宋" w:cs="仿宋"/>
          <w:sz w:val="32"/>
          <w:szCs w:val="32"/>
          <w:lang w:val="en-US" w:eastAsia="zh-CN"/>
        </w:rPr>
      </w:pPr>
    </w:p>
    <w:p w14:paraId="372C04D0">
      <w:pPr>
        <w:rPr>
          <w:rFonts w:hint="default" w:ascii="仿宋" w:hAnsi="仿宋" w:eastAsia="仿宋" w:cs="仿宋"/>
          <w:sz w:val="32"/>
          <w:szCs w:val="32"/>
          <w:lang w:val="en-US" w:eastAsia="zh-CN"/>
        </w:rPr>
      </w:pPr>
    </w:p>
    <w:p w14:paraId="0ECFEF9A">
      <w:pPr>
        <w:pStyle w:val="2"/>
        <w:rPr>
          <w:rFonts w:hint="default"/>
          <w:sz w:val="32"/>
          <w:szCs w:val="32"/>
          <w:lang w:val="en-US" w:eastAsia="zh-CN"/>
        </w:rPr>
      </w:pPr>
    </w:p>
    <w:p w14:paraId="5CE6DD5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2024年度</w:t>
      </w:r>
      <w:r>
        <w:rPr>
          <w:rFonts w:hint="eastAsia" w:ascii="方正小标宋简体" w:hAnsi="方正小标宋简体" w:eastAsia="方正小标宋简体" w:cs="方正小标宋简体"/>
          <w:sz w:val="32"/>
          <w:szCs w:val="32"/>
        </w:rPr>
        <w:t>潜江市</w:t>
      </w:r>
      <w:r>
        <w:rPr>
          <w:rFonts w:hint="eastAsia" w:ascii="方正小标宋简体" w:hAnsi="方正小标宋简体" w:eastAsia="方正小标宋简体" w:cs="方正小标宋简体"/>
          <w:sz w:val="32"/>
          <w:szCs w:val="32"/>
          <w:lang w:val="en-US" w:eastAsia="zh-CN"/>
        </w:rPr>
        <w:t>“科技成果转化专项资金”</w:t>
      </w:r>
    </w:p>
    <w:p w14:paraId="3DA54AD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项目绩效评价报告</w:t>
      </w:r>
    </w:p>
    <w:p w14:paraId="23C8E98D">
      <w:pPr>
        <w:pStyle w:val="4"/>
        <w:spacing w:before="0" w:after="0" w:line="620" w:lineRule="exact"/>
        <w:ind w:left="0" w:leftChars="0" w:firstLine="640" w:firstLineChars="200"/>
        <w:rPr>
          <w:rFonts w:hint="eastAsia" w:ascii="仿宋_GB2312" w:hAnsi="仿宋_GB2312" w:eastAsia="仿宋_GB2312" w:cs="仿宋_GB2312"/>
          <w:b w:val="0"/>
          <w:bCs w:val="0"/>
          <w:color w:val="auto"/>
          <w:kern w:val="2"/>
          <w:sz w:val="32"/>
          <w:szCs w:val="32"/>
          <w:lang w:val="en-US" w:eastAsia="zh-CN" w:bidi="ar-SA"/>
        </w:rPr>
      </w:pPr>
    </w:p>
    <w:p w14:paraId="26879FD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2025年，潜江市财政局委托</w:t>
      </w:r>
      <w:r>
        <w:rPr>
          <w:rFonts w:hint="eastAsia" w:ascii="仿宋" w:hAnsi="仿宋" w:eastAsia="仿宋" w:cs="仿宋"/>
          <w:b w:val="0"/>
          <w:bCs w:val="0"/>
          <w:color w:val="auto"/>
          <w:sz w:val="32"/>
          <w:szCs w:val="32"/>
          <w:highlight w:val="none"/>
          <w:u w:val="none"/>
          <w:lang w:eastAsia="zh-CN"/>
        </w:rPr>
        <w:t>中达致远房地产资产评估（武汉）有限公司</w:t>
      </w:r>
      <w:r>
        <w:rPr>
          <w:rFonts w:hint="eastAsia" w:ascii="仿宋" w:hAnsi="仿宋" w:eastAsia="仿宋" w:cs="仿宋"/>
          <w:b w:val="0"/>
          <w:bCs w:val="0"/>
          <w:color w:val="auto"/>
          <w:kern w:val="2"/>
          <w:sz w:val="32"/>
          <w:szCs w:val="32"/>
          <w:lang w:val="en-US" w:eastAsia="zh-CN" w:bidi="ar-SA"/>
        </w:rPr>
        <w:t>对2024年度“科技成果转化专项资金”项目开展了绩效评价。现将2024年度“科技成果转化专项资金”项目绩效评价情况简要报告如下：</w:t>
      </w:r>
    </w:p>
    <w:p w14:paraId="41C880B9">
      <w:pPr>
        <w:keepNext w:val="0"/>
        <w:keepLines w:val="0"/>
        <w:pageBreakBefore w:val="0"/>
        <w:widowControl w:val="0"/>
        <w:numPr>
          <w:ilvl w:val="0"/>
          <w:numId w:val="2"/>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基本情况</w:t>
      </w:r>
    </w:p>
    <w:p w14:paraId="1EC095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2024年度“科技成果转化专项资金”项目实施单位为</w:t>
      </w:r>
      <w:r>
        <w:rPr>
          <w:rFonts w:hint="eastAsia" w:ascii="Times New Roman Regular" w:hAnsi="Times New Roman Regular" w:eastAsia="仿宋_GB2312" w:cs="Times New Roman Regular"/>
          <w:bCs/>
          <w:color w:val="auto"/>
          <w:sz w:val="32"/>
          <w:szCs w:val="32"/>
          <w:u w:val="none"/>
        </w:rPr>
        <w:t>潜江市科学技术局</w:t>
      </w:r>
      <w:r>
        <w:rPr>
          <w:rFonts w:hint="eastAsia" w:ascii="仿宋" w:hAnsi="仿宋" w:eastAsia="仿宋" w:cs="仿宋"/>
          <w:b w:val="0"/>
          <w:bCs w:val="0"/>
          <w:color w:val="auto"/>
          <w:kern w:val="2"/>
          <w:sz w:val="32"/>
          <w:szCs w:val="32"/>
          <w:u w:val="none"/>
          <w:lang w:val="en-US" w:eastAsia="zh-CN" w:bidi="ar-SA"/>
        </w:rPr>
        <w:t>，项目年初预算资金</w:t>
      </w:r>
      <w:r>
        <w:rPr>
          <w:rFonts w:hint="eastAsia" w:ascii="仿宋_GB2312" w:eastAsia="仿宋_GB2312"/>
          <w:color w:val="auto"/>
          <w:sz w:val="32"/>
          <w:szCs w:val="32"/>
        </w:rPr>
        <w:t>94.5万元</w:t>
      </w:r>
      <w:r>
        <w:rPr>
          <w:rFonts w:hint="eastAsia" w:ascii="仿宋" w:hAnsi="仿宋" w:eastAsia="仿宋" w:cs="仿宋"/>
          <w:b w:val="0"/>
          <w:bCs w:val="0"/>
          <w:color w:val="auto"/>
          <w:kern w:val="2"/>
          <w:sz w:val="32"/>
          <w:szCs w:val="32"/>
          <w:u w:val="none"/>
          <w:lang w:val="en-US" w:eastAsia="zh-CN" w:bidi="ar-SA"/>
        </w:rPr>
        <w:t>，项目实际</w:t>
      </w:r>
      <w:r>
        <w:rPr>
          <w:rFonts w:hint="eastAsia" w:ascii="仿宋" w:hAnsi="仿宋" w:eastAsia="仿宋" w:cs="仿宋"/>
          <w:b w:val="0"/>
          <w:bCs w:val="0"/>
          <w:color w:val="auto"/>
          <w:kern w:val="2"/>
          <w:sz w:val="32"/>
          <w:szCs w:val="32"/>
          <w:lang w:val="en-US" w:eastAsia="zh-CN" w:bidi="ar-SA"/>
        </w:rPr>
        <w:t>到位资金</w:t>
      </w:r>
      <w:r>
        <w:rPr>
          <w:rFonts w:hint="eastAsia" w:ascii="Times New Roman Regular" w:hAnsi="Times New Roman Regular" w:eastAsia="仿宋_GB2312" w:cs="Times New Roman Regular"/>
          <w:color w:val="auto"/>
          <w:sz w:val="32"/>
          <w:szCs w:val="32"/>
        </w:rPr>
        <w:t>94.5万元</w:t>
      </w:r>
      <w:r>
        <w:rPr>
          <w:rFonts w:hint="eastAsia" w:ascii="仿宋" w:hAnsi="仿宋" w:eastAsia="仿宋" w:cs="仿宋"/>
          <w:b w:val="0"/>
          <w:bCs w:val="0"/>
          <w:color w:val="auto"/>
          <w:kern w:val="2"/>
          <w:sz w:val="32"/>
          <w:szCs w:val="32"/>
          <w:lang w:val="en-US" w:eastAsia="zh-CN" w:bidi="ar-SA"/>
        </w:rPr>
        <w:t>，资金到位率100%；项目实际执行金额</w:t>
      </w:r>
      <w:r>
        <w:rPr>
          <w:rFonts w:hint="eastAsia" w:ascii="仿宋_GB2312" w:eastAsia="仿宋_GB2312"/>
          <w:color w:val="auto"/>
          <w:sz w:val="32"/>
          <w:szCs w:val="32"/>
        </w:rPr>
        <w:t>94.5万元</w:t>
      </w:r>
      <w:r>
        <w:rPr>
          <w:rFonts w:hint="eastAsia" w:ascii="仿宋" w:hAnsi="仿宋" w:eastAsia="仿宋" w:cs="仿宋"/>
          <w:b w:val="0"/>
          <w:bCs w:val="0"/>
          <w:color w:val="auto"/>
          <w:kern w:val="2"/>
          <w:sz w:val="32"/>
          <w:szCs w:val="32"/>
          <w:lang w:val="en-US" w:eastAsia="zh-CN" w:bidi="ar-SA"/>
        </w:rPr>
        <w:t>，预算执行率为100%。</w:t>
      </w:r>
    </w:p>
    <w:p w14:paraId="1999D314">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项目年度绩效目标为：</w:t>
      </w:r>
      <w:r>
        <w:rPr>
          <w:rFonts w:hint="eastAsia" w:ascii="仿宋" w:hAnsi="仿宋" w:eastAsia="仿宋" w:cs="仿宋"/>
          <w:b w:val="0"/>
          <w:bCs w:val="0"/>
          <w:color w:val="auto"/>
          <w:kern w:val="2"/>
          <w:sz w:val="32"/>
          <w:szCs w:val="32"/>
          <w:u w:val="none"/>
          <w:lang w:val="en-US" w:eastAsia="zh-CN" w:bidi="ar-SA"/>
        </w:rPr>
        <w:t>强化潜江市企业科技成果转化能力和技术创新能力，促进营造有利于创新成果不断涌现、科技成果有效转化的创新生态，为潜江加快打造“一城三基地”、奋力建设四化同步发展示范区提供科技支撑</w:t>
      </w:r>
      <w:r>
        <w:rPr>
          <w:rFonts w:hint="eastAsia" w:ascii="Times New Roman Regular" w:hAnsi="Times New Roman Regular" w:eastAsia="仿宋_GB2312" w:cs="Times New Roman Regular"/>
          <w:sz w:val="32"/>
          <w:szCs w:val="32"/>
        </w:rPr>
        <w:t>。</w:t>
      </w:r>
    </w:p>
    <w:p w14:paraId="390715D9">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color w:val="auto"/>
          <w:kern w:val="2"/>
          <w:sz w:val="32"/>
          <w:szCs w:val="32"/>
          <w:lang w:val="en-US" w:eastAsia="zh-CN" w:bidi="ar-SA"/>
        </w:rPr>
        <w:t>项目绩效目标核心指标为</w:t>
      </w:r>
      <w:r>
        <w:rPr>
          <w:rFonts w:hint="eastAsia" w:ascii="仿宋" w:hAnsi="仿宋" w:eastAsia="仿宋" w:cs="仿宋"/>
          <w:sz w:val="32"/>
          <w:szCs w:val="32"/>
          <w:shd w:val="clear" w:color="auto" w:fill="FFFFFF"/>
          <w:lang w:val="en-US" w:eastAsia="zh-CN"/>
        </w:rPr>
        <w:t>：1.</w:t>
      </w:r>
      <w:r>
        <w:rPr>
          <w:rFonts w:hint="eastAsia" w:ascii="Times New Roman Regular" w:hAnsi="Times New Roman Regular" w:eastAsia="仿宋_GB2312" w:cs="Times New Roman Regular"/>
          <w:sz w:val="32"/>
          <w:szCs w:val="32"/>
        </w:rPr>
        <w:t>科技成果转化专项资金≤210万元</w:t>
      </w:r>
      <w:r>
        <w:rPr>
          <w:rFonts w:hint="eastAsia" w:ascii="Times New Roman Regular" w:hAnsi="Times New Roman Regular" w:cs="Times New Roman Regular"/>
          <w:sz w:val="32"/>
          <w:szCs w:val="32"/>
          <w:lang w:eastAsia="zh-CN"/>
        </w:rPr>
        <w:t>；</w:t>
      </w:r>
      <w:r>
        <w:rPr>
          <w:rFonts w:hint="eastAsia" w:ascii="Times New Roman Regular" w:hAnsi="Times New Roman Regular" w:cs="Times New Roman Regular"/>
          <w:sz w:val="32"/>
          <w:szCs w:val="32"/>
          <w:lang w:val="en-US" w:eastAsia="zh-CN"/>
        </w:rPr>
        <w:t>2.</w:t>
      </w:r>
      <w:r>
        <w:rPr>
          <w:rFonts w:hint="eastAsia" w:ascii="Times New Roman Regular" w:hAnsi="Times New Roman Regular" w:eastAsia="仿宋_GB2312" w:cs="Times New Roman Regular"/>
          <w:sz w:val="32"/>
          <w:szCs w:val="32"/>
        </w:rPr>
        <w:t>补助科技成果转化企业数量≥10家</w:t>
      </w:r>
      <w:r>
        <w:rPr>
          <w:rFonts w:hint="eastAsia" w:ascii="Times New Roman Regular" w:hAnsi="Times New Roman Regular" w:cs="Times New Roman Regular"/>
          <w:sz w:val="32"/>
          <w:szCs w:val="32"/>
          <w:lang w:eastAsia="zh-CN"/>
        </w:rPr>
        <w:t>、科技成果转化专利数≥12项、签订技术合同总额≥600万元；</w:t>
      </w:r>
      <w:r>
        <w:rPr>
          <w:rFonts w:hint="eastAsia" w:ascii="Times New Roman Regular" w:hAnsi="Times New Roman Regular" w:cs="Times New Roman Regular"/>
          <w:sz w:val="32"/>
          <w:szCs w:val="32"/>
          <w:lang w:val="en-US" w:eastAsia="zh-CN"/>
        </w:rPr>
        <w:t>3.</w:t>
      </w:r>
      <w:r>
        <w:rPr>
          <w:rFonts w:hint="eastAsia" w:ascii="Times New Roman Regular" w:hAnsi="Times New Roman Regular" w:eastAsia="仿宋_GB2312" w:cs="Times New Roman Regular"/>
          <w:sz w:val="32"/>
          <w:szCs w:val="32"/>
        </w:rPr>
        <w:t>项目资金使用合规率100%。</w:t>
      </w:r>
    </w:p>
    <w:p w14:paraId="1570E1BE">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二、绩效评价分数与等级</w:t>
      </w:r>
    </w:p>
    <w:p w14:paraId="5D53B68F">
      <w:pPr>
        <w:pStyle w:val="8"/>
        <w:keepNext w:val="0"/>
        <w:keepLines w:val="0"/>
        <w:pageBreakBefore w:val="0"/>
        <w:widowControl w:val="0"/>
        <w:tabs>
          <w:tab w:val="right" w:pos="8306"/>
          <w:tab w:val="clear" w:pos="8307"/>
        </w:tabs>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2024年度“科技成果转化专项资金”项目绩效评价从项目的决策、过程、产出及效果四大维度进行综合分析评价，综合得分为90.87分，</w:t>
      </w:r>
      <w:r>
        <w:rPr>
          <w:rFonts w:hint="eastAsia" w:ascii="仿宋" w:hAnsi="仿宋" w:eastAsia="仿宋" w:cs="仿宋"/>
          <w:sz w:val="32"/>
          <w:szCs w:val="32"/>
        </w:rPr>
        <w:t>绩效评价等级为“</w:t>
      </w:r>
      <w:r>
        <w:rPr>
          <w:rFonts w:hint="eastAsia" w:ascii="仿宋" w:hAnsi="仿宋" w:eastAsia="仿宋" w:cs="仿宋"/>
          <w:sz w:val="32"/>
          <w:szCs w:val="32"/>
          <w:lang w:eastAsia="zh-CN"/>
        </w:rPr>
        <w:t>优</w:t>
      </w:r>
      <w:r>
        <w:rPr>
          <w:rFonts w:hint="eastAsia" w:ascii="仿宋" w:hAnsi="仿宋" w:eastAsia="仿宋" w:cs="仿宋"/>
          <w:sz w:val="32"/>
          <w:szCs w:val="32"/>
        </w:rPr>
        <w:t>”</w:t>
      </w:r>
      <w:r>
        <w:rPr>
          <w:rFonts w:hint="eastAsia" w:ascii="仿宋" w:hAnsi="仿宋" w:eastAsia="仿宋" w:cs="仿宋"/>
          <w:color w:val="auto"/>
          <w:sz w:val="32"/>
          <w:szCs w:val="32"/>
          <w:highlight w:val="none"/>
          <w:lang w:val="en-US" w:eastAsia="zh-CN"/>
        </w:rPr>
        <w:t>。投入、过程、产出、效果四个维度评价得分结果</w:t>
      </w:r>
      <w:r>
        <w:rPr>
          <w:rFonts w:hint="eastAsia" w:ascii="仿宋" w:hAnsi="仿宋" w:eastAsia="仿宋" w:cs="仿宋"/>
          <w:color w:val="auto"/>
          <w:sz w:val="32"/>
          <w:szCs w:val="32"/>
          <w:lang w:val="en-US" w:eastAsia="zh-CN"/>
        </w:rPr>
        <w:t>如下表所示：</w:t>
      </w:r>
    </w:p>
    <w:p w14:paraId="5D04A1E2">
      <w:pPr>
        <w:spacing w:line="560" w:lineRule="exact"/>
        <w:jc w:val="center"/>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项目绩效得分情况表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19"/>
        <w:gridCol w:w="2541"/>
        <w:gridCol w:w="2131"/>
        <w:gridCol w:w="2131"/>
      </w:tblGrid>
      <w:tr w14:paraId="3A80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19" w:type="dxa"/>
            <w:shd w:val="clear" w:color="auto" w:fill="auto"/>
            <w:vAlign w:val="center"/>
          </w:tcPr>
          <w:p w14:paraId="28C536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序号</w:t>
            </w:r>
          </w:p>
        </w:tc>
        <w:tc>
          <w:tcPr>
            <w:tcW w:w="2541" w:type="dxa"/>
            <w:shd w:val="clear" w:color="auto" w:fill="auto"/>
            <w:vAlign w:val="center"/>
          </w:tcPr>
          <w:p w14:paraId="6394EB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评</w:t>
            </w:r>
            <w:r>
              <w:rPr>
                <w:rFonts w:hint="eastAsia" w:cs="Times New Roman"/>
                <w:color w:val="auto"/>
                <w:sz w:val="32"/>
                <w:szCs w:val="32"/>
                <w:highlight w:val="none"/>
                <w:lang w:val="en-US" w:eastAsia="zh-CN"/>
              </w:rPr>
              <w:t>价</w:t>
            </w:r>
            <w:r>
              <w:rPr>
                <w:rFonts w:hint="default" w:ascii="Times New Roman" w:hAnsi="Times New Roman" w:eastAsia="仿宋_GB2312" w:cs="Times New Roman"/>
                <w:color w:val="auto"/>
                <w:sz w:val="32"/>
                <w:szCs w:val="32"/>
                <w:highlight w:val="none"/>
                <w:lang w:val="en-US" w:eastAsia="zh-CN"/>
              </w:rPr>
              <w:t>指标</w:t>
            </w:r>
          </w:p>
        </w:tc>
        <w:tc>
          <w:tcPr>
            <w:tcW w:w="2131" w:type="dxa"/>
            <w:shd w:val="clear" w:color="auto" w:fill="auto"/>
            <w:vAlign w:val="center"/>
          </w:tcPr>
          <w:p w14:paraId="5C3448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权重</w:t>
            </w:r>
          </w:p>
        </w:tc>
        <w:tc>
          <w:tcPr>
            <w:tcW w:w="2131" w:type="dxa"/>
            <w:shd w:val="clear" w:color="auto" w:fill="auto"/>
            <w:vAlign w:val="center"/>
          </w:tcPr>
          <w:p w14:paraId="3E8E01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得分</w:t>
            </w:r>
          </w:p>
        </w:tc>
      </w:tr>
      <w:tr w14:paraId="4C6D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19" w:type="dxa"/>
            <w:shd w:val="clear" w:color="auto" w:fill="auto"/>
            <w:vAlign w:val="center"/>
          </w:tcPr>
          <w:p w14:paraId="6D0385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w:t>
            </w:r>
          </w:p>
        </w:tc>
        <w:tc>
          <w:tcPr>
            <w:tcW w:w="2541" w:type="dxa"/>
            <w:shd w:val="clear" w:color="auto" w:fill="auto"/>
            <w:vAlign w:val="center"/>
          </w:tcPr>
          <w:p w14:paraId="4261660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决策</w:t>
            </w:r>
          </w:p>
        </w:tc>
        <w:tc>
          <w:tcPr>
            <w:tcW w:w="2131" w:type="dxa"/>
            <w:shd w:val="clear" w:color="auto" w:fill="auto"/>
            <w:vAlign w:val="center"/>
          </w:tcPr>
          <w:p w14:paraId="73C8C4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15</w:t>
            </w:r>
          </w:p>
        </w:tc>
        <w:tc>
          <w:tcPr>
            <w:tcW w:w="2131" w:type="dxa"/>
            <w:shd w:val="clear" w:color="auto" w:fill="auto"/>
            <w:vAlign w:val="center"/>
          </w:tcPr>
          <w:p w14:paraId="4D231E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14</w:t>
            </w:r>
          </w:p>
        </w:tc>
      </w:tr>
      <w:tr w14:paraId="5933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19" w:type="dxa"/>
            <w:shd w:val="clear" w:color="auto" w:fill="auto"/>
            <w:vAlign w:val="center"/>
          </w:tcPr>
          <w:p w14:paraId="4FB862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p>
        </w:tc>
        <w:tc>
          <w:tcPr>
            <w:tcW w:w="2541" w:type="dxa"/>
            <w:shd w:val="clear" w:color="auto" w:fill="auto"/>
            <w:vAlign w:val="center"/>
          </w:tcPr>
          <w:p w14:paraId="5763BF4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过程</w:t>
            </w:r>
          </w:p>
        </w:tc>
        <w:tc>
          <w:tcPr>
            <w:tcW w:w="2131" w:type="dxa"/>
            <w:shd w:val="clear" w:color="auto" w:fill="auto"/>
            <w:vAlign w:val="center"/>
          </w:tcPr>
          <w:p w14:paraId="6665B8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18</w:t>
            </w:r>
          </w:p>
        </w:tc>
        <w:tc>
          <w:tcPr>
            <w:tcW w:w="2131" w:type="dxa"/>
            <w:shd w:val="clear" w:color="auto" w:fill="auto"/>
            <w:vAlign w:val="center"/>
          </w:tcPr>
          <w:p w14:paraId="5F081D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16</w:t>
            </w:r>
          </w:p>
        </w:tc>
      </w:tr>
      <w:tr w14:paraId="08A8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719" w:type="dxa"/>
            <w:shd w:val="clear" w:color="auto" w:fill="auto"/>
            <w:vAlign w:val="center"/>
          </w:tcPr>
          <w:p w14:paraId="3A34D7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w:t>
            </w:r>
          </w:p>
        </w:tc>
        <w:tc>
          <w:tcPr>
            <w:tcW w:w="2541" w:type="dxa"/>
            <w:shd w:val="clear" w:color="auto" w:fill="auto"/>
            <w:vAlign w:val="center"/>
          </w:tcPr>
          <w:p w14:paraId="0AC7F0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产出</w:t>
            </w:r>
          </w:p>
        </w:tc>
        <w:tc>
          <w:tcPr>
            <w:tcW w:w="2131" w:type="dxa"/>
            <w:shd w:val="clear" w:color="auto" w:fill="auto"/>
            <w:vAlign w:val="center"/>
          </w:tcPr>
          <w:p w14:paraId="1B05EB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39</w:t>
            </w:r>
          </w:p>
        </w:tc>
        <w:tc>
          <w:tcPr>
            <w:tcW w:w="2131" w:type="dxa"/>
            <w:shd w:val="clear" w:color="auto" w:fill="auto"/>
            <w:vAlign w:val="center"/>
          </w:tcPr>
          <w:p w14:paraId="71CC5D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36.04</w:t>
            </w:r>
          </w:p>
        </w:tc>
      </w:tr>
      <w:tr w14:paraId="00A7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19" w:type="dxa"/>
            <w:shd w:val="clear" w:color="auto" w:fill="auto"/>
            <w:vAlign w:val="center"/>
          </w:tcPr>
          <w:p w14:paraId="5E419A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w:t>
            </w:r>
          </w:p>
        </w:tc>
        <w:tc>
          <w:tcPr>
            <w:tcW w:w="2541" w:type="dxa"/>
            <w:shd w:val="clear" w:color="auto" w:fill="auto"/>
            <w:vAlign w:val="center"/>
          </w:tcPr>
          <w:p w14:paraId="18E047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效果</w:t>
            </w:r>
          </w:p>
        </w:tc>
        <w:tc>
          <w:tcPr>
            <w:tcW w:w="2131" w:type="dxa"/>
            <w:shd w:val="clear" w:color="auto" w:fill="auto"/>
            <w:vAlign w:val="center"/>
          </w:tcPr>
          <w:p w14:paraId="5F10383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28</w:t>
            </w:r>
          </w:p>
        </w:tc>
        <w:tc>
          <w:tcPr>
            <w:tcW w:w="2131" w:type="dxa"/>
            <w:shd w:val="clear" w:color="auto" w:fill="auto"/>
            <w:vAlign w:val="center"/>
          </w:tcPr>
          <w:p w14:paraId="3B71FD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24.83</w:t>
            </w:r>
          </w:p>
        </w:tc>
      </w:tr>
      <w:tr w14:paraId="6FEB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260" w:type="dxa"/>
            <w:gridSpan w:val="2"/>
            <w:shd w:val="clear" w:color="auto" w:fill="auto"/>
            <w:vAlign w:val="center"/>
          </w:tcPr>
          <w:p w14:paraId="21CE73B1">
            <w:pPr>
              <w:spacing w:line="360" w:lineRule="auto"/>
              <w:jc w:val="center"/>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合计</w:t>
            </w:r>
          </w:p>
        </w:tc>
        <w:tc>
          <w:tcPr>
            <w:tcW w:w="2131" w:type="dxa"/>
            <w:shd w:val="clear" w:color="auto" w:fill="auto"/>
            <w:vAlign w:val="center"/>
          </w:tcPr>
          <w:p w14:paraId="7E0872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100</w:t>
            </w:r>
          </w:p>
        </w:tc>
        <w:tc>
          <w:tcPr>
            <w:tcW w:w="2131" w:type="dxa"/>
            <w:shd w:val="clear" w:color="auto" w:fill="auto"/>
            <w:vAlign w:val="center"/>
          </w:tcPr>
          <w:p w14:paraId="50B7FE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color w:val="auto"/>
                <w:sz w:val="32"/>
                <w:szCs w:val="32"/>
                <w:highlight w:val="none"/>
                <w:lang w:val="en-US" w:eastAsia="zh-CN"/>
              </w:rPr>
            </w:pPr>
            <w:r>
              <w:rPr>
                <w:rFonts w:hint="eastAsia" w:cs="Times New Roman"/>
                <w:color w:val="auto"/>
                <w:sz w:val="32"/>
                <w:szCs w:val="32"/>
                <w:highlight w:val="none"/>
                <w:lang w:val="en-US" w:eastAsia="zh-CN"/>
              </w:rPr>
              <w:t>90.87</w:t>
            </w:r>
          </w:p>
        </w:tc>
      </w:tr>
    </w:tbl>
    <w:p w14:paraId="44BD9C45">
      <w:pPr>
        <w:rPr>
          <w:rFonts w:hint="eastAsia"/>
          <w:lang w:val="en-US" w:eastAsia="zh-CN"/>
        </w:rPr>
      </w:pPr>
    </w:p>
    <w:p w14:paraId="34E978A1">
      <w:pPr>
        <w:keepNext w:val="0"/>
        <w:keepLines w:val="0"/>
        <w:pageBreakBefore w:val="0"/>
        <w:widowControl w:val="0"/>
        <w:numPr>
          <w:ilvl w:val="0"/>
          <w:numId w:val="0"/>
        </w:numPr>
        <w:kinsoku/>
        <w:wordWrap/>
        <w:overflowPunct/>
        <w:topLinePunct w:val="0"/>
        <w:autoSpaceDE/>
        <w:autoSpaceDN/>
        <w:bidi w:val="0"/>
        <w:adjustRightInd w:val="0"/>
        <w:snapToGrid/>
        <w:spacing w:before="0" w:after="0" w:line="560" w:lineRule="exact"/>
        <w:ind w:leftChars="0" w:right="0" w:rightChars="0" w:firstLine="640" w:firstLineChars="200"/>
        <w:jc w:val="both"/>
        <w:textAlignment w:val="auto"/>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三、绩效评价指标情况</w:t>
      </w:r>
    </w:p>
    <w:p w14:paraId="5CE21607">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（一）项目决策。</w:t>
      </w:r>
    </w:p>
    <w:p w14:paraId="243461A1">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决策指标标准分15分，评价得分14分。项目立项依据充分、程序规范，符合国家政策要求；在资金的分配上依据充分，分配的额度合理。项目绩效目标与实际工作内容具有相关性；预期产出效益和效果基本符合正常的业绩水平；与项目资金量基本匹配。主要扣分原因：项目年初预算不精确。</w:t>
      </w:r>
    </w:p>
    <w:p w14:paraId="46DF67B5">
      <w:pPr>
        <w:keepNext w:val="0"/>
        <w:keepLines w:val="0"/>
        <w:pageBreakBefore w:val="0"/>
        <w:widowControl w:val="0"/>
        <w:numPr>
          <w:ilvl w:val="0"/>
          <w:numId w:val="3"/>
        </w:numPr>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项目过程。</w:t>
      </w:r>
    </w:p>
    <w:p w14:paraId="1AB6C5B7">
      <w:pPr>
        <w:keepNext w:val="0"/>
        <w:keepLines w:val="0"/>
        <w:pageBreakBefore w:val="0"/>
        <w:widowControl w:val="0"/>
        <w:numPr>
          <w:ilvl w:val="0"/>
          <w:numId w:val="0"/>
        </w:numPr>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过程指标标准分18分，评价得分16分。项目年初预算资金94.5万元，其中用于企业补助资金79.5万元，工作经费15万元，合计94.5万元，预算执行率100%。该项目中企业补助资金拨付有完整的审批流程、合同，资金符合预算规定的用途。主要扣分原因：项目工作经费支出中存在使用不当情况；项目均未编制进度计划。</w:t>
      </w:r>
    </w:p>
    <w:p w14:paraId="2C7EF825">
      <w:pPr>
        <w:keepNext w:val="0"/>
        <w:keepLines w:val="0"/>
        <w:pageBreakBefore w:val="0"/>
        <w:widowControl w:val="0"/>
        <w:numPr>
          <w:ilvl w:val="0"/>
          <w:numId w:val="3"/>
        </w:numPr>
        <w:kinsoku/>
        <w:wordWrap/>
        <w:topLinePunct w:val="0"/>
        <w:autoSpaceDE/>
        <w:autoSpaceDN/>
        <w:bidi w:val="0"/>
        <w:spacing w:line="570" w:lineRule="exact"/>
        <w:ind w:left="0" w:lef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项目产出。</w:t>
      </w:r>
    </w:p>
    <w:p w14:paraId="6751A867">
      <w:pPr>
        <w:keepNext w:val="0"/>
        <w:keepLines w:val="0"/>
        <w:pageBreakBefore w:val="0"/>
        <w:widowControl w:val="0"/>
        <w:numPr>
          <w:ilvl w:val="0"/>
          <w:numId w:val="0"/>
        </w:numPr>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产出指标标准分39分，评价得分36.04分。根据潜江市科技成果转化专项资金项目绩效批复表，产出时效约定时间、产出成本控制在绩效目标成本内。资金完成时效符合项目需求，拨付流程完整、及时。主要扣分原因：资金使用中工作经费的使用不合规。</w:t>
      </w:r>
    </w:p>
    <w:p w14:paraId="13EB4279">
      <w:pPr>
        <w:keepNext w:val="0"/>
        <w:keepLines w:val="0"/>
        <w:pageBreakBefore w:val="0"/>
        <w:widowControl w:val="0"/>
        <w:numPr>
          <w:ilvl w:val="0"/>
          <w:numId w:val="3"/>
        </w:numPr>
        <w:kinsoku/>
        <w:wordWrap/>
        <w:topLinePunct w:val="0"/>
        <w:autoSpaceDE/>
        <w:autoSpaceDN/>
        <w:bidi w:val="0"/>
        <w:spacing w:line="570" w:lineRule="exact"/>
        <w:ind w:left="0" w:leftChars="0"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项目效果。</w:t>
      </w:r>
    </w:p>
    <w:p w14:paraId="6B5E70F7">
      <w:pPr>
        <w:keepNext w:val="0"/>
        <w:keepLines w:val="0"/>
        <w:pageBreakBefore w:val="0"/>
        <w:widowControl w:val="0"/>
        <w:numPr>
          <w:ilvl w:val="0"/>
          <w:numId w:val="0"/>
        </w:numPr>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效益指标标准分28分，评价得分24.83分。潜江方圆钛白有限公司、武汉新硅科技潜江有限公司等均实现了产品化，产品价格具有市场竞争优势，经济效果显著。通过对项目受益对象以现场调查问卷形式进行了调查，调查对象表示项目开展可以有效降低企业的财务压力，一定程度上帮助企业减轻经营负担，收益企业满意度98.3%。主要扣分原因：受补助企业可持续发展存在差异。潜江方圆钛白有限公司、武汉新硅科技潜江有限公司均实现产业化，但是部分企业未实现持续发展。</w:t>
      </w:r>
    </w:p>
    <w:p w14:paraId="50F1D36F">
      <w:pPr>
        <w:pStyle w:val="4"/>
        <w:keepNext w:val="0"/>
        <w:keepLines w:val="0"/>
        <w:pageBreakBefore w:val="0"/>
        <w:widowControl w:val="0"/>
        <w:kinsoku/>
        <w:wordWrap/>
        <w:overflowPunct/>
        <w:topLinePunct w:val="0"/>
        <w:autoSpaceDE/>
        <w:autoSpaceDN/>
        <w:bidi w:val="0"/>
        <w:adjustRightInd w:val="0"/>
        <w:spacing w:line="560" w:lineRule="exact"/>
        <w:ind w:left="0" w:leftChars="0" w:right="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四</w:t>
      </w:r>
      <w:r>
        <w:rPr>
          <w:rFonts w:hint="eastAsia" w:ascii="黑体" w:hAnsi="黑体" w:eastAsia="黑体" w:cs="黑体"/>
          <w:b w:val="0"/>
          <w:bCs w:val="0"/>
          <w:sz w:val="32"/>
          <w:szCs w:val="32"/>
          <w:lang w:eastAsia="zh-CN"/>
        </w:rPr>
        <w:t>、</w:t>
      </w:r>
      <w:r>
        <w:rPr>
          <w:rFonts w:hint="eastAsia" w:ascii="黑体" w:hAnsi="黑体" w:eastAsia="黑体" w:cs="黑体"/>
          <w:b w:val="0"/>
          <w:bCs w:val="0"/>
          <w:color w:val="auto"/>
          <w:sz w:val="32"/>
          <w:szCs w:val="32"/>
          <w:highlight w:val="none"/>
        </w:rPr>
        <w:t>项目成效</w:t>
      </w:r>
      <w:r>
        <w:rPr>
          <w:rFonts w:hint="eastAsia" w:ascii="黑体" w:hAnsi="黑体" w:eastAsia="黑体" w:cs="黑体"/>
          <w:b w:val="0"/>
          <w:bCs w:val="0"/>
          <w:color w:val="auto"/>
          <w:sz w:val="32"/>
          <w:szCs w:val="32"/>
          <w:highlight w:val="none"/>
          <w:lang w:eastAsia="zh-CN"/>
        </w:rPr>
        <w:t>、</w:t>
      </w:r>
      <w:r>
        <w:rPr>
          <w:rFonts w:hint="eastAsia" w:ascii="黑体" w:hAnsi="黑体" w:eastAsia="黑体" w:cs="黑体"/>
          <w:b w:val="0"/>
          <w:bCs w:val="0"/>
          <w:color w:val="auto"/>
          <w:sz w:val="32"/>
          <w:szCs w:val="32"/>
        </w:rPr>
        <w:t>存在</w:t>
      </w:r>
      <w:r>
        <w:rPr>
          <w:rFonts w:hint="eastAsia" w:ascii="黑体" w:hAnsi="黑体" w:eastAsia="黑体" w:cs="黑体"/>
          <w:b w:val="0"/>
          <w:bCs w:val="0"/>
          <w:sz w:val="32"/>
          <w:szCs w:val="32"/>
        </w:rPr>
        <w:t>的问题和原因</w:t>
      </w:r>
    </w:p>
    <w:p w14:paraId="7C9A4F17">
      <w:pPr>
        <w:keepNext w:val="0"/>
        <w:keepLines w:val="0"/>
        <w:pageBreakBefore w:val="0"/>
        <w:widowControl w:val="0"/>
        <w:kinsoku/>
        <w:wordWrap/>
        <w:overflowPunct/>
        <w:topLinePunct w:val="0"/>
        <w:autoSpaceDE/>
        <w:autoSpaceDN/>
        <w:bidi w:val="0"/>
        <w:adjustRightInd w:val="0"/>
        <w:spacing w:line="560" w:lineRule="exact"/>
        <w:ind w:leftChars="0" w:right="0"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（一）项目成效。</w:t>
      </w:r>
    </w:p>
    <w:p w14:paraId="63CE8C9E">
      <w:pPr>
        <w:spacing w:line="560" w:lineRule="exac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该项目紧扣潜江市科技创新政策导向，着力强</w:t>
      </w:r>
      <w:bookmarkStart w:id="8" w:name="_GoBack"/>
      <w:bookmarkEnd w:id="8"/>
      <w:r>
        <w:rPr>
          <w:rFonts w:hint="eastAsia" w:ascii="仿宋" w:hAnsi="仿宋" w:eastAsia="仿宋" w:cs="仿宋"/>
          <w:kern w:val="2"/>
          <w:sz w:val="32"/>
          <w:szCs w:val="32"/>
          <w:lang w:val="en-US" w:eastAsia="zh-CN" w:bidi="ar-SA"/>
        </w:rPr>
        <w:t>化企业科技成果转化与技术创新能力，为营造优质创新生态、支撑潜江“一城三基地”建设及四化同步发展示范区打造提供了坚实的科技支撑，有力激活了区域创新动能，彰显了科技创新对地方发展的战略引领作用。</w:t>
      </w:r>
    </w:p>
    <w:p w14:paraId="40010522">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Chars="0" w:right="0"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（二）存在的问题和原因。</w:t>
      </w:r>
    </w:p>
    <w:p w14:paraId="69A37391">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1.年初预算编制不精准。2024年本项目年初预算210.00万元，年中调整115.5万元转至其他项目，调整比率达55%。反映出本项目年初预算额度测算存在不够精确、不够合理。</w:t>
      </w:r>
    </w:p>
    <w:p w14:paraId="3F9470F8">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2.产出数量未达到批复数量，数量指标有待提升。年初申报的签订技术合同总额600万元，通过查阅相关申报材料，以及科技成果转化项目备案登记表发现实际完成总额仅480万元，与目标值具有较大差距，数量指标未达到年初设定的目标值。</w:t>
      </w:r>
    </w:p>
    <w:p w14:paraId="63062239">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3.项目支出列支不规范。2024年度该项目支出94.5万元，其中列支了工作经费15万元，用于差旅费、评审费、会议费等支出，按项目资金管理办法规定，此项支出超出了规定使用范围，另外还列支了其他项目相关费用，如支出“湖北省支持高新技术企业发展专项资金项目”（第一批）专家评审费6240元、“2023年度潜江市公益性行业科研计划项目”验收评审费4000元、“科创中心企业入驻签署协议”差旅费1040元等。</w:t>
      </w:r>
    </w:p>
    <w:p w14:paraId="18B1851F">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4.部分项目资金未发挥激励带动作用。2024年度受补助企业的后续发展存在问题，部分企业后续资金投入暂停。例如：湖北虾乡食品股份有限公司仅完成项目研究工作，后续产业化进程滞后或是停滞。其次，潜江市科技局未跟踪企业研究成果产出情况，部分企业申报材料中预计产出情况未落实，例如：湖北新柳伍食品集团有限公司申报材料中，项目实施后专利数量1-2项，根据实际情况，目前项目并未产生实际的专利。因此，部分项目补助资金未发挥良好的激励作用。</w:t>
      </w:r>
    </w:p>
    <w:p w14:paraId="0F4E5069">
      <w:pPr>
        <w:pStyle w:val="4"/>
        <w:keepNext w:val="0"/>
        <w:keepLines w:val="0"/>
        <w:pageBreakBefore w:val="0"/>
        <w:widowControl w:val="0"/>
        <w:kinsoku/>
        <w:wordWrap/>
        <w:overflowPunct/>
        <w:topLinePunct w:val="0"/>
        <w:autoSpaceDE/>
        <w:autoSpaceDN/>
        <w:bidi w:val="0"/>
        <w:adjustRightInd w:val="0"/>
        <w:spacing w:line="560" w:lineRule="exact"/>
        <w:ind w:left="0" w:leftChars="0" w:right="0" w:firstLine="640" w:firstLineChars="200"/>
        <w:jc w:val="both"/>
        <w:textAlignment w:val="auto"/>
        <w:rPr>
          <w:rFonts w:hint="eastAsia" w:ascii="仿宋" w:hAnsi="仿宋" w:eastAsia="仿宋" w:cs="仿宋"/>
          <w:color w:val="auto"/>
          <w:kern w:val="2"/>
          <w:sz w:val="32"/>
          <w:szCs w:val="32"/>
          <w:lang w:val="en-US" w:eastAsia="zh-CN" w:bidi="ar-SA"/>
        </w:rPr>
      </w:pPr>
      <w:r>
        <w:rPr>
          <w:rFonts w:hint="eastAsia" w:ascii="黑体" w:hAnsi="黑体" w:eastAsia="黑体" w:cs="黑体"/>
          <w:b w:val="0"/>
          <w:bCs w:val="0"/>
          <w:sz w:val="32"/>
          <w:szCs w:val="32"/>
        </w:rPr>
        <w:t>五</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建议</w:t>
      </w:r>
      <w:r>
        <w:rPr>
          <w:rFonts w:hint="eastAsia" w:ascii="黑体" w:hAnsi="黑体" w:eastAsia="黑体" w:cs="黑体"/>
          <w:b w:val="0"/>
          <w:bCs w:val="0"/>
          <w:sz w:val="32"/>
          <w:szCs w:val="32"/>
          <w:lang w:eastAsia="zh-CN"/>
        </w:rPr>
        <w:t>和改进措施</w:t>
      </w:r>
    </w:p>
    <w:p w14:paraId="2EFA21A8">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（一）强化前期需求调研，优化预算测算方法。</w:t>
      </w:r>
    </w:p>
    <w:p w14:paraId="0E275EB6">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分析同类项目历年的预算执行情况（实际支出与预算的偏差率）、执行数据（实际支出、偏差原因）、调整记录，形成可复用的 “成本基准库”（如 “转化专利数对应的合同总额与补助资金的关系”），每月对比 “预算 与实际支出”，减少年中大额调整，实现资源的精准配置，提升项目执行效率和财务管控水平。</w:t>
      </w:r>
    </w:p>
    <w:p w14:paraId="05CBBCC6">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(二)优化和完善指标体系，加强绩效指标的动态管理，确保绩效目标合理可行。</w:t>
      </w:r>
    </w:p>
    <w:p w14:paraId="23006BF0">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在设定绩效目标前，需对项目运行现状进行充分调研与评估，科学合理地分解并设定年度指标；在项目实施过程中，应对绩效指标实行动态跟踪管理，依据实际进展情况规范开展产出数量指标值的调整申报工作，同时强化对项目绩效目标的全流程审查，确保绩效目标始终具备合理性与可行性。</w:t>
      </w:r>
    </w:p>
    <w:p w14:paraId="3690DAB5">
      <w:pPr>
        <w:keepNext w:val="0"/>
        <w:keepLines w:val="0"/>
        <w:pageBreakBefore w:val="0"/>
        <w:widowControl w:val="0"/>
        <w:kinsoku/>
        <w:wordWrap/>
        <w:topLinePunct w:val="0"/>
        <w:autoSpaceDE/>
        <w:autoSpaceDN/>
        <w:bidi w:val="0"/>
        <w:spacing w:line="570" w:lineRule="exact"/>
        <w:ind w:firstLine="640" w:firstLineChars="200"/>
        <w:textAlignment w:val="auto"/>
        <w:rPr>
          <w:rFonts w:hint="default"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(三)落实监督管理责任，强化资金使用合规性全链条管控。</w:t>
      </w:r>
    </w:p>
    <w:p w14:paraId="0CF4ED78">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建议对各项经费的使用范围进行精准界定。将“湖北省支持高新技术企业发展专项资金项目”“潜江市公益性行业科研计划项目”等具体项目的差旅费、评审费、会议费等，明确纳入对应项目的专项预算。同时，细化工作经费的支出范畴，仅限于本单位日常运营、通用事务相关的费用，从源头避免资金混用。</w:t>
      </w:r>
    </w:p>
    <w:p w14:paraId="0B411F57">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建立实行“先审核、后支出”的闭环管理机制。所有经费支出前，需由财务部门会同业务部门共同审核。强化监督检查，定期自查自纠，对工作经费及各项目专项经费的使用情况进行梳理，重点核查是否存在超范围支出、串用资金等问题，并及时整改。对于已发生的超范围支出问题，提交资金调整申请，说明超范围支出的原因，申请将违规使用的工作经费从对应项目的专项预算中列支，或从后续项目拨款中抵扣，确保资金与项目匹配。</w:t>
      </w:r>
    </w:p>
    <w:p w14:paraId="22E738F6">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（四）严格筛选项目补贴对象，提升入选企业质量</w:t>
      </w:r>
    </w:p>
    <w:p w14:paraId="62B1D5E0">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鉴于2023年度科技成果转化专项资金项目出现项目停滞、后续未持续投入开展研究情况，建议科技局在下一年度公开遴选项目承担单位时，加强甄别企业研究成果的可持续性以及企业年度计划，保障项目可持续发展。</w:t>
      </w:r>
    </w:p>
    <w:p w14:paraId="12A90403">
      <w:pPr>
        <w:keepNext w:val="0"/>
        <w:keepLines w:val="0"/>
        <w:pageBreakBefore w:val="0"/>
        <w:widowControl w:val="0"/>
        <w:kinsoku/>
        <w:wordWrap/>
        <w:topLinePunct w:val="0"/>
        <w:autoSpaceDE/>
        <w:autoSpaceDN/>
        <w:bidi w:val="0"/>
        <w:spacing w:line="570" w:lineRule="exact"/>
        <w:ind w:firstLine="640" w:firstLineChars="200"/>
        <w:textAlignment w:val="auto"/>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t>建立动态评估机制，结合企业研发投入强度、营收增长潜力、融资需求等多维度指标，精准识别企业实际需求，确保奖补资金精准对接企业实际需求，切实增强资金对企业发展的激励引导作用。</w:t>
      </w:r>
    </w:p>
    <w:p w14:paraId="2290AC8E">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仿宋" w:hAnsi="仿宋" w:eastAsia="仿宋" w:cs="仿宋"/>
          <w:sz w:val="32"/>
          <w:szCs w:val="32"/>
        </w:rPr>
      </w:pP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方正仿宋_GB2312">
    <w:altName w:val="方正仿宋_GBK"/>
    <w:panose1 w:val="02000000000000000000"/>
    <w:charset w:val="86"/>
    <w:family w:val="auto"/>
    <w:pitch w:val="default"/>
    <w:sig w:usb0="00000000" w:usb1="00000000" w:usb2="00000012" w:usb3="00000000" w:csb0="00040001" w:csb1="00000000"/>
  </w:font>
  <w:font w:name="Microsoft JhengHei">
    <w:altName w:val="方正书宋_GBK"/>
    <w:panose1 w:val="020B0604030504040204"/>
    <w:charset w:val="88"/>
    <w:family w:val="decorative"/>
    <w:pitch w:val="default"/>
    <w:sig w:usb0="00000000" w:usb1="00000000" w:usb2="00000016" w:usb3="00000000" w:csb0="00100009" w:csb1="00000000"/>
  </w:font>
  <w:font w:name="楷体_GB2312">
    <w:panose1 w:val="02010609030101010101"/>
    <w:charset w:val="86"/>
    <w:family w:val="modern"/>
    <w:pitch w:val="default"/>
    <w:sig w:usb0="00000001" w:usb1="080E0000" w:usb2="00000000" w:usb3="00000000" w:csb0="00040000" w:csb1="00000000"/>
  </w:font>
  <w:font w:name="原版宋体">
    <w:panose1 w:val="02010600030101010101"/>
    <w:charset w:val="86"/>
    <w:family w:val="auto"/>
    <w:pitch w:val="default"/>
    <w:sig w:usb0="00000003" w:usb1="080E0000" w:usb2="00000000" w:usb3="00000000" w:csb0="00040001" w:csb1="00000000"/>
  </w:font>
  <w:font w:name="思源宋体">
    <w:panose1 w:val="02020400000000000000"/>
    <w:charset w:val="86"/>
    <w:family w:val="auto"/>
    <w:pitch w:val="default"/>
    <w:sig w:usb0="30000083" w:usb1="2BDF3C10" w:usb2="00000016" w:usb3="00000000" w:csb0="602E0107" w:csb1="00000000"/>
  </w:font>
  <w:font w:name="Times New Roman Regular">
    <w:altName w:val="DejaVu Sans"/>
    <w:panose1 w:val="00000000000000000000"/>
    <w:charset w:val="00"/>
    <w:family w:val="auto"/>
    <w:pitch w:val="default"/>
    <w:sig w:usb0="00000000" w:usb1="00000000" w:usb2="00000009" w:usb3="00000000" w:csb0="400001FF" w:csb1="FFFF0000"/>
  </w:font>
  <w:font w:name="DejaVu Sans">
    <w:panose1 w:val="020B0603030804020204"/>
    <w:charset w:val="00"/>
    <w:family w:val="auto"/>
    <w:pitch w:val="default"/>
    <w:sig w:usb0="E7006EFF" w:usb1="D200FDFF" w:usb2="0A246029" w:usb3="0400200C" w:csb0="600001FF" w:csb1="DFFF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41FD5">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D39D05E">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D39D05E">
                    <w:pPr>
                      <w:pStyle w:val="7"/>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26745">
    <w:pPr>
      <w:pStyle w:val="8"/>
      <w:pBdr>
        <w:bottom w:val="none" w:color="auto" w:sz="0" w:space="1"/>
      </w:pBdr>
      <w:tabs>
        <w:tab w:val="left" w:pos="7726"/>
      </w:tabs>
      <w:ind w:left="0" w:leftChars="0" w:firstLine="0" w:firstLineChars="0"/>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9C52E2"/>
    <w:multiLevelType w:val="singleLevel"/>
    <w:tmpl w:val="929C52E2"/>
    <w:lvl w:ilvl="0" w:tentative="0">
      <w:start w:val="1"/>
      <w:numFmt w:val="chineseCounting"/>
      <w:suff w:val="nothing"/>
      <w:lvlText w:val="%1、"/>
      <w:lvlJc w:val="left"/>
      <w:rPr>
        <w:rFonts w:hint="eastAsia"/>
      </w:rPr>
    </w:lvl>
  </w:abstractNum>
  <w:abstractNum w:abstractNumId="1">
    <w:nsid w:val="D2C25C5A"/>
    <w:multiLevelType w:val="singleLevel"/>
    <w:tmpl w:val="D2C25C5A"/>
    <w:lvl w:ilvl="0" w:tentative="0">
      <w:start w:val="2"/>
      <w:numFmt w:val="chineseCounting"/>
      <w:suff w:val="nothing"/>
      <w:lvlText w:val="（%1）"/>
      <w:lvlJc w:val="left"/>
      <w:rPr>
        <w:rFonts w:hint="eastAsia"/>
      </w:rPr>
    </w:lvl>
  </w:abstractNum>
  <w:abstractNum w:abstractNumId="2">
    <w:nsid w:val="4DB52FA6"/>
    <w:multiLevelType w:val="singleLevel"/>
    <w:tmpl w:val="4DB52FA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YyZjdlMmUxNzhkN2ZjODI5OWU2MzIyNWJmNDAifQ=="/>
    <w:docVar w:name="KSO_WPS_MARK_KEY" w:val="0ce87876-00ee-4e74-bc41-e96fd55b13f2"/>
  </w:docVars>
  <w:rsids>
    <w:rsidRoot w:val="2A353EDF"/>
    <w:rsid w:val="00520FE1"/>
    <w:rsid w:val="01774A94"/>
    <w:rsid w:val="01A61BE2"/>
    <w:rsid w:val="04304467"/>
    <w:rsid w:val="05E17EB1"/>
    <w:rsid w:val="08501209"/>
    <w:rsid w:val="0A5A1B8E"/>
    <w:rsid w:val="0ACD4CF7"/>
    <w:rsid w:val="0B9C1D1C"/>
    <w:rsid w:val="13F2130A"/>
    <w:rsid w:val="163D3B8F"/>
    <w:rsid w:val="18DE496E"/>
    <w:rsid w:val="1AAF182B"/>
    <w:rsid w:val="1FBF0C15"/>
    <w:rsid w:val="1FF737A9"/>
    <w:rsid w:val="22947F00"/>
    <w:rsid w:val="25BD23B4"/>
    <w:rsid w:val="26EE32EF"/>
    <w:rsid w:val="27B706D3"/>
    <w:rsid w:val="2A353EDF"/>
    <w:rsid w:val="2A3C1092"/>
    <w:rsid w:val="33E53C52"/>
    <w:rsid w:val="39FF3A59"/>
    <w:rsid w:val="3BC44F5A"/>
    <w:rsid w:val="3DDD67A7"/>
    <w:rsid w:val="3F32042D"/>
    <w:rsid w:val="41D81760"/>
    <w:rsid w:val="43354787"/>
    <w:rsid w:val="43BBD0C5"/>
    <w:rsid w:val="485C4020"/>
    <w:rsid w:val="4BA2019B"/>
    <w:rsid w:val="4CD3324F"/>
    <w:rsid w:val="4D37334B"/>
    <w:rsid w:val="4FA42499"/>
    <w:rsid w:val="50F1639A"/>
    <w:rsid w:val="56CB5680"/>
    <w:rsid w:val="59964846"/>
    <w:rsid w:val="5B5B5B3E"/>
    <w:rsid w:val="5BFDF313"/>
    <w:rsid w:val="61362E80"/>
    <w:rsid w:val="6279694D"/>
    <w:rsid w:val="62F14F12"/>
    <w:rsid w:val="692B5F8C"/>
    <w:rsid w:val="6E77DC8B"/>
    <w:rsid w:val="6FF4C358"/>
    <w:rsid w:val="6FFF2ED7"/>
    <w:rsid w:val="706946DD"/>
    <w:rsid w:val="71B65252"/>
    <w:rsid w:val="760B3A5A"/>
    <w:rsid w:val="77BBADEC"/>
    <w:rsid w:val="7B7F02B1"/>
    <w:rsid w:val="7C985FF0"/>
    <w:rsid w:val="7DE60DEC"/>
    <w:rsid w:val="7FA73C88"/>
    <w:rsid w:val="7FFB6307"/>
    <w:rsid w:val="807F5D93"/>
    <w:rsid w:val="96FFE11D"/>
    <w:rsid w:val="B6FA332E"/>
    <w:rsid w:val="B7BF0DA1"/>
    <w:rsid w:val="BBFF61BB"/>
    <w:rsid w:val="BD7BF605"/>
    <w:rsid w:val="D5FF0BCD"/>
    <w:rsid w:val="D65E34E1"/>
    <w:rsid w:val="D7FFA23A"/>
    <w:rsid w:val="DACBD6D1"/>
    <w:rsid w:val="DF7D4503"/>
    <w:rsid w:val="F7D56568"/>
    <w:rsid w:val="FB59FBFC"/>
    <w:rsid w:val="FDCE9F10"/>
    <w:rsid w:val="FDDD8857"/>
    <w:rsid w:val="FDDFF0A1"/>
    <w:rsid w:val="FEFD9963"/>
    <w:rsid w:val="FFB7CF8E"/>
    <w:rsid w:val="FFBEA9CA"/>
    <w:rsid w:val="FFFD0766"/>
    <w:rsid w:val="FFFFF7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Calibri" w:eastAsia="仿宋_GB2312" w:cs="Calibri"/>
      <w:kern w:val="2"/>
      <w:sz w:val="32"/>
      <w:szCs w:val="32"/>
      <w:lang w:val="en-US" w:eastAsia="zh-CN" w:bidi="ar-SA"/>
    </w:rPr>
  </w:style>
  <w:style w:type="paragraph" w:styleId="3">
    <w:name w:val="heading 1"/>
    <w:basedOn w:val="1"/>
    <w:next w:val="1"/>
    <w:qFormat/>
    <w:uiPriority w:val="0"/>
    <w:pPr>
      <w:keepNext/>
      <w:keepLines/>
      <w:outlineLvl w:val="0"/>
    </w:pPr>
    <w:rPr>
      <w:rFonts w:ascii="Times New Roman" w:hAnsi="Times New Roman" w:eastAsia="黑体" w:cs="Times New Roman"/>
      <w:b/>
      <w:bCs/>
      <w:kern w:val="44"/>
      <w:szCs w:val="44"/>
    </w:rPr>
  </w:style>
  <w:style w:type="paragraph" w:styleId="4">
    <w:name w:val="heading 2"/>
    <w:basedOn w:val="1"/>
    <w:next w:val="1"/>
    <w:qFormat/>
    <w:uiPriority w:val="0"/>
    <w:pPr>
      <w:keepNext/>
      <w:keepLines/>
      <w:outlineLvl w:val="1"/>
    </w:pPr>
    <w:rPr>
      <w:rFonts w:ascii="Times New Roman" w:hAnsi="Times New Roman" w:eastAsia="楷体" w:cs="Times New Roman"/>
      <w:b/>
      <w:bCs/>
      <w:szCs w:val="32"/>
    </w:rPr>
  </w:style>
  <w:style w:type="paragraph" w:styleId="2">
    <w:name w:val="heading 3"/>
    <w:basedOn w:val="1"/>
    <w:next w:val="1"/>
    <w:qFormat/>
    <w:uiPriority w:val="0"/>
    <w:pPr>
      <w:keepNext/>
      <w:keepLines/>
      <w:outlineLvl w:val="2"/>
    </w:pPr>
    <w:rPr>
      <w:rFonts w:ascii="Times New Roman" w:hAnsi="Times New Roman" w:eastAsia="楷体" w:cs="Times New Roman"/>
      <w:b/>
      <w:bCs/>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99"/>
    <w:pPr>
      <w:ind w:firstLine="420" w:firstLineChars="200"/>
    </w:pPr>
    <w:rPr>
      <w:szCs w:val="24"/>
    </w:rPr>
  </w:style>
  <w:style w:type="paragraph" w:styleId="6">
    <w:name w:val="Body Text"/>
    <w:basedOn w:val="1"/>
    <w:qFormat/>
    <w:uiPriority w:val="0"/>
    <w:pPr>
      <w:ind w:left="124"/>
    </w:pPr>
    <w:rPr>
      <w:rFonts w:ascii="宋体" w:hAnsi="宋体" w:cs="宋体"/>
      <w:sz w:val="17"/>
      <w:szCs w:val="17"/>
      <w:lang w:val="en-US" w:eastAsia="zh-CN" w:bidi="ar-SA"/>
    </w:rPr>
  </w:style>
  <w:style w:type="paragraph" w:styleId="7">
    <w:name w:val="footer"/>
    <w:basedOn w:val="1"/>
    <w:next w:val="1"/>
    <w:qFormat/>
    <w:uiPriority w:val="0"/>
    <w:pPr>
      <w:tabs>
        <w:tab w:val="center" w:pos="4153"/>
        <w:tab w:val="right" w:pos="8306"/>
      </w:tabs>
      <w:snapToGrid w:val="0"/>
      <w:jc w:val="left"/>
    </w:pPr>
    <w:rPr>
      <w:sz w:val="18"/>
    </w:rPr>
  </w:style>
  <w:style w:type="paragraph" w:styleId="8">
    <w:name w:val="header"/>
    <w:basedOn w:val="1"/>
    <w:next w:val="1"/>
    <w:qFormat/>
    <w:uiPriority w:val="99"/>
    <w:pPr>
      <w:pBdr>
        <w:bottom w:val="single" w:color="auto" w:sz="6" w:space="1"/>
      </w:pBdr>
      <w:tabs>
        <w:tab w:val="center" w:pos="4153"/>
        <w:tab w:val="right" w:pos="8307"/>
      </w:tabs>
      <w:snapToGrid w:val="0"/>
      <w:jc w:val="center"/>
    </w:pPr>
    <w:rPr>
      <w:rFonts w:ascii="Times New Roman" w:hAnsi="Times New Roman" w:eastAsia="宋体" w:cs="Times New Roman"/>
      <w:sz w:val="18"/>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6118</Words>
  <Characters>6653</Characters>
  <Lines>0</Lines>
  <Paragraphs>0</Paragraphs>
  <TotalTime>1</TotalTime>
  <ScaleCrop>false</ScaleCrop>
  <LinksUpToDate>false</LinksUpToDate>
  <CharactersWithSpaces>6712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2023-06-26T19:28:00Z</dcterms:created>
  <dc:creator>Administrator</dc:creator>
  <cp:lastModifiedBy> </cp:lastModifiedBy>
  <cp:lastPrinted>2024-06-21T19:00:00Z</cp:lastPrinted>
  <dcterms:modified xsi:type="dcterms:W3CDTF">2026-10-14T16:33:06Z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9E59FC569BCA4C3FA7F10ABD36BD0DAB_13</vt:lpwstr>
  </property>
  <property fmtid="{D5CDD505-2E9C-101B-9397-08002B2CF9AE}" pid="4" name="KSOTemplateDocerSaveRecord">
    <vt:lpwstr>eyJoZGlkIjoiYjM5NzZjMmEwMGYyYzY2NDEwMzNiZjQwNjE0ODEwMDEiLCJ1c2VySWQiOiIyNTkwOTQyNDIifQ==</vt:lpwstr>
  </property>
</Properties>
</file>