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CESI黑体-GB2312" w:hAnsi="CESI黑体-GB2312" w:eastAsia="CESI黑体-GB2312" w:cs="CESI黑体-GB2312"/>
          <w:b/>
          <w:bCs/>
          <w:sz w:val="36"/>
          <w:szCs w:val="36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-6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pacing w:val="-6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CESI仿宋-GB2312" w:hAnsi="CESI仿宋-GB2312" w:eastAsia="CESI仿宋-GB2312" w:cs="CESI仿宋-GB2312"/>
          <w:sz w:val="40"/>
          <w:szCs w:val="40"/>
        </w:rPr>
      </w:pPr>
      <w:r>
        <w:rPr>
          <w:rFonts w:hint="eastAsia" w:ascii="CESI小标宋-GB2312" w:hAnsi="CESI小标宋-GB2312" w:eastAsia="CESI小标宋-GB2312" w:cs="CESI小标宋-GB2312"/>
          <w:sz w:val="40"/>
          <w:szCs w:val="40"/>
          <w:lang w:eastAsia="zh-CN"/>
        </w:rPr>
        <w:t>潜江市财政局</w:t>
      </w:r>
      <w:r>
        <w:rPr>
          <w:rFonts w:hint="eastAsia" w:ascii="CESI小标宋-GB2312" w:hAnsi="CESI小标宋-GB2312" w:eastAsia="CESI小标宋-GB2312" w:cs="CESI小标宋-GB2312"/>
          <w:sz w:val="40"/>
          <w:szCs w:val="40"/>
          <w:lang w:val="en-US" w:eastAsia="zh-CN"/>
        </w:rPr>
        <w:t>2023</w:t>
      </w:r>
      <w:r>
        <w:rPr>
          <w:rFonts w:hint="eastAsia" w:ascii="CESI小标宋-GB2312" w:hAnsi="CESI小标宋-GB2312" w:eastAsia="CESI小标宋-GB2312" w:cs="CESI小标宋-GB2312"/>
          <w:sz w:val="40"/>
          <w:szCs w:val="40"/>
        </w:rPr>
        <w:t>年度行政执法统计年报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2312" w:hAnsi="CESI仿宋-GB2312" w:eastAsia="CESI仿宋-GB2312" w:cs="CESI仿宋-GB2312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sz w:val="16"/>
          <w:szCs w:val="16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年行政处罚实施情况统计表</w:t>
      </w:r>
    </w:p>
    <w:tbl>
      <w:tblPr>
        <w:tblStyle w:val="3"/>
        <w:tblW w:w="84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937"/>
        <w:gridCol w:w="878"/>
        <w:gridCol w:w="952"/>
        <w:gridCol w:w="1065"/>
        <w:gridCol w:w="795"/>
        <w:gridCol w:w="885"/>
        <w:gridCol w:w="885"/>
        <w:gridCol w:w="1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8416" w:type="dxa"/>
            <w:gridSpan w:val="9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3082"/>
              </w:tabs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行政处罚实施数量（宗）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  <w:jc w:val="center"/>
        </w:trPr>
        <w:tc>
          <w:tcPr>
            <w:tcW w:w="751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Style w:val="5"/>
                <w:rFonts w:hint="default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单位</w:t>
            </w:r>
            <w:r>
              <w:rPr>
                <w:rStyle w:val="5"/>
                <w:rFonts w:hint="default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名称</w:t>
            </w:r>
          </w:p>
        </w:tc>
        <w:tc>
          <w:tcPr>
            <w:tcW w:w="93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警告</w:t>
            </w:r>
          </w:p>
        </w:tc>
        <w:tc>
          <w:tcPr>
            <w:tcW w:w="87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通报批评</w:t>
            </w:r>
          </w:p>
        </w:tc>
        <w:tc>
          <w:tcPr>
            <w:tcW w:w="952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罚款</w:t>
            </w:r>
          </w:p>
        </w:tc>
        <w:tc>
          <w:tcPr>
            <w:tcW w:w="106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没收违法所得</w:t>
            </w:r>
          </w:p>
        </w:tc>
        <w:tc>
          <w:tcPr>
            <w:tcW w:w="79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没收非法财物</w:t>
            </w: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暂扣许可证件</w:t>
            </w: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降低资质等级</w:t>
            </w:r>
          </w:p>
        </w:tc>
        <w:tc>
          <w:tcPr>
            <w:tcW w:w="126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Fonts w:hint="default" w:ascii="CESI黑体-GB2312" w:hAnsi="CESI黑体-GB2312" w:eastAsia="CESI黑体-GB2312" w:cs="CESI黑体-GB2312"/>
                <w:bCs/>
                <w:szCs w:val="24"/>
              </w:rPr>
              <w:t>吊销许可证件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751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eastAsia="zh-CN"/>
              </w:rPr>
              <w:t>潜江市财政局</w:t>
            </w:r>
          </w:p>
        </w:tc>
        <w:tc>
          <w:tcPr>
            <w:tcW w:w="93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  <w:lang w:eastAsia="zh-CN"/>
              </w:rPr>
            </w:pPr>
          </w:p>
        </w:tc>
        <w:tc>
          <w:tcPr>
            <w:tcW w:w="87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</w:p>
        </w:tc>
        <w:tc>
          <w:tcPr>
            <w:tcW w:w="952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</w:p>
        </w:tc>
        <w:tc>
          <w:tcPr>
            <w:tcW w:w="106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</w:p>
        </w:tc>
        <w:tc>
          <w:tcPr>
            <w:tcW w:w="79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</w:p>
        </w:tc>
        <w:tc>
          <w:tcPr>
            <w:tcW w:w="126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751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</w:rPr>
            </w:pPr>
          </w:p>
        </w:tc>
        <w:tc>
          <w:tcPr>
            <w:tcW w:w="93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Cs w:val="24"/>
              </w:rPr>
              <w:t>限制开展生产经营活动</w:t>
            </w:r>
          </w:p>
        </w:tc>
        <w:tc>
          <w:tcPr>
            <w:tcW w:w="87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Cs w:val="24"/>
              </w:rPr>
              <w:t>责令停产停业</w:t>
            </w:r>
          </w:p>
        </w:tc>
        <w:tc>
          <w:tcPr>
            <w:tcW w:w="952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责令关闭</w:t>
            </w:r>
          </w:p>
        </w:tc>
        <w:tc>
          <w:tcPr>
            <w:tcW w:w="106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限制从业</w:t>
            </w:r>
          </w:p>
        </w:tc>
        <w:tc>
          <w:tcPr>
            <w:tcW w:w="79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行政拘留</w:t>
            </w: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其他行政处罚</w:t>
            </w:r>
          </w:p>
        </w:tc>
        <w:tc>
          <w:tcPr>
            <w:tcW w:w="88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合计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（宗）</w:t>
            </w:r>
          </w:p>
        </w:tc>
        <w:tc>
          <w:tcPr>
            <w:tcW w:w="126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szCs w:val="24"/>
              </w:rPr>
              <w:t>罚没金额（万元）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751" w:type="dxa"/>
            <w:vMerge w:val="continue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</w:rPr>
            </w:pPr>
          </w:p>
        </w:tc>
        <w:tc>
          <w:tcPr>
            <w:tcW w:w="937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  <w:lang w:eastAsia="zh-CN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</w:p>
        </w:tc>
        <w:tc>
          <w:tcPr>
            <w:tcW w:w="952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</w:p>
        </w:tc>
        <w:tc>
          <w:tcPr>
            <w:tcW w:w="1065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  <w:tc>
          <w:tcPr>
            <w:tcW w:w="1268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00" w:lineRule="exact"/>
        <w:ind w:firstLine="462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sz w:val="23"/>
          <w:szCs w:val="23"/>
        </w:rPr>
      </w:pPr>
      <w:r>
        <w:rPr>
          <w:rFonts w:hint="eastAsia" w:ascii="仿宋_GB2312" w:hAnsi="仿宋_GB2312" w:eastAsia="仿宋_GB2312" w:cs="仿宋_GB2312"/>
          <w:b/>
          <w:bCs/>
          <w:sz w:val="23"/>
          <w:szCs w:val="23"/>
        </w:rPr>
        <w:t>说明：</w:t>
      </w:r>
      <w:r>
        <w:rPr>
          <w:rFonts w:hint="eastAsia" w:ascii="仿宋_GB2312" w:hAnsi="仿宋_GB2312" w:eastAsia="仿宋_GB2312" w:cs="仿宋_GB2312"/>
          <w:sz w:val="23"/>
          <w:szCs w:val="23"/>
        </w:rPr>
        <w:t>1.行政处罚实施数量的统计范围为统计年度1月1日至12月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作出行政处罚决定的数量。2.单处一个类别行政处罚的，计入相应的行政处罚类别；并处两种以上行政处罚的，算一宗行政处罚，计入表格排序在后的行政处罚类别。如“没收违法所得，并处罚款”，计入“没收违法所得”类别；并处明确类别的行政处罚和其他行政处罚的，计入明确类别的行政处罚，如“处罚款，并处其他行政处罚”，计入“罚款”类别。行政处罚类别表格排序：（1）警告；（2）通报批评；（3）罚款；（4）没收违法所得；（5）没收非法财物；（6）暂扣许可证件；（7）降低资质等级；（8）吊销许可证件；（9）限制开展生产经营活动；（10）责令停产停业；（11）责令关闭；（12）限制从业；（13）行政拘留；（14）其他行政处罚。3.“没收非法财物”能通过评估、拍卖等手段确定金额的，计入“罚没金额”；不能确定金额的，不计入“罚没金额”。4.“罚没金额”以处罚决定书确定的金额为准。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8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8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8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8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8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8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8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16"/>
          <w:szCs w:val="16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年行政许可实施情况统计表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7"/>
        <w:gridCol w:w="1543"/>
        <w:gridCol w:w="1599"/>
        <w:gridCol w:w="1545"/>
        <w:gridCol w:w="1494"/>
        <w:gridCol w:w="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956" w:type="dxa"/>
            <w:gridSpan w:val="6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行政许可实施数量（宗）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32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单位</w:t>
            </w:r>
            <w:r>
              <w:rPr>
                <w:rStyle w:val="5"/>
                <w:rFonts w:hint="default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名称</w:t>
            </w:r>
          </w:p>
        </w:tc>
        <w:tc>
          <w:tcPr>
            <w:tcW w:w="154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申请数量</w:t>
            </w:r>
          </w:p>
        </w:tc>
        <w:tc>
          <w:tcPr>
            <w:tcW w:w="1599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受理数量</w:t>
            </w:r>
          </w:p>
        </w:tc>
        <w:tc>
          <w:tcPr>
            <w:tcW w:w="154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许可数量</w:t>
            </w:r>
          </w:p>
        </w:tc>
        <w:tc>
          <w:tcPr>
            <w:tcW w:w="1494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不予许可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数量</w:t>
            </w:r>
          </w:p>
        </w:tc>
        <w:tc>
          <w:tcPr>
            <w:tcW w:w="144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撤销许可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327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eastAsia="zh-CN"/>
              </w:rPr>
              <w:t>潜江市财政局</w:t>
            </w:r>
          </w:p>
        </w:tc>
        <w:tc>
          <w:tcPr>
            <w:tcW w:w="154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599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545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494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448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6"/>
                <w:szCs w:val="16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2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b/>
          <w:bCs/>
          <w:sz w:val="23"/>
          <w:szCs w:val="23"/>
        </w:rPr>
        <w:t>说明：</w:t>
      </w:r>
      <w:r>
        <w:rPr>
          <w:rFonts w:hint="eastAsia" w:ascii="仿宋_GB2312" w:hAnsi="仿宋_GB2312" w:eastAsia="仿宋_GB2312" w:cs="仿宋_GB2312"/>
          <w:sz w:val="23"/>
          <w:szCs w:val="23"/>
        </w:rPr>
        <w:t>1.“申请数量”的统计范围为统计年度1月1日至12月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期间许可机关收到当事人许可申请的数量。2.“受理数量</w:t>
      </w:r>
      <w:r>
        <w:rPr>
          <w:rFonts w:hint="eastAsia" w:ascii="仿宋_GB2312" w:hAnsi="仿宋_GB2312" w:eastAsia="仿宋_GB2312" w:cs="仿宋_GB2312"/>
          <w:sz w:val="23"/>
          <w:szCs w:val="23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3"/>
          <w:szCs w:val="23"/>
        </w:rPr>
        <w:t>许可数量</w:t>
      </w:r>
      <w:r>
        <w:rPr>
          <w:rFonts w:hint="eastAsia" w:ascii="仿宋_GB2312" w:hAnsi="仿宋_GB2312" w:eastAsia="仿宋_GB2312" w:cs="仿宋_GB2312"/>
          <w:sz w:val="23"/>
          <w:szCs w:val="23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3"/>
          <w:szCs w:val="23"/>
        </w:rPr>
        <w:t>不予许可数量</w:t>
      </w:r>
      <w:r>
        <w:rPr>
          <w:rFonts w:hint="eastAsia" w:ascii="仿宋_GB2312" w:hAnsi="仿宋_GB2312" w:eastAsia="仿宋_GB2312" w:cs="仿宋_GB2312"/>
          <w:sz w:val="23"/>
          <w:szCs w:val="23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3"/>
          <w:szCs w:val="23"/>
        </w:rPr>
        <w:t>撤销许可数量”的统计范围为统计年度1月1日至12月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期间许可机关作出受理决定、许可决定、不予许可决定和撤销许可决定的数量。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0" w:lineRule="exact"/>
        <w:ind w:firstLine="460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8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16"/>
          <w:szCs w:val="16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年行政强制实施情况统计表</w:t>
      </w:r>
      <w:r>
        <w:rPr>
          <w:rStyle w:val="5"/>
          <w:rFonts w:hint="eastAsia" w:ascii="楷体" w:hAnsi="楷体" w:eastAsia="楷体" w:cs="楷体"/>
          <w:b w:val="0"/>
          <w:bCs w:val="0"/>
          <w:sz w:val="16"/>
          <w:szCs w:val="16"/>
        </w:rPr>
        <w:t> </w:t>
      </w:r>
    </w:p>
    <w:tbl>
      <w:tblPr>
        <w:tblStyle w:val="3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711"/>
        <w:gridCol w:w="656"/>
        <w:gridCol w:w="699"/>
        <w:gridCol w:w="697"/>
        <w:gridCol w:w="589"/>
        <w:gridCol w:w="740"/>
        <w:gridCol w:w="958"/>
        <w:gridCol w:w="753"/>
        <w:gridCol w:w="425"/>
        <w:gridCol w:w="540"/>
        <w:gridCol w:w="534"/>
        <w:gridCol w:w="12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551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单位</w:t>
            </w:r>
            <w:r>
              <w:rPr>
                <w:rStyle w:val="5"/>
                <w:rFonts w:hint="default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名称</w:t>
            </w:r>
          </w:p>
        </w:tc>
        <w:tc>
          <w:tcPr>
            <w:tcW w:w="2728" w:type="dxa"/>
            <w:gridSpan w:val="4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行政强制措施实施数量（宗）</w:t>
            </w:r>
          </w:p>
        </w:tc>
        <w:tc>
          <w:tcPr>
            <w:tcW w:w="4481" w:type="dxa"/>
            <w:gridSpan w:val="7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行政强制执行实施数量（宗）</w:t>
            </w:r>
          </w:p>
        </w:tc>
        <w:tc>
          <w:tcPr>
            <w:tcW w:w="1196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合计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551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查封场所、设施或者财物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</w:p>
        </w:tc>
        <w:tc>
          <w:tcPr>
            <w:tcW w:w="648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扣押财物</w:t>
            </w:r>
          </w:p>
        </w:tc>
        <w:tc>
          <w:tcPr>
            <w:tcW w:w="690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冻结存款、汇款</w:t>
            </w:r>
          </w:p>
        </w:tc>
        <w:tc>
          <w:tcPr>
            <w:tcW w:w="688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其他行政强制措施</w:t>
            </w:r>
          </w:p>
        </w:tc>
        <w:tc>
          <w:tcPr>
            <w:tcW w:w="3954" w:type="dxa"/>
            <w:gridSpan w:val="6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行政机关强制执行</w:t>
            </w:r>
          </w:p>
        </w:tc>
        <w:tc>
          <w:tcPr>
            <w:tcW w:w="527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申请法院强制执行</w:t>
            </w:r>
          </w:p>
        </w:tc>
        <w:tc>
          <w:tcPr>
            <w:tcW w:w="1196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551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581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加处罚款或者滞纳金</w:t>
            </w:r>
          </w:p>
        </w:tc>
        <w:tc>
          <w:tcPr>
            <w:tcW w:w="731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划拨存款、汇款</w:t>
            </w:r>
          </w:p>
        </w:tc>
        <w:tc>
          <w:tcPr>
            <w:tcW w:w="946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拍卖或者依法处理查封、扣押的场所、设施或者财物</w:t>
            </w:r>
          </w:p>
        </w:tc>
        <w:tc>
          <w:tcPr>
            <w:tcW w:w="74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排除妨碍、恢复原状</w:t>
            </w:r>
          </w:p>
        </w:tc>
        <w:tc>
          <w:tcPr>
            <w:tcW w:w="420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代履行</w:t>
            </w:r>
          </w:p>
        </w:tc>
        <w:tc>
          <w:tcPr>
            <w:tcW w:w="53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其他强制执行</w:t>
            </w:r>
          </w:p>
        </w:tc>
        <w:tc>
          <w:tcPr>
            <w:tcW w:w="527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jc w:val="center"/>
        </w:trPr>
        <w:tc>
          <w:tcPr>
            <w:tcW w:w="551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eastAsia="zh-CN"/>
              </w:rPr>
              <w:t>潜江市财政局</w:t>
            </w:r>
          </w:p>
        </w:tc>
        <w:tc>
          <w:tcPr>
            <w:tcW w:w="702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</w:p>
        </w:tc>
        <w:tc>
          <w:tcPr>
            <w:tcW w:w="648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</w:p>
        </w:tc>
        <w:tc>
          <w:tcPr>
            <w:tcW w:w="690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</w:p>
        </w:tc>
        <w:tc>
          <w:tcPr>
            <w:tcW w:w="581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</w:p>
        </w:tc>
        <w:tc>
          <w:tcPr>
            <w:tcW w:w="731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</w:p>
        </w:tc>
        <w:tc>
          <w:tcPr>
            <w:tcW w:w="946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</w:p>
        </w:tc>
        <w:tc>
          <w:tcPr>
            <w:tcW w:w="74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</w:p>
        </w:tc>
        <w:tc>
          <w:tcPr>
            <w:tcW w:w="420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</w:p>
        </w:tc>
        <w:tc>
          <w:tcPr>
            <w:tcW w:w="53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</w:p>
        </w:tc>
        <w:tc>
          <w:tcPr>
            <w:tcW w:w="1196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3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80" w:lineRule="exact"/>
        <w:ind w:firstLine="462" w:firstLineChars="200"/>
        <w:jc w:val="both"/>
        <w:textAlignment w:val="auto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b/>
          <w:bCs/>
          <w:sz w:val="23"/>
          <w:szCs w:val="23"/>
        </w:rPr>
        <w:t>说明：</w:t>
      </w:r>
      <w:r>
        <w:rPr>
          <w:rFonts w:hint="eastAsia" w:ascii="仿宋_GB2312" w:hAnsi="仿宋_GB2312" w:eastAsia="仿宋_GB2312" w:cs="仿宋_GB2312"/>
          <w:sz w:val="23"/>
          <w:szCs w:val="23"/>
        </w:rPr>
        <w:t>1.“行政强制措施实施数量”的统计范围为统计年度1月1日至12月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期间作出的表格所列各类行政强制措施决定的数量。2.“行政强制执行实施数量” 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期间表格所列各类行政强制执行行为执行完毕或者终结执行的数量。3.“申请法院强制执行”数量的统计范围为统计年度1月1日至12月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期间向法院申请强制执行的数量，时间以申请日期为准。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8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8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8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8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8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8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8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8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368" w:lineRule="atLeas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16"/>
          <w:szCs w:val="16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（四）202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年其他行政执法行为实施情况统计表</w:t>
      </w:r>
    </w:p>
    <w:tbl>
      <w:tblPr>
        <w:tblStyle w:val="3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523"/>
        <w:gridCol w:w="713"/>
        <w:gridCol w:w="720"/>
        <w:gridCol w:w="656"/>
        <w:gridCol w:w="842"/>
        <w:gridCol w:w="666"/>
        <w:gridCol w:w="766"/>
        <w:gridCol w:w="693"/>
        <w:gridCol w:w="583"/>
        <w:gridCol w:w="754"/>
        <w:gridCol w:w="959"/>
        <w:gridCol w:w="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4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单位</w:t>
            </w:r>
            <w:r>
              <w:rPr>
                <w:rStyle w:val="5"/>
                <w:rFonts w:hint="default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名称</w:t>
            </w:r>
          </w:p>
        </w:tc>
        <w:tc>
          <w:tcPr>
            <w:tcW w:w="1236" w:type="dxa"/>
            <w:gridSpan w:val="2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行政征收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行政检查</w:t>
            </w:r>
          </w:p>
        </w:tc>
        <w:tc>
          <w:tcPr>
            <w:tcW w:w="1498" w:type="dxa"/>
            <w:gridSpan w:val="2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行政裁决</w:t>
            </w:r>
          </w:p>
        </w:tc>
        <w:tc>
          <w:tcPr>
            <w:tcW w:w="1432" w:type="dxa"/>
            <w:gridSpan w:val="2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行政给付</w:t>
            </w:r>
          </w:p>
        </w:tc>
        <w:tc>
          <w:tcPr>
            <w:tcW w:w="693" w:type="dxa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行政确认</w:t>
            </w:r>
          </w:p>
        </w:tc>
        <w:tc>
          <w:tcPr>
            <w:tcW w:w="1337" w:type="dxa"/>
            <w:gridSpan w:val="2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行政奖励</w:t>
            </w:r>
          </w:p>
        </w:tc>
        <w:tc>
          <w:tcPr>
            <w:tcW w:w="959" w:type="dxa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其他行政执法行为</w:t>
            </w:r>
          </w:p>
        </w:tc>
        <w:tc>
          <w:tcPr>
            <w:tcW w:w="663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合计</w:t>
            </w: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pacing w:val="-16"/>
                <w:w w:val="96"/>
                <w:sz w:val="21"/>
                <w:szCs w:val="24"/>
              </w:rPr>
              <w:t>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4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4"/>
                <w:szCs w:val="24"/>
              </w:rPr>
            </w:pPr>
          </w:p>
        </w:tc>
        <w:tc>
          <w:tcPr>
            <w:tcW w:w="52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宗数</w:t>
            </w:r>
          </w:p>
        </w:tc>
        <w:tc>
          <w:tcPr>
            <w:tcW w:w="71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征收总金额（万元）</w:t>
            </w:r>
          </w:p>
        </w:tc>
        <w:tc>
          <w:tcPr>
            <w:tcW w:w="720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数</w:t>
            </w:r>
          </w:p>
        </w:tc>
        <w:tc>
          <w:tcPr>
            <w:tcW w:w="656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数</w:t>
            </w:r>
          </w:p>
        </w:tc>
        <w:tc>
          <w:tcPr>
            <w:tcW w:w="842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涉及金额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（万元）</w:t>
            </w:r>
          </w:p>
        </w:tc>
        <w:tc>
          <w:tcPr>
            <w:tcW w:w="666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数</w:t>
            </w:r>
          </w:p>
        </w:tc>
        <w:tc>
          <w:tcPr>
            <w:tcW w:w="766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给付总金额（万元）</w:t>
            </w:r>
          </w:p>
        </w:tc>
        <w:tc>
          <w:tcPr>
            <w:tcW w:w="69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数</w:t>
            </w:r>
          </w:p>
        </w:tc>
        <w:tc>
          <w:tcPr>
            <w:tcW w:w="58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宗数</w:t>
            </w:r>
          </w:p>
        </w:tc>
        <w:tc>
          <w:tcPr>
            <w:tcW w:w="754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奖励总金额（万元）</w:t>
            </w:r>
          </w:p>
        </w:tc>
        <w:tc>
          <w:tcPr>
            <w:tcW w:w="959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宗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Cs/>
                <w:szCs w:val="24"/>
              </w:rPr>
            </w:pPr>
            <w:r>
              <w:rPr>
                <w:rStyle w:val="5"/>
                <w:rFonts w:hint="eastAsia" w:ascii="CESI黑体-GB2312" w:hAnsi="CESI黑体-GB2312" w:eastAsia="CESI黑体-GB2312" w:cs="CESI黑体-GB2312"/>
                <w:b w:val="0"/>
                <w:bCs/>
                <w:sz w:val="21"/>
                <w:szCs w:val="24"/>
              </w:rPr>
              <w:t>数</w:t>
            </w:r>
          </w:p>
        </w:tc>
        <w:tc>
          <w:tcPr>
            <w:tcW w:w="663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534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eastAsia="zh-CN"/>
              </w:rPr>
              <w:t>潜江市财政局</w:t>
            </w:r>
          </w:p>
        </w:tc>
        <w:tc>
          <w:tcPr>
            <w:tcW w:w="52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39</w:t>
            </w:r>
          </w:p>
        </w:tc>
        <w:tc>
          <w:tcPr>
            <w:tcW w:w="656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842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666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766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69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1</w:t>
            </w:r>
          </w:p>
        </w:tc>
        <w:tc>
          <w:tcPr>
            <w:tcW w:w="58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754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959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Cs w:val="24"/>
              </w:rPr>
            </w:pPr>
          </w:p>
        </w:tc>
        <w:tc>
          <w:tcPr>
            <w:tcW w:w="663" w:type="dxa"/>
            <w:tcBorders>
              <w:bottom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Cs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Cs w:val="24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140" w:lineRule="exact"/>
        <w:ind w:firstLine="420" w:firstLineChars="200"/>
        <w:textAlignment w:val="auto"/>
        <w:rPr>
          <w:rFonts w:hint="eastAsia" w:ascii="CESI仿宋-GB2312" w:hAnsi="CESI仿宋-GB2312" w:eastAsia="CESI仿宋-GB2312" w:cs="CESI仿宋-GB2312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exact"/>
        <w:ind w:firstLine="462" w:firstLineChars="200"/>
        <w:textAlignment w:val="auto"/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3"/>
          <w:szCs w:val="23"/>
        </w:rPr>
        <w:t>说明：</w:t>
      </w:r>
      <w:r>
        <w:rPr>
          <w:rFonts w:hint="eastAsia" w:ascii="仿宋_GB2312" w:hAnsi="仿宋_GB2312" w:eastAsia="仿宋_GB2312" w:cs="仿宋_GB2312"/>
          <w:sz w:val="23"/>
          <w:szCs w:val="23"/>
        </w:rPr>
        <w:t>1.“行政征收次数”的统计范围为统计年度1月1日至12月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期间征收完毕的数量。2.“行政检查次数”的统计范围为统计年度1月1日至12月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开展行政检查的次数；检查1个检查对象，有完整、详细检查记录的，计为检查1次；无特定检查对象的巡查、巡逻，无完整、详细检查记录，检查后作出行政处罚等其他行政执法行为的，均不计为检查次数。3.“行政裁决宗数</w:t>
      </w:r>
      <w:r>
        <w:rPr>
          <w:rFonts w:hint="eastAsia" w:ascii="仿宋_GB2312" w:hAnsi="仿宋_GB2312" w:eastAsia="仿宋_GB2312" w:cs="仿宋_GB2312"/>
          <w:sz w:val="23"/>
          <w:szCs w:val="23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3"/>
          <w:szCs w:val="23"/>
        </w:rPr>
        <w:t>行政确认宗数</w:t>
      </w:r>
      <w:r>
        <w:rPr>
          <w:rFonts w:hint="eastAsia" w:ascii="仿宋_GB2312" w:hAnsi="仿宋_GB2312" w:eastAsia="仿宋_GB2312" w:cs="仿宋_GB2312"/>
          <w:sz w:val="23"/>
          <w:szCs w:val="23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3"/>
          <w:szCs w:val="23"/>
        </w:rPr>
        <w:t>行政奖励宗数”的统计范围为统计年度1月1日至12月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期间作出决定的数量。4.“行政给付宗数”的统计范围为统计年度1月1日至12月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期间给付完毕的数量。5.“其他行政执法行为”的统计范围为统计年度1月1日至12月</w:t>
      </w:r>
      <w:r>
        <w:rPr>
          <w:rFonts w:hint="eastAsia" w:ascii="仿宋_GB2312" w:hAnsi="仿宋_GB2312" w:eastAsia="仿宋_GB2312" w:cs="仿宋_GB2312"/>
          <w:sz w:val="23"/>
          <w:szCs w:val="23"/>
          <w:lang w:val="en-US" w:eastAsia="zh-CN"/>
        </w:rPr>
        <w:t>31日</w:t>
      </w:r>
      <w:r>
        <w:rPr>
          <w:rFonts w:hint="eastAsia" w:ascii="仿宋_GB2312" w:hAnsi="仿宋_GB2312" w:eastAsia="仿宋_GB2312" w:cs="仿宋_GB2312"/>
          <w:sz w:val="23"/>
          <w:szCs w:val="23"/>
        </w:rPr>
        <w:t>期间完成的宗数。</w:t>
      </w:r>
    </w:p>
    <w:sectPr>
      <w:pgSz w:w="11906" w:h="16838"/>
      <w:pgMar w:top="1440" w:right="1418" w:bottom="1440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NjNlYmNjZTJhOWViMDk4NzBhOTM1ZWMyZGQ3OTAifQ=="/>
  </w:docVars>
  <w:rsids>
    <w:rsidRoot w:val="69EE6D84"/>
    <w:rsid w:val="2321658E"/>
    <w:rsid w:val="5C0079DE"/>
    <w:rsid w:val="69E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autoRedefine/>
    <w:qFormat/>
    <w:uiPriority w:val="99"/>
    <w:pPr>
      <w:widowControl w:val="0"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2"/>
    </w:rPr>
  </w:style>
  <w:style w:type="character" w:styleId="5">
    <w:name w:val="Strong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2023-12-22T08:14:00Z</dcterms:created>
  <dc:creator>半夏</dc:creator>
  <cp:lastModifiedBy>Administrator</cp:lastModifiedBy>
  <cp:lastPrinted>2024-01-02T02:46:04Z</cp:lastPrinted>
  <dcterms:modified xsi:type="dcterms:W3CDTF">2024-01-02T02:46:22Z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879BD262653D4EEE9978FFDBB4D4B5AF_13</vt:lpwstr>
  </property>
</Properties>
</file>