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3B225">
      <w:pPr>
        <w:keepNext w:val="0"/>
        <w:keepLines w:val="0"/>
        <w:pageBreakBefore w:val="0"/>
        <w:widowControl/>
        <w:kinsoku/>
        <w:wordWrap/>
        <w:overflowPunct/>
        <w:topLinePunct w:val="0"/>
        <w:autoSpaceDE w:val="0"/>
        <w:autoSpaceDN w:val="0"/>
        <w:bidi w:val="0"/>
        <w:adjustRightInd w:val="0"/>
        <w:snapToGrid w:val="0"/>
        <w:spacing w:line="600" w:lineRule="exact"/>
        <w:ind w:right="0"/>
        <w:jc w:val="left"/>
        <w:textAlignment w:val="baseline"/>
        <w:rPr>
          <w:rFonts w:hint="eastAsia" w:ascii="方正小标宋简体" w:hAnsi="方正小标宋简体" w:eastAsia="方正小标宋简体" w:cs="方正小标宋简体"/>
          <w:spacing w:val="8"/>
          <w:sz w:val="44"/>
          <w:szCs w:val="44"/>
          <w:lang w:val="en-US" w:eastAsia="zh-CN"/>
        </w:rPr>
      </w:pPr>
    </w:p>
    <w:p w14:paraId="15C3B0C1">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8"/>
          <w:sz w:val="42"/>
          <w:szCs w:val="42"/>
          <w:lang w:val="en-US" w:eastAsia="zh-CN"/>
        </w:rPr>
      </w:pPr>
      <w:r>
        <w:rPr>
          <w:rFonts w:hint="eastAsia" w:ascii="方正小标宋简体" w:hAnsi="方正小标宋简体" w:eastAsia="方正小标宋简体" w:cs="方正小标宋简体"/>
          <w:spacing w:val="8"/>
          <w:sz w:val="42"/>
          <w:szCs w:val="42"/>
          <w:lang w:val="en-US" w:eastAsia="zh-CN"/>
        </w:rPr>
        <w:t>潜江市行政事业单位国有资产配置管理办法</w:t>
      </w:r>
    </w:p>
    <w:p w14:paraId="0B62CEC8">
      <w:pPr>
        <w:spacing w:line="242" w:lineRule="auto"/>
        <w:rPr>
          <w:rFonts w:ascii="Arial"/>
          <w:sz w:val="21"/>
        </w:rPr>
      </w:pPr>
    </w:p>
    <w:p w14:paraId="01123031">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2"/>
          <w:szCs w:val="42"/>
          <w:lang w:eastAsia="zh-CN"/>
        </w:rPr>
      </w:pPr>
      <w:r>
        <w:rPr>
          <w:rFonts w:hint="eastAsia" w:ascii="方正小标宋简体" w:hAnsi="方正小标宋简体" w:eastAsia="方正小标宋简体" w:cs="方正小标宋简体"/>
          <w:spacing w:val="9"/>
          <w:sz w:val="42"/>
          <w:szCs w:val="42"/>
          <w:lang w:eastAsia="zh-CN"/>
        </w:rPr>
        <w:t>（</w:t>
      </w:r>
      <w:r>
        <w:rPr>
          <w:rFonts w:hint="eastAsia" w:ascii="方正小标宋简体" w:hAnsi="方正小标宋简体" w:eastAsia="方正小标宋简体" w:cs="方正小标宋简体"/>
          <w:spacing w:val="9"/>
          <w:sz w:val="42"/>
          <w:szCs w:val="42"/>
          <w:lang w:val="en-US" w:eastAsia="zh-CN"/>
        </w:rPr>
        <w:t>征求意见稿</w:t>
      </w:r>
      <w:r>
        <w:rPr>
          <w:rFonts w:hint="eastAsia" w:ascii="方正小标宋简体" w:hAnsi="方正小标宋简体" w:eastAsia="方正小标宋简体" w:cs="方正小标宋简体"/>
          <w:spacing w:val="9"/>
          <w:sz w:val="42"/>
          <w:szCs w:val="42"/>
          <w:lang w:eastAsia="zh-CN"/>
        </w:rPr>
        <w:t>）</w:t>
      </w:r>
    </w:p>
    <w:p w14:paraId="1E23DF61">
      <w:pPr>
        <w:keepNext w:val="0"/>
        <w:keepLines w:val="0"/>
        <w:pageBreakBefore w:val="0"/>
        <w:widowControl/>
        <w:kinsoku/>
        <w:wordWrap/>
        <w:overflowPunct/>
        <w:topLinePunct w:val="0"/>
        <w:autoSpaceDE w:val="0"/>
        <w:autoSpaceDN w:val="0"/>
        <w:bidi w:val="0"/>
        <w:adjustRightInd w:val="0"/>
        <w:snapToGrid w:val="0"/>
        <w:spacing w:line="600" w:lineRule="exact"/>
        <w:ind w:right="0"/>
        <w:jc w:val="center"/>
        <w:textAlignment w:val="baseline"/>
        <w:rPr>
          <w:rFonts w:hint="eastAsia" w:ascii="方正小标宋简体" w:hAnsi="方正小标宋简体" w:eastAsia="方正小标宋简体" w:cs="方正小标宋简体"/>
          <w:spacing w:val="9"/>
          <w:sz w:val="42"/>
          <w:szCs w:val="42"/>
          <w:lang w:eastAsia="zh-CN"/>
        </w:rPr>
      </w:pPr>
    </w:p>
    <w:p w14:paraId="66C22954">
      <w:pPr>
        <w:keepNext w:val="0"/>
        <w:keepLines w:val="0"/>
        <w:pageBreakBefore w:val="0"/>
        <w:wordWrap/>
        <w:overflowPunct/>
        <w:topLinePunct w:val="0"/>
        <w:bidi w:val="0"/>
        <w:spacing w:line="600" w:lineRule="exact"/>
        <w:ind w:left="0"/>
        <w:jc w:val="center"/>
        <w:outlineLvl w:val="0"/>
        <w:rPr>
          <w:rFonts w:ascii="黑体" w:hAnsi="黑体" w:eastAsia="黑体" w:cs="黑体"/>
          <w:sz w:val="31"/>
          <w:szCs w:val="31"/>
        </w:rPr>
      </w:pPr>
      <w:r>
        <w:rPr>
          <w:rFonts w:ascii="黑体" w:hAnsi="黑体" w:eastAsia="黑体" w:cs="黑体"/>
          <w:spacing w:val="1"/>
          <w:sz w:val="31"/>
          <w:szCs w:val="31"/>
        </w:rPr>
        <w:t>第一章</w:t>
      </w:r>
      <w:r>
        <w:rPr>
          <w:rFonts w:ascii="黑体" w:hAnsi="黑体" w:eastAsia="黑体" w:cs="黑体"/>
          <w:spacing w:val="16"/>
          <w:sz w:val="31"/>
          <w:szCs w:val="31"/>
        </w:rPr>
        <w:t xml:space="preserve">  </w:t>
      </w:r>
      <w:r>
        <w:rPr>
          <w:rFonts w:ascii="黑体" w:hAnsi="黑体" w:eastAsia="黑体" w:cs="黑体"/>
          <w:spacing w:val="1"/>
          <w:sz w:val="31"/>
          <w:szCs w:val="31"/>
        </w:rPr>
        <w:t>总</w:t>
      </w:r>
      <w:r>
        <w:rPr>
          <w:rFonts w:ascii="黑体" w:hAnsi="黑体" w:eastAsia="黑体" w:cs="黑体"/>
          <w:spacing w:val="8"/>
          <w:sz w:val="31"/>
          <w:szCs w:val="31"/>
        </w:rPr>
        <w:t xml:space="preserve">  </w:t>
      </w:r>
      <w:r>
        <w:rPr>
          <w:rFonts w:ascii="黑体" w:hAnsi="黑体" w:eastAsia="黑体" w:cs="黑体"/>
          <w:spacing w:val="1"/>
          <w:sz w:val="31"/>
          <w:szCs w:val="31"/>
        </w:rPr>
        <w:t>则</w:t>
      </w:r>
    </w:p>
    <w:p w14:paraId="70238B91">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第一条</w:t>
      </w:r>
      <w:r>
        <w:rPr>
          <w:rFonts w:hint="eastAsia" w:ascii="仿宋" w:hAnsi="仿宋" w:eastAsia="仿宋" w:cs="仿宋"/>
          <w:snapToGrid/>
          <w:kern w:val="2"/>
          <w:sz w:val="32"/>
          <w:szCs w:val="32"/>
          <w:lang w:eastAsia="zh-CN"/>
        </w:rPr>
        <w:t xml:space="preserve">  为规范和加强行政事业单位国有资产配置（以下简称资产配置）管理，实现资产管理与预算管理相结合，提高资产配置的科学性，保障行政事业单位履行职能和事业发展需要，根据《中华人民共和国预算法》《行政事业性国有资产管理条例》（国务院令第738号）、《湖北省行政事业性国有资产监督管理条例》等有关规定，制定本办法。</w:t>
      </w:r>
    </w:p>
    <w:p w14:paraId="01228C7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第二条 </w:t>
      </w:r>
      <w:r>
        <w:rPr>
          <w:rFonts w:hint="eastAsia" w:ascii="仿宋" w:hAnsi="仿宋" w:eastAsia="仿宋" w:cs="仿宋"/>
          <w:snapToGrid/>
          <w:kern w:val="2"/>
          <w:sz w:val="32"/>
          <w:szCs w:val="32"/>
          <w:lang w:eastAsia="zh-CN"/>
        </w:rPr>
        <w:t xml:space="preserve"> 本办法所称行政单位、事业单位包括</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级党的机关、人大机关、行政机关、政协机关、监察机关、审判机关、检察机关，各民主党派机关、群团机关以及各类执行政府会计准则制度的事业单位。</w:t>
      </w:r>
    </w:p>
    <w:p w14:paraId="191339B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第三条  </w:t>
      </w:r>
      <w:r>
        <w:rPr>
          <w:rFonts w:hint="eastAsia" w:ascii="仿宋" w:hAnsi="仿宋" w:eastAsia="仿宋" w:cs="仿宋"/>
          <w:snapToGrid/>
          <w:kern w:val="2"/>
          <w:sz w:val="32"/>
          <w:szCs w:val="32"/>
          <w:lang w:eastAsia="zh-CN"/>
        </w:rPr>
        <w:t>本办法所称的资产配置是指全市行政事业单位</w:t>
      </w:r>
      <w:r>
        <w:rPr>
          <w:rFonts w:hint="eastAsia" w:ascii="仿宋" w:hAnsi="仿宋" w:eastAsia="仿宋" w:cs="仿宋"/>
          <w:snapToGrid/>
          <w:kern w:val="2"/>
          <w:sz w:val="32"/>
          <w:szCs w:val="32"/>
          <w:lang w:val="en-US" w:eastAsia="zh-CN"/>
        </w:rPr>
        <w:t>（以下简称行政事业单位）</w:t>
      </w:r>
      <w:r>
        <w:rPr>
          <w:rFonts w:hint="eastAsia" w:ascii="仿宋" w:hAnsi="仿宋" w:eastAsia="仿宋" w:cs="仿宋"/>
          <w:snapToGrid/>
          <w:kern w:val="2"/>
          <w:sz w:val="32"/>
          <w:szCs w:val="32"/>
          <w:lang w:eastAsia="zh-CN"/>
        </w:rPr>
        <w:t>根据单位履行职能需要、存量资产状况和财力情况等因素，通过调剂、租用、购置等方式配备资产的行为。</w:t>
      </w:r>
    </w:p>
    <w:p w14:paraId="7557A16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第四条 </w:t>
      </w:r>
      <w:r>
        <w:rPr>
          <w:rFonts w:hint="eastAsia" w:ascii="仿宋" w:hAnsi="仿宋" w:eastAsia="仿宋" w:cs="仿宋"/>
          <w:snapToGrid/>
          <w:kern w:val="2"/>
          <w:sz w:val="32"/>
          <w:szCs w:val="32"/>
          <w:lang w:eastAsia="zh-CN"/>
        </w:rPr>
        <w:t xml:space="preserve"> 资产配置应当遵循资产功能、数量与单位职能相匹配，资产存量与增量相结合，厉行勤俭节约、讲求绩效和绿色环保的原则。</w:t>
      </w:r>
    </w:p>
    <w:p w14:paraId="1A3050D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第五条</w:t>
      </w:r>
      <w:r>
        <w:rPr>
          <w:rFonts w:hint="eastAsia" w:ascii="仿宋" w:hAnsi="仿宋" w:eastAsia="仿宋" w:cs="仿宋"/>
          <w:snapToGrid/>
          <w:kern w:val="2"/>
          <w:sz w:val="32"/>
          <w:szCs w:val="32"/>
          <w:lang w:eastAsia="zh-CN"/>
        </w:rPr>
        <w:t xml:space="preserve">  行政事业单位资产配置的资金来源包括财政拨款和其他各类收入。</w:t>
      </w:r>
    </w:p>
    <w:p w14:paraId="223EDB8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第六条 </w:t>
      </w:r>
      <w:r>
        <w:rPr>
          <w:rFonts w:hint="eastAsia" w:ascii="仿宋" w:hAnsi="仿宋" w:eastAsia="仿宋" w:cs="仿宋"/>
          <w:snapToGrid/>
          <w:kern w:val="2"/>
          <w:sz w:val="32"/>
          <w:szCs w:val="32"/>
          <w:lang w:eastAsia="zh-CN"/>
        </w:rPr>
        <w:t xml:space="preserve"> </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负责行政事业单位资产配置综合管理，研究制定或会同有关职能部门联合制定通用资产配置标准，按职责审批资产配置事项。</w:t>
      </w:r>
    </w:p>
    <w:p w14:paraId="1274328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机关事务</w:t>
      </w:r>
      <w:r>
        <w:rPr>
          <w:rFonts w:hint="eastAsia" w:ascii="仿宋" w:hAnsi="仿宋" w:eastAsia="仿宋" w:cs="仿宋"/>
          <w:snapToGrid/>
          <w:kern w:val="2"/>
          <w:sz w:val="32"/>
          <w:szCs w:val="32"/>
          <w:lang w:val="en-US" w:eastAsia="zh-CN"/>
        </w:rPr>
        <w:t>服务中心</w:t>
      </w:r>
      <w:r>
        <w:rPr>
          <w:rFonts w:hint="eastAsia" w:ascii="仿宋" w:hAnsi="仿宋" w:eastAsia="仿宋" w:cs="仿宋"/>
          <w:snapToGrid/>
          <w:kern w:val="2"/>
          <w:sz w:val="32"/>
          <w:szCs w:val="32"/>
          <w:lang w:eastAsia="zh-CN"/>
        </w:rPr>
        <w:t>根据规定的权限负责</w:t>
      </w:r>
      <w:r>
        <w:rPr>
          <w:rFonts w:hint="eastAsia" w:ascii="仿宋" w:hAnsi="仿宋" w:eastAsia="仿宋" w:cs="仿宋"/>
          <w:snapToGrid/>
          <w:kern w:val="2"/>
          <w:sz w:val="32"/>
          <w:szCs w:val="32"/>
          <w:lang w:val="en-US" w:eastAsia="zh-CN"/>
        </w:rPr>
        <w:t>全市</w:t>
      </w:r>
      <w:r>
        <w:rPr>
          <w:rFonts w:hint="eastAsia" w:ascii="仿宋" w:hAnsi="仿宋" w:eastAsia="仿宋" w:cs="仿宋"/>
          <w:snapToGrid/>
          <w:kern w:val="2"/>
          <w:sz w:val="32"/>
          <w:szCs w:val="32"/>
          <w:lang w:eastAsia="zh-CN"/>
        </w:rPr>
        <w:t>行政事业单位有关资产的配置管理，按职责审批有关资产配置事项。</w:t>
      </w:r>
    </w:p>
    <w:p w14:paraId="382DDA3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各部门负责本部门及所属单位资产配置管理事项，审核所属单位资产配置事项。</w:t>
      </w:r>
    </w:p>
    <w:p w14:paraId="2D57C2E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各部门所属单位负责具体组织实施本单位资产配置工作，并接受</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、主管部门的监督指导。</w:t>
      </w:r>
    </w:p>
    <w:p w14:paraId="32146AC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p>
    <w:p w14:paraId="39F94860">
      <w:pPr>
        <w:keepNext w:val="0"/>
        <w:keepLines w:val="0"/>
        <w:pageBreakBefore w:val="0"/>
        <w:wordWrap/>
        <w:overflowPunct/>
        <w:topLinePunct w:val="0"/>
        <w:bidi w:val="0"/>
        <w:spacing w:line="600" w:lineRule="exact"/>
        <w:ind w:left="0"/>
        <w:jc w:val="center"/>
        <w:outlineLvl w:val="0"/>
        <w:rPr>
          <w:rFonts w:hint="eastAsia" w:ascii="黑体" w:hAnsi="黑体" w:eastAsia="黑体" w:cs="黑体"/>
          <w:spacing w:val="1"/>
          <w:sz w:val="31"/>
          <w:szCs w:val="31"/>
          <w:lang w:eastAsia="zh-CN"/>
        </w:rPr>
      </w:pPr>
      <w:r>
        <w:rPr>
          <w:rFonts w:hint="eastAsia" w:ascii="黑体" w:hAnsi="黑体" w:eastAsia="黑体" w:cs="黑体"/>
          <w:spacing w:val="1"/>
          <w:sz w:val="31"/>
          <w:szCs w:val="31"/>
          <w:lang w:eastAsia="zh-CN"/>
        </w:rPr>
        <w:t>第二章  资产配置方式</w:t>
      </w:r>
    </w:p>
    <w:p w14:paraId="6D39B8F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第七条 </w:t>
      </w:r>
      <w:r>
        <w:rPr>
          <w:rFonts w:hint="eastAsia" w:ascii="仿宋" w:hAnsi="仿宋" w:eastAsia="仿宋" w:cs="仿宋"/>
          <w:snapToGrid/>
          <w:kern w:val="2"/>
          <w:sz w:val="32"/>
          <w:szCs w:val="32"/>
          <w:lang w:eastAsia="zh-CN"/>
        </w:rPr>
        <w:t xml:space="preserve"> 资产配置应当符合以下条件：</w:t>
      </w:r>
    </w:p>
    <w:p w14:paraId="6B9D782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（一）现有资产无法满足履行职能的需要；</w:t>
      </w:r>
    </w:p>
    <w:p w14:paraId="0EE635F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（二）现有资产按规定进行处置后需要更新；</w:t>
      </w:r>
    </w:p>
    <w:p w14:paraId="5D412F4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（三）难以与其他单位共享、共用相关资产；</w:t>
      </w:r>
    </w:p>
    <w:p w14:paraId="07135E03">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（四）其他适用于资产配置的情形。</w:t>
      </w:r>
    </w:p>
    <w:p w14:paraId="04907F2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第八条  </w:t>
      </w:r>
      <w:r>
        <w:rPr>
          <w:rFonts w:hint="eastAsia" w:ascii="仿宋" w:hAnsi="仿宋" w:eastAsia="仿宋" w:cs="仿宋"/>
          <w:snapToGrid/>
          <w:kern w:val="2"/>
          <w:sz w:val="32"/>
          <w:szCs w:val="32"/>
          <w:lang w:eastAsia="zh-CN"/>
        </w:rPr>
        <w:t>资产配置的主要方式包括调剂、租用、购置、建设、接受捐赠等。行政事业单位应当合理选择资产配置方式，资产配置重大事项应当经可行性研究和集体决策。</w:t>
      </w:r>
    </w:p>
    <w:p w14:paraId="0207C9D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资产配置应优先通过调剂方式解决，充分利用行政事业单位国有资产调剂共享平台（以下简称调剂共享平台）存量资产，避免资产重复购置与浪费。确实无法调剂的，应本着控制成本、节约资金、方便使用的原则，对租用、购置、建设等方式进行综合分析和可行性论证，选择最优方式进行配置。</w:t>
      </w:r>
    </w:p>
    <w:p w14:paraId="33CC3E9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第九条</w:t>
      </w:r>
      <w:r>
        <w:rPr>
          <w:rFonts w:hint="eastAsia" w:ascii="仿宋" w:hAnsi="仿宋" w:eastAsia="仿宋" w:cs="仿宋"/>
          <w:snapToGrid/>
          <w:kern w:val="2"/>
          <w:sz w:val="32"/>
          <w:szCs w:val="32"/>
          <w:lang w:eastAsia="zh-CN"/>
        </w:rPr>
        <w:t xml:space="preserve">  调剂是指以无偿调入的方式配置资产的行为。资产调剂由划出方、接收方协商一致后，由划出方根据行政事业单位国有资产处置管理的有关规定履行审批程序。</w:t>
      </w:r>
    </w:p>
    <w:p w14:paraId="31695A4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经</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委、</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政府批准召开重要会议、举办大型活动及开展临时性工作等需要配置资产的，一般通过调剂共享平台解决，不能解决的，可通过租用方式解决。</w:t>
      </w:r>
    </w:p>
    <w:p w14:paraId="2DD28EBE">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行政事业单位在配置大型仪器、教学科研设备等价值较高的资产时，应当优先通过共享共用方式解决；确实无法解决的，再按照保障需要、科学合理的原则进行配置。</w:t>
      </w:r>
    </w:p>
    <w:p w14:paraId="08AF6FE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第十条 </w:t>
      </w:r>
      <w:r>
        <w:rPr>
          <w:rFonts w:hint="eastAsia" w:ascii="仿宋" w:hAnsi="仿宋" w:eastAsia="仿宋" w:cs="仿宋"/>
          <w:snapToGrid/>
          <w:kern w:val="2"/>
          <w:sz w:val="32"/>
          <w:szCs w:val="32"/>
          <w:lang w:eastAsia="zh-CN"/>
        </w:rPr>
        <w:t xml:space="preserve"> 租用是指以一定费用取得资产使用权的方式配置资产的行为。资产租用应当遵循公开、公平、公正和市场化原则，遵守国家和省有关规定。</w:t>
      </w:r>
    </w:p>
    <w:p w14:paraId="06F0CED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第十一条 </w:t>
      </w:r>
      <w:r>
        <w:rPr>
          <w:rFonts w:hint="eastAsia" w:ascii="仿宋" w:hAnsi="仿宋" w:eastAsia="仿宋" w:cs="仿宋"/>
          <w:snapToGrid/>
          <w:kern w:val="2"/>
          <w:sz w:val="32"/>
          <w:szCs w:val="32"/>
          <w:lang w:eastAsia="zh-CN"/>
        </w:rPr>
        <w:t xml:space="preserve"> 购置是指以购买的方式配置资产的行为。对于资产处置后的更新申请，符合资产配置标准的，优先予以安排；对于新增的资产购置申请，应当结合单位资产存量和业务需要从严控制。</w:t>
      </w:r>
    </w:p>
    <w:p w14:paraId="3CF725C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第十二条 </w:t>
      </w:r>
      <w:r>
        <w:rPr>
          <w:rFonts w:hint="eastAsia" w:ascii="仿宋" w:hAnsi="仿宋" w:eastAsia="仿宋" w:cs="仿宋"/>
          <w:snapToGrid/>
          <w:kern w:val="2"/>
          <w:sz w:val="32"/>
          <w:szCs w:val="32"/>
          <w:lang w:eastAsia="zh-CN"/>
        </w:rPr>
        <w:t xml:space="preserve"> 建设是指以自建、自行研制等方式配置资产的行为，资产建设应当按照国家和省有关规定履行审批程序。</w:t>
      </w:r>
    </w:p>
    <w:p w14:paraId="5EDCFE16">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第十三条 </w:t>
      </w:r>
      <w:r>
        <w:rPr>
          <w:rFonts w:hint="eastAsia" w:ascii="仿宋" w:hAnsi="仿宋" w:eastAsia="仿宋" w:cs="仿宋"/>
          <w:snapToGrid/>
          <w:kern w:val="2"/>
          <w:sz w:val="32"/>
          <w:szCs w:val="32"/>
          <w:lang w:eastAsia="zh-CN"/>
        </w:rPr>
        <w:t xml:space="preserve"> 行政事业单位通过接受捐赠的方式配置资产，应当符合《中华人民共和国公益事业捐赠法》的有关规定。</w:t>
      </w:r>
    </w:p>
    <w:p w14:paraId="642E4D0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p>
    <w:p w14:paraId="2895F912">
      <w:pPr>
        <w:keepNext w:val="0"/>
        <w:keepLines w:val="0"/>
        <w:pageBreakBefore w:val="0"/>
        <w:wordWrap/>
        <w:overflowPunct/>
        <w:topLinePunct w:val="0"/>
        <w:bidi w:val="0"/>
        <w:spacing w:line="600" w:lineRule="exact"/>
        <w:ind w:left="0"/>
        <w:jc w:val="center"/>
        <w:outlineLvl w:val="0"/>
        <w:rPr>
          <w:rFonts w:hint="eastAsia" w:ascii="黑体" w:hAnsi="黑体" w:eastAsia="黑体" w:cs="黑体"/>
          <w:spacing w:val="1"/>
          <w:sz w:val="31"/>
          <w:szCs w:val="31"/>
          <w:lang w:eastAsia="zh-CN"/>
        </w:rPr>
      </w:pPr>
      <w:r>
        <w:rPr>
          <w:rFonts w:hint="eastAsia" w:ascii="黑体" w:hAnsi="黑体" w:eastAsia="黑体" w:cs="黑体"/>
          <w:spacing w:val="1"/>
          <w:sz w:val="31"/>
          <w:szCs w:val="31"/>
          <w:lang w:eastAsia="zh-CN"/>
        </w:rPr>
        <w:t>第三章  资产配置标准</w:t>
      </w:r>
    </w:p>
    <w:p w14:paraId="724C9F3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第十四条 </w:t>
      </w:r>
      <w:r>
        <w:rPr>
          <w:rFonts w:hint="eastAsia" w:ascii="仿宋" w:hAnsi="仿宋" w:eastAsia="仿宋" w:cs="仿宋"/>
          <w:snapToGrid/>
          <w:kern w:val="2"/>
          <w:sz w:val="32"/>
          <w:szCs w:val="32"/>
          <w:lang w:eastAsia="zh-CN"/>
        </w:rPr>
        <w:t xml:space="preserve"> 资产配置标准是指对行政事业单位配置资产的品目、数量、价格、使用年限等指标的限额规定，是编报和审核新增资产配置相关预算、实施资产采购和监督检查的重要依据。</w:t>
      </w:r>
    </w:p>
    <w:p w14:paraId="78E9850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第十五条 </w:t>
      </w:r>
      <w:r>
        <w:rPr>
          <w:rFonts w:hint="eastAsia" w:ascii="仿宋" w:hAnsi="仿宋" w:eastAsia="仿宋" w:cs="仿宋"/>
          <w:snapToGrid/>
          <w:kern w:val="2"/>
          <w:sz w:val="32"/>
          <w:szCs w:val="32"/>
          <w:lang w:eastAsia="zh-CN"/>
        </w:rPr>
        <w:t xml:space="preserve"> 资产配置标准包括数量标准、价格标准、使用年限标准、技术标准及其他标准,可采用上限标准、区间标准、下限标准或其他适宜的形式。</w:t>
      </w:r>
    </w:p>
    <w:p w14:paraId="4138DA0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第十六条 </w:t>
      </w:r>
      <w:r>
        <w:rPr>
          <w:rFonts w:hint="eastAsia" w:ascii="仿宋" w:hAnsi="仿宋" w:eastAsia="仿宋" w:cs="仿宋"/>
          <w:snapToGrid/>
          <w:kern w:val="2"/>
          <w:sz w:val="32"/>
          <w:szCs w:val="32"/>
          <w:lang w:eastAsia="zh-CN"/>
        </w:rPr>
        <w:t xml:space="preserve"> 资产配置标准应严格按照国家和省有关标准执行。暂无配置标准的，应当从严控制，合理配置，避免浪费。</w:t>
      </w:r>
    </w:p>
    <w:p w14:paraId="1C23840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p>
    <w:p w14:paraId="1C263AFB">
      <w:pPr>
        <w:keepNext w:val="0"/>
        <w:keepLines w:val="0"/>
        <w:pageBreakBefore w:val="0"/>
        <w:wordWrap/>
        <w:overflowPunct/>
        <w:topLinePunct w:val="0"/>
        <w:bidi w:val="0"/>
        <w:spacing w:line="600" w:lineRule="exact"/>
        <w:ind w:left="0"/>
        <w:jc w:val="center"/>
        <w:outlineLvl w:val="0"/>
        <w:rPr>
          <w:rFonts w:hint="eastAsia" w:ascii="仿宋" w:hAnsi="仿宋" w:eastAsia="仿宋" w:cs="仿宋"/>
          <w:snapToGrid/>
          <w:kern w:val="2"/>
          <w:sz w:val="32"/>
          <w:szCs w:val="32"/>
          <w:lang w:eastAsia="zh-CN"/>
        </w:rPr>
      </w:pPr>
      <w:r>
        <w:rPr>
          <w:rFonts w:hint="eastAsia" w:ascii="黑体" w:hAnsi="黑体" w:eastAsia="黑体" w:cs="黑体"/>
          <w:spacing w:val="1"/>
          <w:sz w:val="31"/>
          <w:szCs w:val="31"/>
          <w:lang w:eastAsia="zh-CN"/>
        </w:rPr>
        <w:t>第四章  资产配置相关预算管理</w:t>
      </w:r>
    </w:p>
    <w:p w14:paraId="1FF555E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第十七条 </w:t>
      </w:r>
      <w:r>
        <w:rPr>
          <w:rFonts w:hint="eastAsia" w:ascii="仿宋" w:hAnsi="仿宋" w:eastAsia="仿宋" w:cs="仿宋"/>
          <w:snapToGrid/>
          <w:kern w:val="2"/>
          <w:sz w:val="32"/>
          <w:szCs w:val="32"/>
          <w:lang w:eastAsia="zh-CN"/>
        </w:rPr>
        <w:t xml:space="preserve"> 行政事业单位通过购置、建设、租用等方式配置资产的，属于新增资产配置相关预算编制范围的，应当按规定编制新增资产配置相关预算。</w:t>
      </w:r>
    </w:p>
    <w:p w14:paraId="2871BCE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纳入新增资产配置相关预算编制范围的资产类别和限额，由</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每年在布置年度部门预算编制工作时予以明确。</w:t>
      </w:r>
    </w:p>
    <w:p w14:paraId="0B7647B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第十八条</w:t>
      </w:r>
      <w:r>
        <w:rPr>
          <w:rFonts w:hint="eastAsia" w:ascii="黑体" w:hAnsi="黑体" w:eastAsia="黑体" w:cs="黑体"/>
          <w:snapToGrid/>
          <w:kern w:val="2"/>
          <w:sz w:val="32"/>
          <w:szCs w:val="32"/>
          <w:lang w:val="en-US" w:eastAsia="zh-CN"/>
        </w:rPr>
        <w:t xml:space="preserve">  </w:t>
      </w:r>
      <w:r>
        <w:rPr>
          <w:rFonts w:hint="eastAsia" w:ascii="仿宋" w:hAnsi="仿宋" w:eastAsia="仿宋" w:cs="仿宋"/>
          <w:snapToGrid/>
          <w:kern w:val="2"/>
          <w:sz w:val="32"/>
          <w:szCs w:val="32"/>
          <w:lang w:eastAsia="zh-CN"/>
        </w:rPr>
        <w:t>除国家和省另有规定外，行政事业单位新增资产配置相关预算的申请、审核和批复，应当按照</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级部门预算规定的程序办理:</w:t>
      </w:r>
    </w:p>
    <w:p w14:paraId="09CEEF4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一）单位申报。行政事业单位应当根据业务需要、资产存量等情况以及资产配置标准，编制新增资产配置相关预算,报主管部门审核。对缺乏配置标准或与标准不一致的项目，要对资产配置的必要性、可行性进行充分论证,详细说明资产配置的依据和理由；</w:t>
      </w:r>
    </w:p>
    <w:p w14:paraId="32A3B9C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（二）主管部门初审。各部门对所属单位存量资产信息的准确性、完整性以及资产配置需求的合理性、合规性进行初审,并将审核后的新增资产配置相关预算申请随部门预算报送</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w:t>
      </w:r>
    </w:p>
    <w:p w14:paraId="49B0F16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（三）</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审核。</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根据有关资产配置标准以及</w:t>
      </w:r>
      <w:r>
        <w:rPr>
          <w:rFonts w:hint="eastAsia" w:ascii="仿宋" w:hAnsi="仿宋" w:eastAsia="仿宋" w:cs="仿宋"/>
          <w:snapToGrid/>
          <w:kern w:val="2"/>
          <w:sz w:val="32"/>
          <w:szCs w:val="32"/>
          <w:lang w:val="en-US" w:eastAsia="zh-CN"/>
        </w:rPr>
        <w:t>全市</w:t>
      </w:r>
      <w:r>
        <w:rPr>
          <w:rFonts w:hint="eastAsia" w:ascii="仿宋" w:hAnsi="仿宋" w:eastAsia="仿宋" w:cs="仿宋"/>
          <w:snapToGrid/>
          <w:kern w:val="2"/>
          <w:sz w:val="32"/>
          <w:szCs w:val="32"/>
          <w:lang w:eastAsia="zh-CN"/>
        </w:rPr>
        <w:t>行政事业单位的履职需要、资产存量、使用绩效和财力状况等,审核新增资产配置相关预算；</w:t>
      </w:r>
    </w:p>
    <w:p w14:paraId="3E696F4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（四）批复。</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将新增资产配置相关预算随部门预算一并批复给各部门，各部门批复给所属单位。</w:t>
      </w:r>
    </w:p>
    <w:p w14:paraId="7933C6A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第十九条</w:t>
      </w:r>
      <w:r>
        <w:rPr>
          <w:rFonts w:hint="eastAsia" w:ascii="仿宋" w:hAnsi="仿宋" w:eastAsia="仿宋" w:cs="仿宋"/>
          <w:snapToGrid/>
          <w:kern w:val="2"/>
          <w:sz w:val="32"/>
          <w:szCs w:val="32"/>
          <w:lang w:eastAsia="zh-CN"/>
        </w:rPr>
        <w:t xml:space="preserve">  行政事业单位通过基本建设项目纳入新增资产配置相关预算编制范围的资产，应当申报新增资产配置相关预算。</w:t>
      </w:r>
    </w:p>
    <w:p w14:paraId="57C2696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第二十条</w:t>
      </w:r>
      <w:r>
        <w:rPr>
          <w:rFonts w:hint="eastAsia" w:ascii="仿宋" w:hAnsi="仿宋" w:eastAsia="仿宋" w:cs="仿宋"/>
          <w:snapToGrid/>
          <w:kern w:val="2"/>
          <w:sz w:val="32"/>
          <w:szCs w:val="32"/>
          <w:lang w:val="en-US" w:eastAsia="zh-CN"/>
        </w:rPr>
        <w:t xml:space="preserve">  </w:t>
      </w:r>
      <w:r>
        <w:rPr>
          <w:rFonts w:hint="eastAsia" w:ascii="仿宋" w:hAnsi="仿宋" w:eastAsia="仿宋" w:cs="仿宋"/>
          <w:snapToGrid/>
          <w:kern w:val="2"/>
          <w:sz w:val="32"/>
          <w:szCs w:val="32"/>
          <w:lang w:eastAsia="zh-CN"/>
        </w:rPr>
        <w:t>行政事业单位应当严格执行经批复的新增资产配置相关预算，新增资产配置相关预算一经批复,原则上不得调整。</w:t>
      </w:r>
    </w:p>
    <w:p w14:paraId="04F56E1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第二十一条 </w:t>
      </w:r>
      <w:r>
        <w:rPr>
          <w:rFonts w:hint="eastAsia" w:ascii="仿宋" w:hAnsi="仿宋" w:eastAsia="仿宋" w:cs="仿宋"/>
          <w:snapToGrid/>
          <w:kern w:val="2"/>
          <w:sz w:val="32"/>
          <w:szCs w:val="32"/>
          <w:lang w:eastAsia="zh-CN"/>
        </w:rPr>
        <w:t xml:space="preserve"> 在预算执行中，因特殊原因确需进行资产配置预算调整的，按照部门预算相关规定办理。</w:t>
      </w:r>
    </w:p>
    <w:p w14:paraId="3631FD0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行政事业单位年中确需追加资产配置预算的，应当按照</w:t>
      </w:r>
      <w:r>
        <w:rPr>
          <w:rFonts w:hint="eastAsia" w:ascii="仿宋" w:hAnsi="仿宋" w:eastAsia="仿宋" w:cs="仿宋"/>
          <w:snapToGrid/>
          <w:kern w:val="2"/>
          <w:sz w:val="32"/>
          <w:szCs w:val="32"/>
          <w:lang w:val="en-US" w:eastAsia="zh-CN"/>
        </w:rPr>
        <w:t>全市</w:t>
      </w:r>
      <w:r>
        <w:rPr>
          <w:rFonts w:hint="eastAsia" w:ascii="仿宋" w:hAnsi="仿宋" w:eastAsia="仿宋" w:cs="仿宋"/>
          <w:snapToGrid/>
          <w:kern w:val="2"/>
          <w:sz w:val="32"/>
          <w:szCs w:val="32"/>
          <w:lang w:eastAsia="zh-CN"/>
        </w:rPr>
        <w:t>预算调剂相关规定办理。涉及预算调剂报批事项，行政事业单位需在追加申请中详细说明追加理由，追加资产的品目、数量、所需经费及其来源等，经</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审批后执行。</w:t>
      </w:r>
    </w:p>
    <w:p w14:paraId="6568DB16">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行政事业单位年中确需在资产配置预算额度内申请变更资产品目、数量、金额的，应符合资产配置标准，不得跨资产大类调整，不得超标准配置。资产配置预算额度内的有关调整事项，由主管部门审批，报</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备案。</w:t>
      </w:r>
    </w:p>
    <w:p w14:paraId="6D12E45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符合本条第二款、第三款规定的，行政事业单位均应通过湖北省预算管理一体化资产管理系统申报，按照规定的权限报主管部门或</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审批。</w:t>
      </w:r>
    </w:p>
    <w:p w14:paraId="0C6B74B6">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第二十二条</w:t>
      </w:r>
      <w:r>
        <w:rPr>
          <w:rFonts w:hint="eastAsia" w:ascii="仿宋" w:hAnsi="仿宋" w:eastAsia="仿宋" w:cs="仿宋"/>
          <w:snapToGrid/>
          <w:kern w:val="2"/>
          <w:sz w:val="32"/>
          <w:szCs w:val="32"/>
          <w:lang w:eastAsia="zh-CN"/>
        </w:rPr>
        <w:t xml:space="preserve">  对于未按要求编报资产配置预算的，</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不予批复。未经批准，行政事业单位不得自行配置或实施政府采购。</w:t>
      </w:r>
    </w:p>
    <w:p w14:paraId="0E3B85F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第二十三条 </w:t>
      </w:r>
      <w:r>
        <w:rPr>
          <w:rFonts w:hint="eastAsia" w:ascii="仿宋" w:hAnsi="仿宋" w:eastAsia="仿宋" w:cs="仿宋"/>
          <w:snapToGrid/>
          <w:kern w:val="2"/>
          <w:sz w:val="32"/>
          <w:szCs w:val="32"/>
          <w:lang w:eastAsia="zh-CN"/>
        </w:rPr>
        <w:t xml:space="preserve"> 行政事业单位编报新增资产配置有关预算时，应当提供以下材料，并对材料的真实性、有效性、准确性负责：</w:t>
      </w:r>
    </w:p>
    <w:p w14:paraId="676891C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（一）申请文件、《新增资产配置预算表》；</w:t>
      </w:r>
    </w:p>
    <w:p w14:paraId="347DF96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（二）涉及租用房屋、土地等的，需提交单位内部决策文件、相关职能部门的批复文件；</w:t>
      </w:r>
    </w:p>
    <w:p w14:paraId="51EA55D2">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（三）涉及购置房屋、土地的，需提交单位内部决策文件、相关职能部门的批复文件、购置意向书或协议等；</w:t>
      </w:r>
    </w:p>
    <w:p w14:paraId="5CEF993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（四）涉及基本建设项目、信息化建设项目、房屋大中修项目的，需提交相关职能部门的批复文件；</w:t>
      </w:r>
    </w:p>
    <w:p w14:paraId="32D853D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（五）涉及购置单项价值在 100 万元以上的大型资产，提交由主管部门组织论证的《大型资产可行性论证报告》；</w:t>
      </w:r>
    </w:p>
    <w:p w14:paraId="0A31B02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（六）其他相关证明材料。</w:t>
      </w:r>
    </w:p>
    <w:p w14:paraId="1113A5A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p>
    <w:p w14:paraId="48040ABC">
      <w:pPr>
        <w:keepNext w:val="0"/>
        <w:keepLines w:val="0"/>
        <w:pageBreakBefore w:val="0"/>
        <w:wordWrap/>
        <w:overflowPunct/>
        <w:topLinePunct w:val="0"/>
        <w:bidi w:val="0"/>
        <w:spacing w:line="600" w:lineRule="exact"/>
        <w:ind w:left="0"/>
        <w:jc w:val="center"/>
        <w:outlineLvl w:val="0"/>
        <w:rPr>
          <w:rFonts w:hint="eastAsia" w:ascii="黑体" w:hAnsi="黑体" w:eastAsia="黑体" w:cs="黑体"/>
          <w:spacing w:val="1"/>
          <w:sz w:val="31"/>
          <w:szCs w:val="31"/>
          <w:lang w:eastAsia="zh-CN"/>
        </w:rPr>
      </w:pPr>
      <w:r>
        <w:rPr>
          <w:rFonts w:hint="eastAsia" w:ascii="黑体" w:hAnsi="黑体" w:eastAsia="黑体" w:cs="黑体"/>
          <w:spacing w:val="1"/>
          <w:sz w:val="31"/>
          <w:szCs w:val="31"/>
          <w:lang w:eastAsia="zh-CN"/>
        </w:rPr>
        <w:t>第五章  监督检查</w:t>
      </w:r>
    </w:p>
    <w:p w14:paraId="0EB3600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第二十四条</w:t>
      </w:r>
      <w:r>
        <w:rPr>
          <w:rFonts w:hint="eastAsia" w:ascii="仿宋" w:hAnsi="仿宋" w:eastAsia="仿宋" w:cs="仿宋"/>
          <w:snapToGrid/>
          <w:kern w:val="2"/>
          <w:sz w:val="32"/>
          <w:szCs w:val="32"/>
          <w:lang w:eastAsia="zh-CN"/>
        </w:rPr>
        <w:t xml:space="preserve">  行政事业单位应及时对配置的资产进行验收、登记，建立资产卡片，设置资产台账，将相关信息录入湖北省预算管理一体化资产管理系统，并进行动态维护，切实做到账实相符、账卡相符、账账相符。</w:t>
      </w:r>
    </w:p>
    <w:p w14:paraId="2AEFEC9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第二十五条 </w:t>
      </w:r>
      <w:r>
        <w:rPr>
          <w:rFonts w:hint="eastAsia" w:ascii="仿宋" w:hAnsi="仿宋" w:eastAsia="仿宋" w:cs="仿宋"/>
          <w:snapToGrid/>
          <w:kern w:val="2"/>
          <w:sz w:val="32"/>
          <w:szCs w:val="32"/>
          <w:lang w:eastAsia="zh-CN"/>
        </w:rPr>
        <w:t xml:space="preserve"> 各部门要依法履行国有资产的主体管理职责，加强对本部门及所属单位资产配置管理的监督，建立监管机制，及时发现和纠正行政事业单位资产配置管理中的各种问题，维护国有资产的安全、完整，提高资产配置效率。</w:t>
      </w:r>
    </w:p>
    <w:p w14:paraId="419127E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第二十六条</w:t>
      </w:r>
      <w:r>
        <w:rPr>
          <w:rFonts w:hint="eastAsia" w:ascii="仿宋" w:hAnsi="仿宋" w:eastAsia="仿宋" w:cs="仿宋"/>
          <w:snapToGrid/>
          <w:kern w:val="2"/>
          <w:sz w:val="32"/>
          <w:szCs w:val="32"/>
          <w:lang w:eastAsia="zh-CN"/>
        </w:rPr>
        <w:t xml:space="preserve">  行政事业单位经</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人民代表大会或者</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人民代表大会常务委员会批准的资产配置预算及执行情况，应当按照规定向社会公开，接受社会公众监督。</w:t>
      </w:r>
    </w:p>
    <w:p w14:paraId="367B974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第二十七条 </w:t>
      </w:r>
      <w:r>
        <w:rPr>
          <w:rFonts w:hint="eastAsia" w:ascii="仿宋" w:hAnsi="仿宋" w:eastAsia="仿宋" w:cs="仿宋"/>
          <w:snapToGrid/>
          <w:kern w:val="2"/>
          <w:sz w:val="32"/>
          <w:szCs w:val="32"/>
          <w:lang w:eastAsia="zh-CN"/>
        </w:rPr>
        <w:t xml:space="preserve"> </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会同有关部门对行政事业单位资产配置管理情况进行监督检查。在资产配置过程中，存在下列行为的，视情节轻重暂停或按一定比例核减其新增资产配置相关预算，并采取适当方式予以通报：</w:t>
      </w:r>
    </w:p>
    <w:p w14:paraId="54C0E6F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（一）报送虚假材料的；</w:t>
      </w:r>
    </w:p>
    <w:p w14:paraId="4B192486">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（二）未按规定编制资产配置预算的；</w:t>
      </w:r>
    </w:p>
    <w:p w14:paraId="13F632B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（三）未经批准超标准配置资产的；</w:t>
      </w:r>
    </w:p>
    <w:p w14:paraId="6A3FF92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（四）超出新增资产配置相关预算配置资产的；</w:t>
      </w:r>
    </w:p>
    <w:p w14:paraId="0145B0B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（五）单位存在大量出租、闲置资产而仍申请新购同类资产的；</w:t>
      </w:r>
    </w:p>
    <w:p w14:paraId="5BCBD7A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仿宋" w:hAnsi="仿宋" w:eastAsia="仿宋" w:cs="仿宋"/>
          <w:snapToGrid/>
          <w:kern w:val="2"/>
          <w:sz w:val="32"/>
          <w:szCs w:val="32"/>
          <w:lang w:eastAsia="zh-CN"/>
        </w:rPr>
        <w:t>（六）其他违规进行资产配置的行为。</w:t>
      </w:r>
    </w:p>
    <w:p w14:paraId="29361DE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第二十八条  </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财政</w:t>
      </w:r>
      <w:r>
        <w:rPr>
          <w:rFonts w:hint="eastAsia" w:ascii="仿宋" w:hAnsi="仿宋" w:eastAsia="仿宋" w:cs="仿宋"/>
          <w:snapToGrid/>
          <w:kern w:val="2"/>
          <w:sz w:val="32"/>
          <w:szCs w:val="32"/>
          <w:lang w:val="en-US" w:eastAsia="zh-CN"/>
        </w:rPr>
        <w:t>局</w:t>
      </w:r>
      <w:r>
        <w:rPr>
          <w:rFonts w:hint="eastAsia" w:ascii="仿宋" w:hAnsi="仿宋" w:eastAsia="仿宋" w:cs="仿宋"/>
          <w:snapToGrid/>
          <w:kern w:val="2"/>
          <w:sz w:val="32"/>
          <w:szCs w:val="32"/>
          <w:lang w:eastAsia="zh-CN"/>
        </w:rPr>
        <w:t>、行政事业单位及其工作人员在资产配置过程中，存在违反本办法规定的行为，以及其他滥用职权、玩忽职守、徇私舞弊等违法违纪行为的，按照《中华人民共和国预算法》《财政违法行为处罚处分条例》等法律法规追究相应责任；涉嫌犯罪的，依法移送司法机关处理。</w:t>
      </w:r>
    </w:p>
    <w:p w14:paraId="052C624E">
      <w:pPr>
        <w:keepNext w:val="0"/>
        <w:keepLines w:val="0"/>
        <w:pageBreakBefore w:val="0"/>
        <w:wordWrap/>
        <w:overflowPunct/>
        <w:topLinePunct w:val="0"/>
        <w:bidi w:val="0"/>
        <w:spacing w:line="600" w:lineRule="exact"/>
        <w:ind w:left="0"/>
        <w:outlineLvl w:val="0"/>
        <w:rPr>
          <w:rFonts w:hint="eastAsia" w:ascii="黑体" w:hAnsi="黑体" w:eastAsia="黑体" w:cs="黑体"/>
          <w:spacing w:val="1"/>
          <w:sz w:val="31"/>
          <w:szCs w:val="31"/>
          <w:lang w:eastAsia="zh-CN"/>
        </w:rPr>
      </w:pPr>
    </w:p>
    <w:p w14:paraId="49E68A14">
      <w:pPr>
        <w:keepNext w:val="0"/>
        <w:keepLines w:val="0"/>
        <w:pageBreakBefore w:val="0"/>
        <w:wordWrap/>
        <w:overflowPunct/>
        <w:topLinePunct w:val="0"/>
        <w:bidi w:val="0"/>
        <w:spacing w:line="600" w:lineRule="exact"/>
        <w:ind w:left="0"/>
        <w:jc w:val="center"/>
        <w:outlineLvl w:val="0"/>
        <w:rPr>
          <w:rFonts w:hint="eastAsia" w:ascii="黑体" w:hAnsi="黑体" w:eastAsia="黑体" w:cs="黑体"/>
          <w:spacing w:val="1"/>
          <w:sz w:val="31"/>
          <w:szCs w:val="31"/>
          <w:lang w:eastAsia="zh-CN"/>
        </w:rPr>
      </w:pPr>
      <w:r>
        <w:rPr>
          <w:rFonts w:hint="eastAsia" w:ascii="黑体" w:hAnsi="黑体" w:eastAsia="黑体" w:cs="黑体"/>
          <w:spacing w:val="1"/>
          <w:sz w:val="31"/>
          <w:szCs w:val="31"/>
          <w:lang w:eastAsia="zh-CN"/>
        </w:rPr>
        <w:t>第六章  附  则</w:t>
      </w:r>
    </w:p>
    <w:p w14:paraId="1C70F6D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第二十九条  </w:t>
      </w:r>
      <w:r>
        <w:rPr>
          <w:rFonts w:hint="eastAsia" w:ascii="仿宋" w:hAnsi="仿宋" w:eastAsia="仿宋" w:cs="仿宋"/>
          <w:snapToGrid/>
          <w:kern w:val="2"/>
          <w:sz w:val="32"/>
          <w:szCs w:val="32"/>
          <w:lang w:eastAsia="zh-CN"/>
        </w:rPr>
        <w:t>社会团体、民间非营利组织、社区中配置国有资产的，参照本办法执行。执行企业财务会计制度的</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级单位配置国有资产的，按照企业国有资产管理的有关规定执行。</w:t>
      </w:r>
    </w:p>
    <w:p w14:paraId="014B220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第三十条 </w:t>
      </w:r>
      <w:r>
        <w:rPr>
          <w:rFonts w:hint="eastAsia" w:ascii="仿宋" w:hAnsi="仿宋" w:eastAsia="仿宋" w:cs="仿宋"/>
          <w:snapToGrid/>
          <w:kern w:val="2"/>
          <w:sz w:val="32"/>
          <w:szCs w:val="32"/>
          <w:lang w:eastAsia="zh-CN"/>
        </w:rPr>
        <w:t xml:space="preserve"> 办公用房、公务用车的资产配置事项，由</w:t>
      </w:r>
      <w:r>
        <w:rPr>
          <w:rFonts w:hint="eastAsia" w:ascii="仿宋" w:hAnsi="仿宋" w:eastAsia="仿宋" w:cs="仿宋"/>
          <w:snapToGrid/>
          <w:kern w:val="2"/>
          <w:sz w:val="32"/>
          <w:szCs w:val="32"/>
          <w:lang w:val="en-US" w:eastAsia="zh-CN"/>
        </w:rPr>
        <w:t>市</w:t>
      </w:r>
      <w:r>
        <w:rPr>
          <w:rFonts w:hint="eastAsia" w:ascii="仿宋" w:hAnsi="仿宋" w:eastAsia="仿宋" w:cs="仿宋"/>
          <w:snapToGrid/>
          <w:kern w:val="2"/>
          <w:sz w:val="32"/>
          <w:szCs w:val="32"/>
          <w:lang w:eastAsia="zh-CN"/>
        </w:rPr>
        <w:t>机关事务</w:t>
      </w:r>
      <w:r>
        <w:rPr>
          <w:rFonts w:hint="eastAsia" w:ascii="仿宋" w:hAnsi="仿宋" w:eastAsia="仿宋" w:cs="仿宋"/>
          <w:snapToGrid/>
          <w:kern w:val="2"/>
          <w:sz w:val="32"/>
          <w:szCs w:val="32"/>
          <w:lang w:val="en-US" w:eastAsia="zh-CN"/>
        </w:rPr>
        <w:t>服务中心</w:t>
      </w:r>
      <w:r>
        <w:rPr>
          <w:rFonts w:hint="eastAsia" w:ascii="仿宋" w:hAnsi="仿宋" w:eastAsia="仿宋" w:cs="仿宋"/>
          <w:snapToGrid/>
          <w:kern w:val="2"/>
          <w:sz w:val="32"/>
          <w:szCs w:val="32"/>
          <w:lang w:eastAsia="zh-CN"/>
        </w:rPr>
        <w:t>按照《湖北省党政机关办公用房管理办法》《湖北省党政机关公务用车管理办法》相关配置管理规定执行。</w:t>
      </w:r>
    </w:p>
    <w:p w14:paraId="2EE072E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第三十一条 </w:t>
      </w:r>
      <w:r>
        <w:rPr>
          <w:rFonts w:hint="eastAsia" w:ascii="仿宋" w:hAnsi="仿宋" w:eastAsia="仿宋" w:cs="仿宋"/>
          <w:snapToGrid/>
          <w:kern w:val="2"/>
          <w:sz w:val="32"/>
          <w:szCs w:val="32"/>
          <w:lang w:eastAsia="zh-CN"/>
        </w:rPr>
        <w:t xml:space="preserve"> 涉及国家安全的行政事业单位资产配置，按照国家和省有关安全、保密制度的规定执行。</w:t>
      </w:r>
    </w:p>
    <w:p w14:paraId="39AF4781">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napToGrid/>
          <w:kern w:val="2"/>
          <w:sz w:val="32"/>
          <w:szCs w:val="32"/>
          <w:lang w:eastAsia="zh-CN"/>
        </w:rPr>
      </w:pPr>
      <w:r>
        <w:rPr>
          <w:rFonts w:hint="eastAsia" w:ascii="黑体" w:hAnsi="黑体" w:eastAsia="黑体" w:cs="黑体"/>
          <w:snapToGrid/>
          <w:kern w:val="2"/>
          <w:sz w:val="32"/>
          <w:szCs w:val="32"/>
          <w:lang w:eastAsia="zh-CN"/>
        </w:rPr>
        <w:t xml:space="preserve">第三十二条 </w:t>
      </w:r>
      <w:r>
        <w:rPr>
          <w:rFonts w:hint="eastAsia" w:ascii="仿宋" w:hAnsi="仿宋" w:eastAsia="仿宋" w:cs="仿宋"/>
          <w:snapToGrid/>
          <w:kern w:val="2"/>
          <w:sz w:val="32"/>
          <w:szCs w:val="32"/>
          <w:lang w:eastAsia="zh-CN"/>
        </w:rPr>
        <w:t xml:space="preserve"> 本办法</w:t>
      </w:r>
      <w:r>
        <w:rPr>
          <w:rFonts w:hint="eastAsia" w:ascii="仿宋" w:hAnsi="仿宋" w:eastAsia="仿宋" w:cs="仿宋"/>
          <w:snapToGrid/>
          <w:kern w:val="2"/>
          <w:sz w:val="32"/>
          <w:szCs w:val="32"/>
          <w:lang w:val="en-US" w:eastAsia="zh-CN"/>
        </w:rPr>
        <w:t>自</w:t>
      </w:r>
      <w:r>
        <w:rPr>
          <w:rFonts w:hint="eastAsia" w:ascii="仿宋" w:hAnsi="仿宋" w:eastAsia="仿宋" w:cs="仿宋"/>
          <w:snapToGrid/>
          <w:kern w:val="2"/>
          <w:sz w:val="32"/>
          <w:szCs w:val="32"/>
          <w:lang w:eastAsia="zh-CN"/>
        </w:rPr>
        <w:t>印发之日起施行，有效期五年。</w:t>
      </w:r>
    </w:p>
    <w:p w14:paraId="44FEA8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napToGrid/>
          <w:kern w:val="2"/>
          <w:sz w:val="32"/>
          <w:szCs w:val="32"/>
          <w:lang w:eastAsia="zh-CN"/>
        </w:rPr>
      </w:pPr>
      <w:bookmarkStart w:id="0" w:name="_GoBack"/>
      <w:bookmarkEnd w:id="0"/>
    </w:p>
    <w:sectPr>
      <w:headerReference r:id="rId5" w:type="default"/>
      <w:footerReference r:id="rId6" w:type="default"/>
      <w:pgSz w:w="11906" w:h="16839"/>
      <w:pgMar w:top="1701" w:right="1701" w:bottom="1701" w:left="1701" w:header="1274" w:footer="1001"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C5E440-E3D7-4156-9D2B-A0F77D27184D}"/>
  </w:font>
  <w:font w:name="黑体">
    <w:panose1 w:val="02010609060101010101"/>
    <w:charset w:val="86"/>
    <w:family w:val="auto"/>
    <w:pitch w:val="default"/>
    <w:sig w:usb0="800002BF" w:usb1="38CF7CFA" w:usb2="00000016" w:usb3="00000000" w:csb0="00040001" w:csb1="00000000"/>
    <w:embedRegular r:id="rId2" w:fontKey="{B15C5D20-37DB-4E9F-ADF8-EEB50E49CA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389F09D1-E2A7-4E6C-8E56-9D4B94DBDEB9}"/>
  </w:font>
  <w:font w:name="仿宋">
    <w:panose1 w:val="02010609060101010101"/>
    <w:charset w:val="86"/>
    <w:family w:val="auto"/>
    <w:pitch w:val="default"/>
    <w:sig w:usb0="800002BF" w:usb1="38CF7CFA" w:usb2="00000016" w:usb3="00000000" w:csb0="00040001" w:csb1="00000000"/>
    <w:embedRegular r:id="rId4" w:fontKey="{B4487261-0DC0-4017-847C-C98887CA82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30DDC">
    <w:pPr>
      <w:spacing w:line="38" w:lineRule="exact"/>
      <w:ind w:firstLine="6"/>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4A0D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94A0D7"/>
                </w:txbxContent>
              </v:textbox>
            </v:shape>
          </w:pict>
        </mc:Fallback>
      </mc:AlternateContent>
    </w:r>
  </w:p>
  <w:p w14:paraId="00DEBA5B">
    <w:pPr>
      <w:spacing w:line="316" w:lineRule="auto"/>
      <w:rPr>
        <w:rFonts w:ascii="Arial"/>
        <w:sz w:val="21"/>
      </w:rPr>
    </w:pPr>
  </w:p>
  <w:p w14:paraId="2811941B">
    <w:pPr>
      <w:spacing w:before="1" w:line="212" w:lineRule="auto"/>
      <w:ind w:left="6471"/>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2D255">
    <w:pPr>
      <w:spacing w:before="205" w:line="25"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1EB6423"/>
    <w:rsid w:val="13CF716E"/>
    <w:rsid w:val="1A7A00C9"/>
    <w:rsid w:val="1E5FBBF3"/>
    <w:rsid w:val="1E9B1255"/>
    <w:rsid w:val="29070BC9"/>
    <w:rsid w:val="36BC5125"/>
    <w:rsid w:val="42EE2DCF"/>
    <w:rsid w:val="4B0B6702"/>
    <w:rsid w:val="4BAF0CF1"/>
    <w:rsid w:val="522524FC"/>
    <w:rsid w:val="52673F74"/>
    <w:rsid w:val="529E5FC6"/>
    <w:rsid w:val="545253A1"/>
    <w:rsid w:val="5E94532F"/>
    <w:rsid w:val="5F72D104"/>
    <w:rsid w:val="6D997745"/>
    <w:rsid w:val="709B2F09"/>
    <w:rsid w:val="71F57DA8"/>
    <w:rsid w:val="76B4739E"/>
    <w:rsid w:val="76E74A89"/>
    <w:rsid w:val="7E7FCC5B"/>
    <w:rsid w:val="7FBCBD05"/>
    <w:rsid w:val="9D9F3CC6"/>
    <w:rsid w:val="9F7AD26A"/>
    <w:rsid w:val="BFFDA517"/>
    <w:rsid w:val="F5DE4A36"/>
    <w:rsid w:val="F7B368A2"/>
    <w:rsid w:val="FC77AE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3664</Words>
  <Characters>3668</Characters>
  <TotalTime>0</TotalTime>
  <ScaleCrop>false</ScaleCrop>
  <LinksUpToDate>false</LinksUpToDate>
  <CharactersWithSpaces>3750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2026-03-16T19:42:00Z</dcterms:created>
  <dc:creator>Escuy</dc:creator>
  <cp:lastModifiedBy>加油</cp:lastModifiedBy>
  <cp:lastPrinted>2026-06-03T02:45:00Z</cp:lastPrinted>
  <dcterms:modified xsi:type="dcterms:W3CDTF">2026-07-16T09:17:53Z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2026-04-27T16:14:04Z</vt:filetime>
  </property>
  <property fmtid="{D5CDD505-2E9C-101B-9397-08002B2CF9AE}" pid="4" name="KSOTemplateDocerSaveRecord">
    <vt:lpwstr>eyJoZGlkIjoiMzU4ZjkyOWU4NzI4OWY0OTk3OWVkNGIxNThkM2ZjMDYiLCJ1c2VySWQiOiI2MzQzNzQ2NjQifQ==</vt:lpwstr>
  </property>
  <property fmtid="{D5CDD505-2E9C-101B-9397-08002B2CF9AE}" pid="5" name="KSOProductBuildVer">
    <vt:lpwstr>2052-12.1.0.26895</vt:lpwstr>
  </property>
  <property fmtid="{D5CDD505-2E9C-101B-9397-08002B2CF9AE}" pid="6" name="ICV">
    <vt:lpwstr>1008277E14C64564B78E1707E63695AB_12</vt:lpwstr>
  </property>
</Properties>
</file>