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47DD1">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潜江市支持制造业高质量发展</w:t>
      </w:r>
      <w:r>
        <w:rPr>
          <w:rFonts w:hint="eastAsia" w:ascii="方正小标宋简体" w:hAnsi="方正小标宋简体" w:eastAsia="方正小标宋简体" w:cs="方正小标宋简体"/>
          <w:sz w:val="44"/>
          <w:szCs w:val="44"/>
          <w:highlight w:val="none"/>
          <w:lang w:val="en-US" w:eastAsia="zh-CN"/>
        </w:rPr>
        <w:t>若干</w:t>
      </w:r>
      <w:r>
        <w:rPr>
          <w:rFonts w:hint="eastAsia" w:ascii="方正小标宋简体" w:hAnsi="方正小标宋简体" w:eastAsia="方正小标宋简体" w:cs="方正小标宋简体"/>
          <w:sz w:val="44"/>
          <w:szCs w:val="44"/>
          <w:highlight w:val="none"/>
        </w:rPr>
        <w:t>措施</w:t>
      </w:r>
    </w:p>
    <w:p w14:paraId="3DF0A0AC">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征求意见</w:t>
      </w:r>
      <w:bookmarkStart w:id="0" w:name="_GoBack"/>
      <w:bookmarkEnd w:id="0"/>
      <w:r>
        <w:rPr>
          <w:rFonts w:hint="eastAsia" w:ascii="楷体" w:hAnsi="楷体" w:eastAsia="楷体" w:cs="楷体"/>
          <w:sz w:val="32"/>
          <w:szCs w:val="32"/>
          <w:highlight w:val="none"/>
        </w:rPr>
        <w:t>稿）</w:t>
      </w:r>
    </w:p>
    <w:p w14:paraId="5C7B7A94">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z w:val="32"/>
          <w:szCs w:val="32"/>
          <w:highlight w:val="none"/>
        </w:rPr>
      </w:pPr>
    </w:p>
    <w:p w14:paraId="36D8884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深入贯彻落实省委关于加快建成中部地区崛起的重要战略支点的要求，提升产业基础能力和产业链现代化水平，加快推进制造业数字化智能化技术改造，促进工业经济高质量发展，结合我市实际，特制定本措施。</w:t>
      </w:r>
    </w:p>
    <w:p w14:paraId="59A16C0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一、支持</w:t>
      </w:r>
      <w:r>
        <w:rPr>
          <w:rFonts w:hint="eastAsia" w:ascii="黑体" w:hAnsi="黑体" w:eastAsia="黑体" w:cs="黑体"/>
          <w:sz w:val="32"/>
          <w:szCs w:val="32"/>
          <w:highlight w:val="none"/>
          <w:lang w:val="en-US" w:eastAsia="zh-CN"/>
        </w:rPr>
        <w:t>技改升级拥数抱智</w:t>
      </w:r>
    </w:p>
    <w:p w14:paraId="7C7B7AA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（一）支持设备更新和技术改造。</w:t>
      </w:r>
      <w:r>
        <w:rPr>
          <w:rFonts w:hint="eastAsia" w:ascii="仿宋_GB2312" w:hAnsi="仿宋_GB2312" w:eastAsia="仿宋_GB2312" w:cs="仿宋_GB2312"/>
          <w:sz w:val="32"/>
          <w:szCs w:val="32"/>
          <w:highlight w:val="none"/>
          <w:lang w:val="en-US" w:eastAsia="zh-CN"/>
        </w:rPr>
        <w:t>对全市中小微企业，单个项目固定资产投资达300万元（含）以上，且其中设备与软件（不包括土地费用）投入占比达50%（含）以上的项目，经认定，在政策有效期内竣工投产的按设备与软件实际投入总额的8%给予奖补，</w:t>
      </w:r>
      <w:r>
        <w:rPr>
          <w:rFonts w:hint="default" w:ascii="仿宋_GB2312" w:hAnsi="仿宋_GB2312" w:eastAsia="仿宋_GB2312" w:cs="仿宋_GB2312"/>
          <w:sz w:val="32"/>
          <w:szCs w:val="32"/>
          <w:highlight w:val="none"/>
          <w:lang w:val="en-US" w:eastAsia="zh-CN"/>
        </w:rPr>
        <w:t>单个企业不超过500万元。</w:t>
      </w:r>
      <w:r>
        <w:rPr>
          <w:rFonts w:hint="eastAsia" w:ascii="仿宋_GB2312" w:hAnsi="仿宋_GB2312" w:eastAsia="仿宋_GB2312" w:cs="仿宋_GB2312"/>
          <w:b/>
          <w:bCs/>
          <w:sz w:val="32"/>
          <w:szCs w:val="32"/>
          <w:highlight w:val="none"/>
        </w:rPr>
        <w:t>（责任单位：市经信局、市财政局，各区、镇、街道）</w:t>
      </w:r>
    </w:p>
    <w:p w14:paraId="51F3087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楷体" w:hAnsi="楷体" w:eastAsia="楷体" w:cs="楷体"/>
          <w:color w:val="auto"/>
          <w:sz w:val="32"/>
          <w:szCs w:val="32"/>
          <w:highlight w:val="none"/>
          <w:lang w:val="en-US" w:eastAsia="zh-CN"/>
        </w:rPr>
      </w:pPr>
      <w:r>
        <w:rPr>
          <w:rFonts w:hint="eastAsia" w:ascii="楷体" w:hAnsi="楷体" w:eastAsia="楷体" w:cs="楷体"/>
          <w:sz w:val="32"/>
          <w:szCs w:val="32"/>
          <w:highlight w:val="none"/>
          <w:lang w:val="en-US" w:eastAsia="zh-CN"/>
        </w:rPr>
        <w:t>（二）支持企业智能化改造。</w:t>
      </w:r>
      <w:r>
        <w:rPr>
          <w:rFonts w:hint="default" w:ascii="仿宋_GB2312" w:hAnsi="仿宋_GB2312" w:eastAsia="仿宋_GB2312" w:cs="仿宋_GB2312"/>
          <w:sz w:val="32"/>
          <w:szCs w:val="32"/>
          <w:highlight w:val="none"/>
          <w:lang w:val="en-US" w:eastAsia="zh-CN"/>
        </w:rPr>
        <w:t>鼓励具有独立法人资格、规模以上工业企业</w:t>
      </w:r>
      <w:r>
        <w:rPr>
          <w:rFonts w:hint="eastAsia" w:ascii="仿宋_GB2312" w:hAnsi="仿宋_GB2312" w:eastAsia="仿宋_GB2312" w:cs="仿宋_GB2312"/>
          <w:sz w:val="32"/>
          <w:szCs w:val="32"/>
          <w:highlight w:val="none"/>
          <w:lang w:val="en-US" w:eastAsia="zh-CN"/>
        </w:rPr>
        <w:t>实施</w:t>
      </w:r>
      <w:r>
        <w:rPr>
          <w:rFonts w:hint="default" w:ascii="仿宋_GB2312" w:hAnsi="仿宋_GB2312" w:eastAsia="仿宋_GB2312" w:cs="仿宋_GB2312"/>
          <w:sz w:val="32"/>
          <w:szCs w:val="32"/>
          <w:highlight w:val="none"/>
          <w:lang w:val="en-US" w:eastAsia="zh-CN"/>
        </w:rPr>
        <w:t>智能化改造。对总投资300万元以上、智能制造能力成熟度评估水平</w:t>
      </w:r>
      <w:r>
        <w:rPr>
          <w:rFonts w:hint="eastAsia" w:ascii="仿宋_GB2312" w:hAnsi="仿宋_GB2312" w:eastAsia="仿宋_GB2312" w:cs="仿宋_GB2312"/>
          <w:sz w:val="32"/>
          <w:szCs w:val="32"/>
          <w:highlight w:val="none"/>
          <w:lang w:val="en-US" w:eastAsia="zh-CN"/>
        </w:rPr>
        <w:t>经第三方专业机构认定</w:t>
      </w:r>
      <w:r>
        <w:rPr>
          <w:rFonts w:hint="default" w:ascii="仿宋_GB2312" w:hAnsi="仿宋_GB2312" w:eastAsia="仿宋_GB2312" w:cs="仿宋_GB2312"/>
          <w:sz w:val="32"/>
          <w:szCs w:val="32"/>
          <w:highlight w:val="none"/>
          <w:lang w:val="en-US" w:eastAsia="zh-CN"/>
        </w:rPr>
        <w:t>达</w:t>
      </w:r>
      <w:r>
        <w:rPr>
          <w:rFonts w:hint="eastAsia" w:ascii="仿宋_GB2312" w:hAnsi="仿宋_GB2312" w:eastAsia="仿宋_GB2312" w:cs="仿宋_GB2312"/>
          <w:sz w:val="32"/>
          <w:szCs w:val="32"/>
          <w:highlight w:val="none"/>
          <w:lang w:val="en-US" w:eastAsia="zh-CN"/>
        </w:rPr>
        <w:t>工信部</w:t>
      </w:r>
      <w:r>
        <w:rPr>
          <w:rFonts w:hint="default" w:ascii="仿宋_GB2312" w:hAnsi="仿宋_GB2312" w:eastAsia="仿宋_GB2312" w:cs="仿宋_GB2312"/>
          <w:sz w:val="32"/>
          <w:szCs w:val="32"/>
          <w:highlight w:val="none"/>
          <w:lang w:val="en-US" w:eastAsia="zh-CN"/>
        </w:rPr>
        <w:t>《智能制造能力成熟度模型》二级及以上的，按其设备与</w:t>
      </w:r>
      <w:r>
        <w:rPr>
          <w:rFonts w:hint="eastAsia" w:ascii="仿宋_GB2312" w:hAnsi="仿宋_GB2312" w:eastAsia="仿宋_GB2312" w:cs="仿宋_GB2312"/>
          <w:sz w:val="32"/>
          <w:szCs w:val="32"/>
          <w:highlight w:val="none"/>
          <w:lang w:val="en-US" w:eastAsia="zh-CN"/>
        </w:rPr>
        <w:t>软件</w:t>
      </w:r>
      <w:r>
        <w:rPr>
          <w:rFonts w:hint="default" w:ascii="仿宋_GB2312" w:hAnsi="仿宋_GB2312" w:eastAsia="仿宋_GB2312" w:cs="仿宋_GB2312"/>
          <w:sz w:val="32"/>
          <w:szCs w:val="32"/>
          <w:highlight w:val="none"/>
          <w:lang w:val="en-US" w:eastAsia="zh-CN"/>
        </w:rPr>
        <w:t>实际投入总额的15%给予奖补，单个企业不超过500万元。</w:t>
      </w:r>
      <w:r>
        <w:rPr>
          <w:rFonts w:hint="default" w:ascii="仿宋_GB2312" w:hAnsi="仿宋_GB2312" w:eastAsia="仿宋_GB2312" w:cs="仿宋_GB2312"/>
          <w:b/>
          <w:bCs/>
          <w:sz w:val="32"/>
          <w:szCs w:val="32"/>
          <w:highlight w:val="none"/>
          <w:lang w:val="en-US" w:eastAsia="zh-CN"/>
        </w:rPr>
        <w:t>（责任单位：市经信局、市财政局，各区、镇、街道）</w:t>
      </w:r>
    </w:p>
    <w:p w14:paraId="6EEA4B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color w:val="auto"/>
          <w:sz w:val="32"/>
          <w:szCs w:val="32"/>
          <w:highlight w:val="none"/>
          <w:lang w:val="en-US" w:eastAsia="zh-CN"/>
        </w:rPr>
      </w:pPr>
      <w:r>
        <w:rPr>
          <w:rFonts w:hint="eastAsia" w:ascii="楷体" w:hAnsi="楷体" w:eastAsia="楷体" w:cs="楷体"/>
          <w:sz w:val="32"/>
          <w:szCs w:val="32"/>
          <w:highlight w:val="none"/>
          <w:lang w:val="en-US" w:eastAsia="zh-CN"/>
        </w:rPr>
        <w:t>（三）支持打造“数智”工厂标杆。</w:t>
      </w:r>
      <w:r>
        <w:rPr>
          <w:rFonts w:hint="default"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sz w:val="32"/>
          <w:szCs w:val="32"/>
          <w:highlight w:val="none"/>
          <w:lang w:val="en-US" w:eastAsia="zh-CN"/>
        </w:rPr>
        <w:t>首次认定通过的</w:t>
      </w:r>
      <w:r>
        <w:rPr>
          <w:rFonts w:hint="default" w:ascii="仿宋_GB2312" w:hAnsi="仿宋_GB2312" w:eastAsia="仿宋_GB2312" w:cs="仿宋_GB2312"/>
          <w:sz w:val="32"/>
          <w:szCs w:val="32"/>
          <w:highlight w:val="none"/>
          <w:lang w:val="en-US" w:eastAsia="zh-CN"/>
        </w:rPr>
        <w:t>国家5G工厂名录或卓越级智能工厂的企业，分别一次性给予100万元奖补。对</w:t>
      </w:r>
      <w:r>
        <w:rPr>
          <w:rFonts w:hint="eastAsia" w:ascii="仿宋_GB2312" w:hAnsi="仿宋_GB2312" w:eastAsia="仿宋_GB2312" w:cs="仿宋_GB2312"/>
          <w:sz w:val="32"/>
          <w:szCs w:val="32"/>
          <w:highlight w:val="none"/>
          <w:lang w:val="en-US" w:eastAsia="zh-CN"/>
        </w:rPr>
        <w:t>首次认定通过的</w:t>
      </w:r>
      <w:r>
        <w:rPr>
          <w:rFonts w:hint="default" w:ascii="仿宋_GB2312" w:hAnsi="仿宋_GB2312" w:eastAsia="仿宋_GB2312" w:cs="仿宋_GB2312"/>
          <w:sz w:val="32"/>
          <w:szCs w:val="32"/>
          <w:highlight w:val="none"/>
          <w:lang w:val="en-US" w:eastAsia="zh-CN"/>
        </w:rPr>
        <w:t>先进级智能工厂的企业一次性给予50万元奖补。</w:t>
      </w:r>
      <w:r>
        <w:rPr>
          <w:rFonts w:hint="eastAsia" w:ascii="仿宋_GB2312" w:hAnsi="仿宋_GB2312" w:eastAsia="仿宋_GB2312" w:cs="仿宋_GB2312"/>
          <w:sz w:val="32"/>
          <w:szCs w:val="32"/>
          <w:highlight w:val="none"/>
          <w:lang w:val="en-US" w:eastAsia="zh-CN"/>
        </w:rPr>
        <w:t>对首次认定通过的省级5G全连接工厂、数字孪生工厂或无人工厂的企业</w:t>
      </w:r>
      <w:r>
        <w:rPr>
          <w:rFonts w:hint="default" w:ascii="仿宋_GB2312" w:hAnsi="仿宋_GB2312" w:eastAsia="仿宋_GB2312" w:cs="仿宋_GB2312"/>
          <w:sz w:val="32"/>
          <w:szCs w:val="32"/>
          <w:highlight w:val="none"/>
          <w:lang w:val="en-US" w:eastAsia="zh-CN"/>
        </w:rPr>
        <w:t>，分别一次性给予30万元奖补。</w:t>
      </w:r>
      <w:r>
        <w:rPr>
          <w:rFonts w:hint="eastAsia" w:ascii="仿宋_GB2312" w:hAnsi="仿宋_GB2312" w:eastAsia="仿宋_GB2312" w:cs="仿宋_GB2312"/>
          <w:b/>
          <w:bCs/>
          <w:sz w:val="32"/>
          <w:szCs w:val="32"/>
          <w:highlight w:val="none"/>
        </w:rPr>
        <w:t>（责任单位：市经信局、市财政局，各区、镇、街道）</w:t>
      </w:r>
    </w:p>
    <w:p w14:paraId="114855E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highlight w:val="none"/>
        </w:rPr>
      </w:pPr>
      <w:r>
        <w:rPr>
          <w:rFonts w:hint="eastAsia" w:ascii="楷体" w:hAnsi="楷体" w:eastAsia="楷体" w:cs="楷体"/>
          <w:color w:val="auto"/>
          <w:sz w:val="32"/>
          <w:szCs w:val="32"/>
          <w:highlight w:val="none"/>
          <w:lang w:val="en-US" w:eastAsia="zh-CN"/>
        </w:rPr>
        <w:t>（四）支持企业数字化</w:t>
      </w:r>
      <w:r>
        <w:rPr>
          <w:rFonts w:hint="default" w:ascii="楷体" w:hAnsi="楷体" w:eastAsia="楷体" w:cs="楷体"/>
          <w:color w:val="auto"/>
          <w:sz w:val="32"/>
          <w:szCs w:val="32"/>
          <w:highlight w:val="none"/>
          <w:lang w:val="en-US" w:eastAsia="zh-CN"/>
        </w:rPr>
        <w:t>转型</w:t>
      </w:r>
      <w:r>
        <w:rPr>
          <w:rFonts w:hint="eastAsia" w:ascii="楷体" w:hAnsi="楷体" w:eastAsia="楷体" w:cs="楷体"/>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对完成数字化改造且数字化水平经</w:t>
      </w:r>
      <w:r>
        <w:rPr>
          <w:rFonts w:hint="default" w:ascii="仿宋_GB2312" w:hAnsi="仿宋_GB2312" w:eastAsia="仿宋_GB2312" w:cs="仿宋_GB2312"/>
          <w:color w:val="auto"/>
          <w:sz w:val="32"/>
          <w:szCs w:val="32"/>
          <w:highlight w:val="none"/>
          <w:lang w:val="en-US" w:eastAsia="zh-CN"/>
        </w:rPr>
        <w:t>第三方专业机构依据工信部最新《中小企业数字化水平评测指标》</w:t>
      </w:r>
      <w:r>
        <w:rPr>
          <w:rFonts w:hint="eastAsia" w:ascii="仿宋_GB2312" w:hAnsi="仿宋_GB2312" w:eastAsia="仿宋_GB2312" w:cs="仿宋_GB2312"/>
          <w:color w:val="auto"/>
          <w:sz w:val="32"/>
          <w:szCs w:val="32"/>
          <w:highlight w:val="none"/>
          <w:lang w:val="en-US" w:eastAsia="zh-CN"/>
        </w:rPr>
        <w:t>评测达到二级的</w:t>
      </w:r>
      <w:r>
        <w:rPr>
          <w:rFonts w:hint="default"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一次性</w:t>
      </w:r>
      <w:r>
        <w:rPr>
          <w:rFonts w:hint="eastAsia" w:ascii="仿宋_GB2312" w:hAnsi="仿宋_GB2312" w:eastAsia="仿宋_GB2312" w:cs="仿宋_GB2312"/>
          <w:color w:val="auto"/>
          <w:sz w:val="32"/>
          <w:szCs w:val="32"/>
          <w:highlight w:val="none"/>
          <w:lang w:val="en-US" w:eastAsia="zh-CN"/>
        </w:rPr>
        <w:t>给予6万元</w:t>
      </w:r>
      <w:r>
        <w:rPr>
          <w:rFonts w:hint="default" w:ascii="仿宋_GB2312" w:hAnsi="仿宋_GB2312" w:eastAsia="仿宋_GB2312" w:cs="仿宋_GB2312"/>
          <w:color w:val="auto"/>
          <w:sz w:val="32"/>
          <w:szCs w:val="32"/>
          <w:highlight w:val="none"/>
          <w:lang w:val="en-US" w:eastAsia="zh-CN"/>
        </w:rPr>
        <w:t>奖补</w:t>
      </w:r>
      <w:r>
        <w:rPr>
          <w:rFonts w:hint="eastAsia" w:ascii="仿宋_GB2312" w:hAnsi="仿宋_GB2312" w:eastAsia="仿宋_GB2312" w:cs="仿宋_GB2312"/>
          <w:color w:val="auto"/>
          <w:sz w:val="32"/>
          <w:szCs w:val="32"/>
          <w:highlight w:val="none"/>
          <w:lang w:val="en-US" w:eastAsia="zh-CN"/>
        </w:rPr>
        <w:t>；达到三级及以上的企业，给予</w:t>
      </w:r>
      <w:r>
        <w:rPr>
          <w:rFonts w:hint="default" w:ascii="仿宋_GB2312" w:hAnsi="仿宋_GB2312" w:eastAsia="仿宋_GB2312" w:cs="仿宋_GB2312"/>
          <w:color w:val="auto"/>
          <w:sz w:val="32"/>
          <w:szCs w:val="32"/>
          <w:highlight w:val="none"/>
          <w:lang w:val="en-US" w:eastAsia="zh-CN"/>
        </w:rPr>
        <w:t>一次性</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万元</w:t>
      </w:r>
      <w:r>
        <w:rPr>
          <w:rFonts w:hint="default" w:ascii="仿宋_GB2312" w:hAnsi="仿宋_GB2312" w:eastAsia="仿宋_GB2312" w:cs="仿宋_GB2312"/>
          <w:color w:val="auto"/>
          <w:sz w:val="32"/>
          <w:szCs w:val="32"/>
          <w:highlight w:val="none"/>
          <w:lang w:val="en-US" w:eastAsia="zh-CN"/>
        </w:rPr>
        <w:t>奖补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（责任单位：市经信局、市财政局，各区、镇、街道）</w:t>
      </w:r>
    </w:p>
    <w:p w14:paraId="5E67545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highlight w:val="none"/>
        </w:rPr>
      </w:pPr>
      <w:r>
        <w:rPr>
          <w:rFonts w:hint="eastAsia" w:ascii="楷体" w:hAnsi="楷体" w:eastAsia="楷体" w:cs="楷体"/>
          <w:color w:val="auto"/>
          <w:sz w:val="32"/>
          <w:szCs w:val="32"/>
          <w:highlight w:val="none"/>
          <w:lang w:val="en-US" w:eastAsia="zh-CN"/>
        </w:rPr>
        <w:t>（五）支持数智融合应用示范。</w:t>
      </w:r>
      <w:r>
        <w:rPr>
          <w:rFonts w:hint="eastAsia" w:ascii="仿宋_GB2312" w:hAnsi="仿宋_GB2312" w:eastAsia="仿宋_GB2312" w:cs="仿宋_GB2312"/>
          <w:color w:val="auto"/>
          <w:sz w:val="32"/>
          <w:szCs w:val="32"/>
          <w:highlight w:val="none"/>
        </w:rPr>
        <w:t>支持人工智能赋能新型工业化场景创新应用，对首次入选国家级</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省级中小企业数字化</w:t>
      </w:r>
      <w:r>
        <w:rPr>
          <w:rFonts w:hint="eastAsia" w:ascii="仿宋_GB2312" w:hAnsi="仿宋_GB2312" w:eastAsia="仿宋_GB2312" w:cs="仿宋_GB2312"/>
          <w:color w:val="auto"/>
          <w:sz w:val="32"/>
          <w:szCs w:val="32"/>
          <w:highlight w:val="none"/>
          <w:lang w:eastAsia="zh-CN"/>
        </w:rPr>
        <w:t>转型、产业链供应链“链式”转型、中小企业集群数字化转型</w:t>
      </w:r>
      <w:r>
        <w:rPr>
          <w:rFonts w:hint="eastAsia" w:ascii="仿宋_GB2312" w:hAnsi="仿宋_GB2312" w:eastAsia="仿宋_GB2312" w:cs="仿宋_GB2312"/>
          <w:color w:val="auto"/>
          <w:sz w:val="32"/>
          <w:szCs w:val="32"/>
          <w:highlight w:val="none"/>
        </w:rPr>
        <w:t>典型案例，分别给予一次性奖补</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0万元、</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0万元；对入选国家级、省级人工智能赋能新型工业化典型应用案例的企业，分别给予一次性</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0万元、</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0万元奖补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sz w:val="32"/>
          <w:szCs w:val="32"/>
          <w:highlight w:val="none"/>
        </w:rPr>
        <w:t>（责任单位：市经信局、市财政局，各区、镇、街道）</w:t>
      </w:r>
    </w:p>
    <w:p w14:paraId="3B4E4FA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val="en-US" w:eastAsia="zh-CN"/>
        </w:rPr>
        <w:t>（六）支持工业互联网平台建设。</w:t>
      </w:r>
      <w:r>
        <w:rPr>
          <w:rFonts w:hint="eastAsia" w:ascii="仿宋_GB2312" w:hAnsi="仿宋_GB2312" w:eastAsia="仿宋_GB2312" w:cs="仿宋_GB2312"/>
          <w:sz w:val="32"/>
          <w:szCs w:val="32"/>
          <w:highlight w:val="none"/>
        </w:rPr>
        <w:t>对首次认定</w:t>
      </w:r>
      <w:r>
        <w:rPr>
          <w:rFonts w:hint="eastAsia"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sz w:val="32"/>
          <w:szCs w:val="32"/>
          <w:highlight w:val="none"/>
        </w:rPr>
        <w:t>的省级专业型、行业型、区域性工业互联网平台，</w:t>
      </w:r>
      <w:r>
        <w:rPr>
          <w:rFonts w:hint="eastAsia" w:ascii="仿宋_GB2312" w:hAnsi="仿宋_GB2312" w:eastAsia="仿宋_GB2312" w:cs="仿宋_GB2312"/>
          <w:sz w:val="32"/>
          <w:szCs w:val="32"/>
          <w:highlight w:val="none"/>
          <w:lang w:val="en-US" w:eastAsia="zh-CN"/>
        </w:rPr>
        <w:t>分别</w:t>
      </w:r>
      <w:r>
        <w:rPr>
          <w:rFonts w:hint="eastAsia" w:ascii="仿宋_GB2312" w:hAnsi="仿宋_GB2312" w:eastAsia="仿宋_GB2312" w:cs="仿宋_GB2312"/>
          <w:sz w:val="32"/>
          <w:szCs w:val="32"/>
          <w:highlight w:val="none"/>
        </w:rPr>
        <w:t>给予一次性50万元奖补。</w:t>
      </w:r>
      <w:r>
        <w:rPr>
          <w:rFonts w:hint="eastAsia" w:ascii="仿宋_GB2312" w:hAnsi="仿宋_GB2312" w:eastAsia="仿宋_GB2312" w:cs="仿宋_GB2312"/>
          <w:color w:val="auto"/>
          <w:sz w:val="32"/>
          <w:szCs w:val="32"/>
          <w:highlight w:val="none"/>
        </w:rPr>
        <w:t>对首次认定</w:t>
      </w:r>
      <w:r>
        <w:rPr>
          <w:rFonts w:hint="eastAsia" w:ascii="仿宋_GB2312" w:hAnsi="仿宋_GB2312" w:eastAsia="仿宋_GB2312" w:cs="仿宋_GB2312"/>
          <w:color w:val="auto"/>
          <w:sz w:val="32"/>
          <w:szCs w:val="32"/>
          <w:highlight w:val="none"/>
          <w:lang w:val="en-US" w:eastAsia="zh-CN"/>
        </w:rPr>
        <w:t>通过的</w:t>
      </w:r>
      <w:r>
        <w:rPr>
          <w:rFonts w:hint="eastAsia" w:ascii="仿宋_GB2312" w:hAnsi="仿宋_GB2312" w:eastAsia="仿宋_GB2312" w:cs="仿宋_GB2312"/>
          <w:color w:val="auto"/>
          <w:sz w:val="32"/>
          <w:szCs w:val="32"/>
          <w:highlight w:val="none"/>
        </w:rPr>
        <w:t>国家</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、省级“双跨”工业互联网平台，分别给予一次性</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万元奖补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rPr>
        <w:t>（责任单位：市经信局、市财政局，各区、镇、街道）</w:t>
      </w:r>
    </w:p>
    <w:p w14:paraId="6238E7C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highlight w:val="none"/>
        </w:rPr>
      </w:pPr>
      <w:r>
        <w:rPr>
          <w:rFonts w:hint="eastAsia" w:ascii="黑体" w:hAnsi="黑体" w:eastAsia="黑体" w:cs="黑体"/>
          <w:sz w:val="32"/>
          <w:szCs w:val="32"/>
          <w:highlight w:val="none"/>
        </w:rPr>
        <w:t>二、支持新兴产业创新发展</w:t>
      </w:r>
    </w:p>
    <w:p w14:paraId="70041F3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FF0000"/>
          <w:sz w:val="32"/>
          <w:szCs w:val="32"/>
          <w:highlight w:val="none"/>
        </w:rPr>
      </w:pPr>
      <w:r>
        <w:rPr>
          <w:rFonts w:hint="eastAsia" w:ascii="楷体" w:hAnsi="楷体" w:eastAsia="楷体" w:cs="楷体"/>
          <w:color w:val="auto"/>
          <w:sz w:val="32"/>
          <w:szCs w:val="32"/>
          <w:highlight w:val="none"/>
          <w:lang w:val="en-US" w:eastAsia="zh-CN"/>
        </w:rPr>
        <w:t>（七）</w:t>
      </w:r>
      <w:r>
        <w:rPr>
          <w:rFonts w:hint="eastAsia" w:ascii="楷体" w:hAnsi="楷体" w:eastAsia="楷体" w:cs="楷体"/>
          <w:color w:val="auto"/>
          <w:sz w:val="32"/>
          <w:szCs w:val="32"/>
          <w:highlight w:val="none"/>
        </w:rPr>
        <w:t>支持</w:t>
      </w:r>
      <w:r>
        <w:rPr>
          <w:rFonts w:hint="eastAsia" w:ascii="楷体" w:hAnsi="楷体" w:eastAsia="楷体" w:cs="楷体"/>
          <w:color w:val="auto"/>
          <w:sz w:val="32"/>
          <w:szCs w:val="32"/>
          <w:highlight w:val="none"/>
          <w:lang w:val="en-US" w:eastAsia="zh-CN"/>
        </w:rPr>
        <w:t>产品应用推广</w:t>
      </w:r>
      <w:r>
        <w:rPr>
          <w:rFonts w:hint="eastAsia" w:ascii="楷体" w:hAnsi="楷体" w:eastAsia="楷体" w:cs="楷体"/>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鼓励具身智能领域生产企业在</w:t>
      </w:r>
      <w:r>
        <w:rPr>
          <w:rFonts w:hint="eastAsia" w:ascii="仿宋_GB2312" w:hAnsi="仿宋_GB2312" w:eastAsia="仿宋_GB2312" w:cs="仿宋_GB2312"/>
          <w:b w:val="0"/>
          <w:bCs w:val="0"/>
          <w:color w:val="auto"/>
          <w:sz w:val="32"/>
          <w:szCs w:val="32"/>
          <w:highlight w:val="none"/>
        </w:rPr>
        <w:t>重点领域</w:t>
      </w:r>
      <w:r>
        <w:rPr>
          <w:rFonts w:hint="eastAsia" w:ascii="仿宋_GB2312" w:hAnsi="仿宋_GB2312" w:eastAsia="仿宋_GB2312" w:cs="仿宋_GB2312"/>
          <w:b w:val="0"/>
          <w:bCs w:val="0"/>
          <w:color w:val="auto"/>
          <w:sz w:val="32"/>
          <w:szCs w:val="32"/>
          <w:highlight w:val="none"/>
          <w:lang w:val="en-US" w:eastAsia="zh-CN"/>
        </w:rPr>
        <w:t>开展</w:t>
      </w:r>
      <w:r>
        <w:rPr>
          <w:rFonts w:hint="eastAsia" w:ascii="仿宋_GB2312" w:hAnsi="仿宋_GB2312" w:eastAsia="仿宋_GB2312" w:cs="仿宋_GB2312"/>
          <w:b w:val="0"/>
          <w:bCs w:val="0"/>
          <w:color w:val="auto"/>
          <w:sz w:val="32"/>
          <w:szCs w:val="32"/>
          <w:highlight w:val="none"/>
        </w:rPr>
        <w:t>示范应用</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推动</w:t>
      </w:r>
      <w:r>
        <w:rPr>
          <w:rFonts w:hint="eastAsia" w:ascii="仿宋_GB2312" w:hAnsi="仿宋_GB2312" w:eastAsia="仿宋_GB2312" w:cs="仿宋_GB2312"/>
          <w:b w:val="0"/>
          <w:bCs w:val="0"/>
          <w:color w:val="auto"/>
          <w:sz w:val="32"/>
          <w:szCs w:val="32"/>
          <w:highlight w:val="none"/>
          <w:lang w:val="en-US" w:eastAsia="zh-CN"/>
        </w:rPr>
        <w:t>具身智能</w:t>
      </w:r>
      <w:r>
        <w:rPr>
          <w:rFonts w:hint="eastAsia" w:ascii="仿宋_GB2312" w:hAnsi="仿宋_GB2312" w:eastAsia="仿宋_GB2312" w:cs="仿宋_GB2312"/>
          <w:b w:val="0"/>
          <w:bCs w:val="0"/>
          <w:color w:val="auto"/>
          <w:sz w:val="32"/>
          <w:szCs w:val="32"/>
          <w:highlight w:val="none"/>
        </w:rPr>
        <w:t>重点向</w:t>
      </w:r>
      <w:r>
        <w:rPr>
          <w:rFonts w:hint="eastAsia" w:ascii="仿宋_GB2312" w:hAnsi="仿宋_GB2312" w:eastAsia="仿宋_GB2312" w:cs="仿宋_GB2312"/>
          <w:b w:val="0"/>
          <w:bCs w:val="0"/>
          <w:color w:val="auto"/>
          <w:sz w:val="32"/>
          <w:szCs w:val="32"/>
          <w:highlight w:val="none"/>
          <w:lang w:val="en-US" w:eastAsia="zh-CN"/>
        </w:rPr>
        <w:t>绿色化工、光电子信息、小龙虾加工、纺织服装</w:t>
      </w:r>
      <w:r>
        <w:rPr>
          <w:rFonts w:hint="eastAsia" w:ascii="仿宋_GB2312" w:hAnsi="仿宋_GB2312" w:eastAsia="仿宋_GB2312" w:cs="仿宋_GB2312"/>
          <w:b w:val="0"/>
          <w:bCs w:val="0"/>
          <w:color w:val="auto"/>
          <w:sz w:val="32"/>
          <w:szCs w:val="32"/>
          <w:highlight w:val="none"/>
        </w:rPr>
        <w:t>等企业“实训、打工”</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打造</w:t>
      </w:r>
      <w:r>
        <w:rPr>
          <w:rFonts w:hint="eastAsia" w:ascii="仿宋_GB2312" w:hAnsi="仿宋_GB2312" w:eastAsia="仿宋_GB2312" w:cs="仿宋_GB2312"/>
          <w:b w:val="0"/>
          <w:bCs w:val="0"/>
          <w:color w:val="auto"/>
          <w:sz w:val="32"/>
          <w:szCs w:val="32"/>
          <w:highlight w:val="none"/>
          <w:lang w:val="en-US" w:eastAsia="zh-CN"/>
        </w:rPr>
        <w:t>具身智能</w:t>
      </w:r>
      <w:r>
        <w:rPr>
          <w:rFonts w:hint="eastAsia" w:ascii="仿宋_GB2312" w:hAnsi="仿宋_GB2312" w:eastAsia="仿宋_GB2312" w:cs="仿宋_GB2312"/>
          <w:b w:val="0"/>
          <w:bCs w:val="0"/>
          <w:color w:val="auto"/>
          <w:sz w:val="32"/>
          <w:szCs w:val="32"/>
          <w:highlight w:val="none"/>
        </w:rPr>
        <w:t>应用示范产线与标杆工厂</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对具身智能产品及场景应用方，按项目设备购置额的30%给予奖补，</w:t>
      </w:r>
      <w:r>
        <w:rPr>
          <w:rFonts w:hint="eastAsia" w:ascii="仿宋_GB2312" w:hAnsi="仿宋_GB2312" w:eastAsia="仿宋_GB2312" w:cs="仿宋_GB2312"/>
          <w:color w:val="auto"/>
          <w:sz w:val="32"/>
          <w:szCs w:val="32"/>
          <w:highlight w:val="none"/>
        </w:rPr>
        <w:t>单个项目最高不超过</w:t>
      </w:r>
      <w:r>
        <w:rPr>
          <w:rFonts w:hint="eastAsia" w:ascii="仿宋_GB2312" w:hAnsi="仿宋_GB2312" w:eastAsia="仿宋_GB2312" w:cs="仿宋_GB2312"/>
          <w:b w:val="0"/>
          <w:bCs w:val="0"/>
          <w:color w:val="auto"/>
          <w:sz w:val="32"/>
          <w:szCs w:val="32"/>
          <w:highlight w:val="none"/>
          <w:lang w:val="en-US" w:eastAsia="zh-CN"/>
        </w:rPr>
        <w:t>300万元。</w:t>
      </w:r>
      <w:r>
        <w:rPr>
          <w:rFonts w:hint="eastAsia" w:ascii="仿宋_GB2312" w:hAnsi="仿宋_GB2312" w:eastAsia="仿宋_GB2312" w:cs="仿宋_GB2312"/>
          <w:b/>
          <w:bCs/>
          <w:sz w:val="32"/>
          <w:szCs w:val="32"/>
          <w:highlight w:val="none"/>
        </w:rPr>
        <w:t>（责任单位：市经信局、市财政局，各区、镇、街道）</w:t>
      </w:r>
    </w:p>
    <w:p w14:paraId="740EAD9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rPr>
        <w:t>三</w:t>
      </w:r>
      <w:r>
        <w:rPr>
          <w:rFonts w:hint="eastAsia" w:ascii="黑体" w:hAnsi="黑体" w:eastAsia="黑体" w:cs="黑体"/>
          <w:sz w:val="32"/>
          <w:szCs w:val="32"/>
          <w:highlight w:val="none"/>
        </w:rPr>
        <w:t>、支持</w:t>
      </w:r>
      <w:r>
        <w:rPr>
          <w:rFonts w:hint="eastAsia" w:ascii="黑体" w:hAnsi="黑体" w:eastAsia="黑体" w:cs="黑体"/>
          <w:sz w:val="32"/>
          <w:szCs w:val="32"/>
          <w:highlight w:val="none"/>
          <w:lang w:val="en-US" w:eastAsia="zh-CN"/>
        </w:rPr>
        <w:t>企业做强做优</w:t>
      </w:r>
    </w:p>
    <w:p w14:paraId="0E4C2B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黑体" w:hAnsi="黑体" w:eastAsia="黑体" w:cs="黑体"/>
          <w:sz w:val="32"/>
          <w:szCs w:val="32"/>
          <w:highlight w:val="none"/>
          <w:lang w:val="en-US"/>
        </w:rPr>
      </w:pPr>
      <w:r>
        <w:rPr>
          <w:rFonts w:hint="eastAsia" w:ascii="楷体" w:hAnsi="楷体" w:eastAsia="楷体" w:cs="楷体"/>
          <w:color w:val="auto"/>
          <w:sz w:val="32"/>
          <w:szCs w:val="32"/>
          <w:highlight w:val="none"/>
          <w:lang w:val="en-US" w:eastAsia="zh-CN"/>
        </w:rPr>
        <w:t>（八）支持企业梯度成长与创新引领。</w:t>
      </w:r>
      <w:r>
        <w:rPr>
          <w:rFonts w:hint="eastAsia" w:ascii="仿宋_GB2312" w:hAnsi="仿宋_GB2312" w:eastAsia="仿宋_GB2312" w:cs="仿宋_GB2312"/>
          <w:color w:val="auto"/>
          <w:sz w:val="32"/>
          <w:szCs w:val="32"/>
          <w:highlight w:val="none"/>
          <w:lang w:val="en-US" w:eastAsia="zh-CN"/>
        </w:rPr>
        <w:t>对“进规”工业企业（不含退规企业重新进规）给予一次性奖补10万元。</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首次认定通过</w:t>
      </w:r>
      <w:r>
        <w:rPr>
          <w:rFonts w:hint="eastAsia" w:ascii="仿宋_GB2312" w:hAnsi="仿宋_GB2312" w:eastAsia="仿宋_GB2312" w:cs="仿宋_GB2312"/>
          <w:color w:val="auto"/>
          <w:sz w:val="32"/>
          <w:szCs w:val="32"/>
          <w:highlight w:val="none"/>
        </w:rPr>
        <w:t>的省级专精特新</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给予一次性奖补30万元，对首次复核通过的省级专精特</w:t>
      </w:r>
      <w:r>
        <w:rPr>
          <w:rFonts w:hint="eastAsia" w:ascii="仿宋_GB2312" w:hAnsi="仿宋_GB2312" w:eastAsia="仿宋_GB2312" w:cs="仿宋_GB2312"/>
          <w:color w:val="auto"/>
          <w:sz w:val="32"/>
          <w:szCs w:val="32"/>
          <w:highlight w:val="none"/>
          <w:lang w:eastAsia="zh-CN"/>
        </w:rPr>
        <w:t>新</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给予一次性奖补</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万元。对首次认定通过的省级绿色工厂、省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制造业单项冠军企业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分别</w:t>
      </w:r>
      <w:r>
        <w:rPr>
          <w:rFonts w:hint="eastAsia" w:ascii="仿宋_GB2312" w:hAnsi="仿宋_GB2312" w:eastAsia="仿宋_GB2312" w:cs="仿宋_GB2312"/>
          <w:color w:val="auto"/>
          <w:sz w:val="32"/>
          <w:szCs w:val="32"/>
          <w:highlight w:val="none"/>
        </w:rPr>
        <w:t>给予一次性奖补</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万元。对首次</w:t>
      </w:r>
      <w:r>
        <w:rPr>
          <w:rFonts w:hint="eastAsia" w:ascii="仿宋_GB2312" w:hAnsi="仿宋_GB2312" w:eastAsia="仿宋_GB2312" w:cs="仿宋_GB2312"/>
          <w:color w:val="auto"/>
          <w:sz w:val="32"/>
          <w:szCs w:val="32"/>
          <w:highlight w:val="none"/>
          <w:lang w:val="en-US" w:eastAsia="zh-CN"/>
        </w:rPr>
        <w:t>获得</w:t>
      </w:r>
      <w:r>
        <w:rPr>
          <w:rFonts w:hint="eastAsia" w:ascii="仿宋_GB2312" w:hAnsi="仿宋_GB2312" w:eastAsia="仿宋_GB2312" w:cs="仿宋_GB2312"/>
          <w:color w:val="auto"/>
          <w:sz w:val="32"/>
          <w:szCs w:val="32"/>
          <w:highlight w:val="none"/>
        </w:rPr>
        <w:t>省级</w:t>
      </w:r>
      <w:r>
        <w:rPr>
          <w:rFonts w:hint="eastAsia" w:ascii="仿宋_GB2312" w:hAnsi="仿宋_GB2312" w:eastAsia="仿宋_GB2312" w:cs="仿宋_GB2312"/>
          <w:color w:val="auto"/>
          <w:sz w:val="32"/>
          <w:szCs w:val="32"/>
          <w:highlight w:val="none"/>
          <w:lang w:val="en-US" w:eastAsia="zh-CN"/>
        </w:rPr>
        <w:t>部门认定的</w:t>
      </w:r>
      <w:r>
        <w:rPr>
          <w:rFonts w:hint="eastAsia" w:ascii="仿宋_GB2312" w:hAnsi="仿宋_GB2312" w:eastAsia="仿宋_GB2312" w:cs="仿宋_GB2312"/>
          <w:color w:val="auto"/>
          <w:sz w:val="32"/>
          <w:szCs w:val="32"/>
          <w:highlight w:val="none"/>
        </w:rPr>
        <w:t>军民融合企业给予一次性奖补10万元</w:t>
      </w:r>
      <w:r>
        <w:rPr>
          <w:rFonts w:hint="eastAsia" w:ascii="仿宋_GB2312" w:hAnsi="仿宋_GB2312" w:eastAsia="仿宋_GB2312" w:cs="仿宋_GB2312"/>
          <w:sz w:val="32"/>
          <w:szCs w:val="32"/>
          <w:highlight w:val="none"/>
          <w:lang w:val="en-US" w:eastAsia="zh-CN"/>
        </w:rPr>
        <w:t>。对首次入选“金种子”“银种子”的省级上市后备企业，分别给予一次性奖补10万元、5万元。</w:t>
      </w:r>
      <w:r>
        <w:rPr>
          <w:rFonts w:hint="eastAsia" w:ascii="仿宋_GB2312" w:hAnsi="仿宋_GB2312" w:eastAsia="仿宋_GB2312" w:cs="仿宋_GB2312"/>
          <w:b/>
          <w:bCs/>
          <w:sz w:val="32"/>
          <w:szCs w:val="32"/>
          <w:highlight w:val="none"/>
        </w:rPr>
        <w:t>（责任单位：市经信局、市财政局</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市金融办，</w:t>
      </w:r>
      <w:r>
        <w:rPr>
          <w:rFonts w:hint="eastAsia" w:ascii="仿宋_GB2312" w:hAnsi="仿宋_GB2312" w:eastAsia="仿宋_GB2312" w:cs="仿宋_GB2312"/>
          <w:b/>
          <w:bCs/>
          <w:sz w:val="32"/>
          <w:szCs w:val="32"/>
          <w:highlight w:val="none"/>
        </w:rPr>
        <w:t>各区、镇、街道）</w:t>
      </w:r>
    </w:p>
    <w:p w14:paraId="0521152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val="en-US"/>
        </w:rPr>
        <w:t>四</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支持创新载体建设</w:t>
      </w:r>
    </w:p>
    <w:p w14:paraId="07F4301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highlight w:val="none"/>
          <w:lang w:val="en-US" w:eastAsia="zh-CN"/>
        </w:rPr>
      </w:pPr>
      <w:r>
        <w:rPr>
          <w:rFonts w:hint="eastAsia" w:ascii="楷体" w:hAnsi="楷体" w:eastAsia="楷体" w:cs="楷体"/>
          <w:sz w:val="32"/>
          <w:szCs w:val="32"/>
          <w:highlight w:val="none"/>
          <w:lang w:val="en-US" w:eastAsia="zh-CN"/>
        </w:rPr>
        <w:t>（九）支持高水平创新平台建设。</w:t>
      </w:r>
      <w:r>
        <w:rPr>
          <w:rFonts w:hint="eastAsia" w:ascii="仿宋_GB2312" w:hAnsi="仿宋_GB2312" w:eastAsia="仿宋_GB2312" w:cs="仿宋_GB2312"/>
          <w:sz w:val="32"/>
          <w:szCs w:val="32"/>
          <w:highlight w:val="none"/>
        </w:rPr>
        <w:t>对首次认定</w:t>
      </w:r>
      <w:r>
        <w:rPr>
          <w:rFonts w:hint="eastAsia"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sz w:val="32"/>
          <w:szCs w:val="32"/>
          <w:highlight w:val="none"/>
        </w:rPr>
        <w:t>的省级工业设计中心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省中小企业技术中心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分别给予一次性奖补30万元。对首次认定通过的</w:t>
      </w:r>
      <w:r>
        <w:rPr>
          <w:rFonts w:hint="eastAsia" w:ascii="仿宋_GB2312" w:hAnsi="仿宋_GB2312" w:eastAsia="仿宋_GB2312" w:cs="仿宋_GB2312"/>
          <w:sz w:val="32"/>
          <w:szCs w:val="32"/>
          <w:highlight w:val="none"/>
        </w:rPr>
        <w:t>省级中小企业公共服务示范平台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省级小型微型创业创新示范基地</w:t>
      </w:r>
      <w:r>
        <w:rPr>
          <w:rFonts w:hint="eastAsia" w:ascii="仿宋_GB2312" w:hAnsi="仿宋_GB2312" w:eastAsia="仿宋_GB2312" w:cs="仿宋_GB2312"/>
          <w:sz w:val="32"/>
          <w:szCs w:val="32"/>
          <w:highlight w:val="none"/>
          <w:lang w:eastAsia="zh-CN"/>
        </w:rPr>
        <w:t>，分别给予一次性奖补</w:t>
      </w:r>
      <w:r>
        <w:rPr>
          <w:rFonts w:hint="eastAsia" w:ascii="仿宋_GB2312" w:hAnsi="仿宋_GB2312" w:eastAsia="仿宋_GB2312" w:cs="仿宋_GB2312"/>
          <w:sz w:val="32"/>
          <w:szCs w:val="32"/>
          <w:highlight w:val="none"/>
          <w:lang w:val="en-US" w:eastAsia="zh-CN"/>
        </w:rPr>
        <w:t>20万元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对首次认定通过的省制造业创新中心给予一次性奖补</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00万元。</w:t>
      </w:r>
      <w:r>
        <w:rPr>
          <w:rFonts w:hint="eastAsia" w:ascii="仿宋_GB2312" w:hAnsi="仿宋_GB2312" w:eastAsia="仿宋_GB2312" w:cs="仿宋_GB2312"/>
          <w:b/>
          <w:bCs/>
          <w:sz w:val="32"/>
          <w:szCs w:val="32"/>
          <w:highlight w:val="none"/>
        </w:rPr>
        <w:t>（责任单位：市经信局、市财政局，各区、镇、街道）</w:t>
      </w:r>
    </w:p>
    <w:p w14:paraId="27B459E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五</w:t>
      </w:r>
      <w:r>
        <w:rPr>
          <w:rFonts w:hint="eastAsia" w:ascii="黑体" w:hAnsi="黑体" w:eastAsia="黑体" w:cs="黑体"/>
          <w:sz w:val="32"/>
          <w:szCs w:val="32"/>
          <w:highlight w:val="none"/>
          <w:lang w:val="en-US" w:eastAsia="zh-CN"/>
        </w:rPr>
        <w:t>、</w:t>
      </w:r>
      <w:r>
        <w:rPr>
          <w:rFonts w:hint="eastAsia" w:ascii="黑体" w:hAnsi="黑体" w:eastAsia="黑体" w:cs="黑体"/>
          <w:sz w:val="32"/>
          <w:szCs w:val="32"/>
          <w:highlight w:val="none"/>
        </w:rPr>
        <w:t>支持数转</w:t>
      </w:r>
      <w:r>
        <w:rPr>
          <w:rFonts w:hint="eastAsia" w:ascii="黑体" w:hAnsi="黑体" w:eastAsia="黑体" w:cs="黑体"/>
          <w:sz w:val="32"/>
          <w:szCs w:val="32"/>
          <w:highlight w:val="none"/>
          <w:lang w:val="en-US" w:eastAsia="zh-CN"/>
        </w:rPr>
        <w:t>服务生态优化</w:t>
      </w:r>
    </w:p>
    <w:p w14:paraId="6EEBFBE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（十）强化专业服务供给</w:t>
      </w:r>
      <w:r>
        <w:rPr>
          <w:rFonts w:hint="eastAsia" w:ascii="仿宋_GB2312" w:hAnsi="仿宋_GB2312" w:eastAsia="仿宋_GB2312" w:cs="仿宋_GB2312"/>
          <w:color w:val="auto"/>
          <w:sz w:val="32"/>
          <w:szCs w:val="32"/>
          <w:highlight w:val="none"/>
          <w:lang w:val="en-US" w:eastAsia="zh-CN"/>
        </w:rPr>
        <w:t>。鼓励</w:t>
      </w:r>
      <w:r>
        <w:rPr>
          <w:rFonts w:hint="eastAsia" w:ascii="仿宋_GB2312" w:hAnsi="仿宋_GB2312" w:eastAsia="仿宋_GB2312" w:cs="仿宋_GB2312"/>
          <w:color w:val="000000"/>
          <w:sz w:val="32"/>
          <w:szCs w:val="32"/>
          <w:highlight w:val="none"/>
          <w:lang w:val="en-US" w:eastAsia="zh-CN"/>
        </w:rPr>
        <w:t>产业园区、行业协会和企业建设数字化转型工作站，对首次通过省级认定的数字化转型工作站</w:t>
      </w:r>
      <w:r>
        <w:rPr>
          <w:rFonts w:hint="default" w:ascii="仿宋_GB2312" w:hAnsi="仿宋_GB2312" w:eastAsia="仿宋_GB2312" w:cs="仿宋_GB2312"/>
          <w:color w:val="000000"/>
          <w:sz w:val="32"/>
          <w:szCs w:val="32"/>
          <w:highlight w:val="none"/>
          <w:lang w:val="en-US" w:eastAsia="zh-CN"/>
        </w:rPr>
        <w:t>，正常运营满1年的</w:t>
      </w:r>
      <w:r>
        <w:rPr>
          <w:rFonts w:hint="eastAsia" w:ascii="仿宋_GB2312" w:hAnsi="仿宋_GB2312" w:eastAsia="仿宋_GB2312" w:cs="仿宋_GB2312"/>
          <w:color w:val="000000"/>
          <w:sz w:val="32"/>
          <w:szCs w:val="32"/>
          <w:highlight w:val="none"/>
          <w:lang w:val="en-US" w:eastAsia="zh-CN"/>
        </w:rPr>
        <w:t>，给予每家一次性10万元奖补。鼓励制造业企业、服务商、科研院所建设省级制造业数字化转型促进中心，对首次通过省级认定的制造业数字化转型促进中心，</w:t>
      </w:r>
      <w:r>
        <w:rPr>
          <w:rFonts w:hint="default" w:ascii="仿宋_GB2312" w:hAnsi="仿宋_GB2312" w:eastAsia="仿宋_GB2312" w:cs="仿宋_GB2312"/>
          <w:color w:val="000000"/>
          <w:sz w:val="32"/>
          <w:szCs w:val="32"/>
          <w:highlight w:val="none"/>
          <w:lang w:val="en-US" w:eastAsia="zh-CN"/>
        </w:rPr>
        <w:t>正常运营满1年的，</w:t>
      </w:r>
      <w:r>
        <w:rPr>
          <w:rFonts w:hint="eastAsia" w:ascii="仿宋_GB2312" w:hAnsi="仿宋_GB2312" w:eastAsia="仿宋_GB2312" w:cs="仿宋_GB2312"/>
          <w:color w:val="000000"/>
          <w:sz w:val="32"/>
          <w:szCs w:val="32"/>
          <w:highlight w:val="none"/>
          <w:lang w:val="en-US" w:eastAsia="zh-CN"/>
        </w:rPr>
        <w:t>给予一次性50万元奖补。</w:t>
      </w:r>
      <w:r>
        <w:rPr>
          <w:rFonts w:hint="eastAsia" w:ascii="仿宋_GB2312" w:hAnsi="仿宋_GB2312" w:eastAsia="仿宋_GB2312" w:cs="仿宋_GB2312"/>
          <w:color w:val="auto"/>
          <w:sz w:val="32"/>
          <w:szCs w:val="32"/>
          <w:highlight w:val="none"/>
          <w:lang w:val="en-US" w:eastAsia="zh-CN"/>
        </w:rPr>
        <w:t>每年遴选一批优质数字化转型服务商，对服务20家以上企业完成数字化改造，且企业数字化水平经</w:t>
      </w:r>
      <w:r>
        <w:rPr>
          <w:rFonts w:hint="default" w:ascii="仿宋_GB2312" w:hAnsi="仿宋_GB2312" w:eastAsia="仿宋_GB2312" w:cs="仿宋_GB2312"/>
          <w:b w:val="0"/>
          <w:bCs w:val="0"/>
          <w:i w:val="0"/>
          <w:iCs w:val="0"/>
          <w:snapToGrid w:val="0"/>
          <w:color w:val="auto"/>
          <w:kern w:val="0"/>
          <w:sz w:val="32"/>
          <w:szCs w:val="32"/>
          <w:highlight w:val="none"/>
          <w:vertAlign w:val="baseline"/>
          <w:lang w:val="en-US" w:eastAsia="zh-CN" w:bidi="ar-SA"/>
        </w:rPr>
        <w:t>第三方专业机构依据工信部最新《中小企业数字化水平评测指标》评测达到</w:t>
      </w:r>
      <w:r>
        <w:rPr>
          <w:rFonts w:hint="default"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级及以上的，每家给予一次性10万元奖补。</w:t>
      </w:r>
      <w:r>
        <w:rPr>
          <w:rFonts w:hint="eastAsia" w:ascii="仿宋_GB2312" w:hAnsi="仿宋_GB2312" w:eastAsia="仿宋_GB2312" w:cs="仿宋_GB2312"/>
          <w:b/>
          <w:bCs/>
          <w:color w:val="auto"/>
          <w:sz w:val="32"/>
          <w:szCs w:val="32"/>
          <w:highlight w:val="none"/>
        </w:rPr>
        <w:t>（责任单位：市经信局、市财政局，各区、镇、街道）</w:t>
      </w:r>
    </w:p>
    <w:p w14:paraId="2F8C2FD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color w:val="auto"/>
          <w:sz w:val="32"/>
          <w:szCs w:val="32"/>
          <w:highlight w:val="none"/>
        </w:rPr>
      </w:pPr>
      <w:r>
        <w:rPr>
          <w:rFonts w:hint="eastAsia" w:ascii="楷体" w:hAnsi="楷体" w:eastAsia="楷体" w:cs="楷体"/>
          <w:color w:val="auto"/>
          <w:sz w:val="32"/>
          <w:szCs w:val="32"/>
          <w:highlight w:val="none"/>
          <w:lang w:val="en-US" w:eastAsia="zh-CN"/>
        </w:rPr>
        <w:t>（十一）加大金融支持力度。</w:t>
      </w:r>
      <w:r>
        <w:rPr>
          <w:rFonts w:hint="eastAsia" w:ascii="仿宋_GB2312" w:hAnsi="仿宋_GB2312" w:eastAsia="仿宋_GB2312" w:cs="仿宋_GB2312"/>
          <w:color w:val="000000"/>
          <w:sz w:val="32"/>
          <w:szCs w:val="32"/>
          <w:highlight w:val="none"/>
        </w:rPr>
        <w:t>鼓励金融机构开发“数字贷”等</w:t>
      </w:r>
      <w:r>
        <w:rPr>
          <w:rFonts w:hint="default" w:ascii="仿宋_GB2312" w:hAnsi="仿宋_GB2312" w:eastAsia="仿宋_GB2312" w:cs="仿宋_GB2312"/>
          <w:color w:val="000000"/>
          <w:sz w:val="32"/>
          <w:szCs w:val="32"/>
          <w:highlight w:val="none"/>
          <w:lang w:val="en-US"/>
        </w:rPr>
        <w:t>金融</w:t>
      </w:r>
      <w:r>
        <w:rPr>
          <w:rFonts w:hint="eastAsia" w:ascii="仿宋_GB2312" w:hAnsi="仿宋_GB2312" w:eastAsia="仿宋_GB2312" w:cs="仿宋_GB2312"/>
          <w:color w:val="000000"/>
          <w:sz w:val="32"/>
          <w:szCs w:val="32"/>
          <w:highlight w:val="none"/>
        </w:rPr>
        <w:t>产品，</w:t>
      </w:r>
      <w:r>
        <w:rPr>
          <w:rFonts w:hint="eastAsia" w:ascii="仿宋_GB2312" w:hAnsi="仿宋_GB2312" w:eastAsia="仿宋_GB2312" w:cs="仿宋_GB2312"/>
          <w:color w:val="000000"/>
          <w:sz w:val="32"/>
          <w:szCs w:val="32"/>
          <w:highlight w:val="none"/>
          <w:lang w:val="en-US" w:eastAsia="zh-CN"/>
        </w:rPr>
        <w:t>引导中小企业</w:t>
      </w:r>
      <w:r>
        <w:rPr>
          <w:rFonts w:hint="eastAsia" w:ascii="仿宋_GB2312" w:hAnsi="仿宋_GB2312" w:eastAsia="仿宋_GB2312" w:cs="仿宋_GB2312"/>
          <w:color w:val="000000"/>
          <w:sz w:val="32"/>
          <w:szCs w:val="32"/>
          <w:highlight w:val="none"/>
          <w:lang w:eastAsia="zh-CN"/>
        </w:rPr>
        <w:t>实施</w:t>
      </w:r>
      <w:r>
        <w:rPr>
          <w:rFonts w:hint="default" w:ascii="仿宋_GB2312" w:hAnsi="仿宋_GB2312" w:eastAsia="仿宋_GB2312" w:cs="仿宋_GB2312"/>
          <w:color w:val="000000"/>
          <w:sz w:val="32"/>
          <w:szCs w:val="32"/>
          <w:highlight w:val="none"/>
          <w:lang w:val="en-US" w:eastAsia="zh-CN"/>
        </w:rPr>
        <w:t>“智改数转”</w:t>
      </w:r>
      <w:r>
        <w:rPr>
          <w:rFonts w:hint="eastAsia" w:ascii="仿宋_GB2312" w:hAnsi="仿宋_GB2312" w:eastAsia="仿宋_GB2312" w:cs="仿宋_GB2312"/>
          <w:color w:val="000000"/>
          <w:sz w:val="32"/>
          <w:szCs w:val="32"/>
          <w:highlight w:val="none"/>
          <w:lang w:eastAsia="zh-CN"/>
        </w:rPr>
        <w:t>，对总投资</w:t>
      </w:r>
      <w:r>
        <w:rPr>
          <w:rFonts w:hint="eastAsia" w:ascii="仿宋_GB2312" w:hAnsi="仿宋_GB2312" w:eastAsia="仿宋_GB2312" w:cs="仿宋_GB2312"/>
          <w:color w:val="000000"/>
          <w:sz w:val="32"/>
          <w:szCs w:val="32"/>
          <w:highlight w:val="none"/>
          <w:lang w:val="en-US" w:eastAsia="zh-CN"/>
        </w:rPr>
        <w:t>500万元以上“智改数转”项目，</w:t>
      </w:r>
      <w:r>
        <w:rPr>
          <w:rFonts w:hint="default" w:ascii="仿宋_GB2312" w:hAnsi="仿宋_GB2312" w:eastAsia="仿宋_GB2312" w:cs="仿宋_GB2312"/>
          <w:color w:val="000000"/>
          <w:sz w:val="32"/>
          <w:szCs w:val="32"/>
          <w:highlight w:val="none"/>
          <w:lang w:val="en-US" w:eastAsia="zh-CN"/>
        </w:rPr>
        <w:t>待其完成改造后数字</w:t>
      </w:r>
      <w:r>
        <w:rPr>
          <w:rFonts w:hint="eastAsia" w:ascii="仿宋_GB2312" w:hAnsi="仿宋_GB2312" w:eastAsia="仿宋_GB2312" w:cs="仿宋_GB2312"/>
          <w:color w:val="000000"/>
          <w:sz w:val="32"/>
          <w:szCs w:val="32"/>
          <w:highlight w:val="none"/>
          <w:lang w:val="en-US" w:eastAsia="zh-CN"/>
        </w:rPr>
        <w:t>化水平</w:t>
      </w:r>
      <w:r>
        <w:rPr>
          <w:rFonts w:hint="default" w:ascii="仿宋_GB2312" w:hAnsi="仿宋_GB2312" w:eastAsia="仿宋_GB2312" w:cs="仿宋_GB2312"/>
          <w:color w:val="000000"/>
          <w:sz w:val="32"/>
          <w:szCs w:val="32"/>
          <w:highlight w:val="none"/>
          <w:lang w:val="en-US" w:eastAsia="zh-CN"/>
        </w:rPr>
        <w:t>由</w:t>
      </w:r>
      <w:r>
        <w:rPr>
          <w:rFonts w:hint="default" w:ascii="仿宋_GB2312" w:hAnsi="仿宋_GB2312" w:eastAsia="仿宋_GB2312" w:cs="仿宋_GB2312"/>
          <w:b w:val="0"/>
          <w:bCs w:val="0"/>
          <w:i w:val="0"/>
          <w:iCs w:val="0"/>
          <w:snapToGrid w:val="0"/>
          <w:color w:val="000000"/>
          <w:kern w:val="0"/>
          <w:sz w:val="32"/>
          <w:szCs w:val="32"/>
          <w:highlight w:val="none"/>
          <w:vertAlign w:val="baseline"/>
          <w:lang w:val="en-US" w:eastAsia="zh-CN" w:bidi="ar-SA"/>
        </w:rPr>
        <w:t>第三方专业机构依据工信部最新《中小企业数字化水平评测指标》评测</w:t>
      </w:r>
      <w:r>
        <w:rPr>
          <w:rFonts w:hint="default" w:ascii="仿宋_GB2312" w:hAnsi="仿宋_GB2312" w:eastAsia="仿宋_GB2312" w:cs="仿宋_GB2312"/>
          <w:color w:val="000000"/>
          <w:sz w:val="32"/>
          <w:szCs w:val="32"/>
          <w:highlight w:val="none"/>
          <w:lang w:val="en-US" w:eastAsia="zh-CN"/>
        </w:rPr>
        <w:t>达到三</w:t>
      </w:r>
      <w:r>
        <w:rPr>
          <w:rFonts w:hint="eastAsia" w:ascii="仿宋_GB2312" w:hAnsi="仿宋_GB2312" w:eastAsia="仿宋_GB2312" w:cs="仿宋_GB2312"/>
          <w:color w:val="000000"/>
          <w:sz w:val="32"/>
          <w:szCs w:val="32"/>
          <w:highlight w:val="none"/>
          <w:lang w:val="en-US" w:eastAsia="zh-CN"/>
        </w:rPr>
        <w:t>级及以上的，</w:t>
      </w:r>
      <w:r>
        <w:rPr>
          <w:rFonts w:hint="eastAsia" w:ascii="仿宋_GB2312" w:hAnsi="仿宋_GB2312" w:eastAsia="仿宋_GB2312" w:cs="仿宋_GB2312"/>
          <w:color w:val="000000"/>
          <w:sz w:val="32"/>
          <w:szCs w:val="32"/>
          <w:highlight w:val="none"/>
          <w:u w:val="none"/>
          <w:lang w:val="en-US" w:eastAsia="zh-CN"/>
        </w:rPr>
        <w:t>按</w:t>
      </w:r>
      <w:r>
        <w:rPr>
          <w:rFonts w:hint="default" w:ascii="仿宋_GB2312" w:hAnsi="仿宋_GB2312" w:eastAsia="仿宋_GB2312" w:cs="仿宋_GB2312"/>
          <w:color w:val="000000"/>
          <w:sz w:val="32"/>
          <w:szCs w:val="32"/>
          <w:highlight w:val="none"/>
          <w:u w:val="none"/>
          <w:lang w:val="en-US" w:eastAsia="zh-CN"/>
        </w:rPr>
        <w:t>企业</w:t>
      </w:r>
      <w:r>
        <w:rPr>
          <w:rFonts w:hint="eastAsia" w:ascii="仿宋_GB2312" w:hAnsi="仿宋_GB2312" w:eastAsia="仿宋_GB2312" w:cs="仿宋_GB2312"/>
          <w:color w:val="000000"/>
          <w:sz w:val="32"/>
          <w:szCs w:val="32"/>
          <w:highlight w:val="none"/>
          <w:u w:val="none"/>
          <w:lang w:val="en-US" w:eastAsia="zh-CN"/>
        </w:rPr>
        <w:t>本地银行贷款实际支付利息</w:t>
      </w:r>
      <w:r>
        <w:rPr>
          <w:rFonts w:hint="default" w:ascii="仿宋_GB2312" w:hAnsi="仿宋_GB2312" w:eastAsia="仿宋_GB2312" w:cs="仿宋_GB2312"/>
          <w:color w:val="000000"/>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lang w:val="en-US" w:eastAsia="zh-CN"/>
        </w:rPr>
        <w:t>50%</w:t>
      </w:r>
      <w:r>
        <w:rPr>
          <w:rFonts w:hint="default" w:ascii="仿宋_GB2312" w:hAnsi="仿宋_GB2312" w:eastAsia="仿宋_GB2312" w:cs="仿宋_GB2312"/>
          <w:color w:val="000000"/>
          <w:sz w:val="32"/>
          <w:szCs w:val="32"/>
          <w:highlight w:val="none"/>
          <w:u w:val="none"/>
          <w:lang w:val="en-US" w:eastAsia="zh-CN"/>
        </w:rPr>
        <w:t>给予</w:t>
      </w:r>
      <w:r>
        <w:rPr>
          <w:rFonts w:hint="eastAsia" w:ascii="仿宋_GB2312" w:hAnsi="仿宋_GB2312" w:eastAsia="仿宋_GB2312" w:cs="仿宋_GB2312"/>
          <w:color w:val="000000"/>
          <w:sz w:val="32"/>
          <w:szCs w:val="32"/>
          <w:highlight w:val="none"/>
          <w:u w:val="none"/>
          <w:lang w:val="en-US" w:eastAsia="zh-CN"/>
        </w:rPr>
        <w:t>补助，单</w:t>
      </w:r>
      <w:r>
        <w:rPr>
          <w:rFonts w:hint="eastAsia" w:ascii="仿宋_GB2312" w:hAnsi="仿宋_GB2312" w:eastAsia="仿宋_GB2312" w:cs="仿宋_GB2312"/>
          <w:color w:val="auto"/>
          <w:sz w:val="32"/>
          <w:szCs w:val="32"/>
          <w:highlight w:val="none"/>
          <w:u w:val="none"/>
          <w:lang w:val="en-US" w:eastAsia="zh-CN"/>
        </w:rPr>
        <w:t>个项目贴息不超过2年、市级贴息补助总额</w:t>
      </w:r>
      <w:r>
        <w:rPr>
          <w:rFonts w:hint="default" w:ascii="仿宋_GB2312" w:hAnsi="仿宋_GB2312" w:eastAsia="仿宋_GB2312" w:cs="仿宋_GB2312"/>
          <w:color w:val="auto"/>
          <w:sz w:val="32"/>
          <w:szCs w:val="32"/>
          <w:highlight w:val="none"/>
          <w:u w:val="none"/>
          <w:lang w:val="en-US" w:eastAsia="zh-CN"/>
        </w:rPr>
        <w:t>最高</w:t>
      </w:r>
      <w:r>
        <w:rPr>
          <w:rFonts w:hint="eastAsia" w:ascii="仿宋_GB2312" w:hAnsi="仿宋_GB2312" w:eastAsia="仿宋_GB2312" w:cs="仿宋_GB2312"/>
          <w:color w:val="auto"/>
          <w:sz w:val="32"/>
          <w:szCs w:val="32"/>
          <w:highlight w:val="none"/>
          <w:u w:val="none"/>
          <w:lang w:val="en-US" w:eastAsia="zh-CN"/>
        </w:rPr>
        <w:t>不超过50万元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bCs/>
          <w:color w:val="auto"/>
          <w:sz w:val="32"/>
          <w:szCs w:val="32"/>
          <w:highlight w:val="none"/>
        </w:rPr>
        <w:t>（责任单位：市经信局、</w:t>
      </w:r>
      <w:r>
        <w:rPr>
          <w:rFonts w:hint="eastAsia" w:ascii="仿宋_GB2312" w:hAnsi="仿宋_GB2312" w:eastAsia="仿宋_GB2312" w:cs="仿宋_GB2312"/>
          <w:b/>
          <w:bCs/>
          <w:color w:val="auto"/>
          <w:sz w:val="32"/>
          <w:szCs w:val="32"/>
          <w:highlight w:val="none"/>
          <w:lang w:eastAsia="zh-CN"/>
        </w:rPr>
        <w:t>市财政局、</w:t>
      </w:r>
      <w:r>
        <w:rPr>
          <w:rFonts w:hint="eastAsia" w:ascii="仿宋_GB2312" w:hAnsi="仿宋_GB2312" w:eastAsia="仿宋_GB2312" w:cs="仿宋_GB2312"/>
          <w:b/>
          <w:bCs/>
          <w:color w:val="auto"/>
          <w:sz w:val="32"/>
          <w:szCs w:val="32"/>
          <w:highlight w:val="none"/>
        </w:rPr>
        <w:t>市金融办、</w:t>
      </w:r>
      <w:r>
        <w:rPr>
          <w:rFonts w:hint="eastAsia" w:ascii="仿宋_GB2312" w:hAnsi="仿宋_GB2312" w:eastAsia="仿宋_GB2312" w:cs="仿宋_GB2312"/>
          <w:b/>
          <w:bCs/>
          <w:color w:val="auto"/>
          <w:sz w:val="32"/>
          <w:szCs w:val="32"/>
          <w:highlight w:val="none"/>
          <w:lang w:eastAsia="zh-CN"/>
        </w:rPr>
        <w:t>市金融监管支局、</w:t>
      </w:r>
      <w:r>
        <w:rPr>
          <w:rFonts w:hint="eastAsia" w:ascii="仿宋_GB2312" w:hAnsi="仿宋_GB2312" w:eastAsia="仿宋_GB2312" w:cs="仿宋_GB2312"/>
          <w:b/>
          <w:bCs/>
          <w:color w:val="auto"/>
          <w:sz w:val="32"/>
          <w:szCs w:val="32"/>
          <w:highlight w:val="none"/>
        </w:rPr>
        <w:t>人行潜江营管部）</w:t>
      </w:r>
    </w:p>
    <w:p w14:paraId="4EE315E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（十二）支持专业人才建设。</w:t>
      </w:r>
      <w:r>
        <w:rPr>
          <w:rFonts w:hint="eastAsia" w:ascii="仿宋_GB2312" w:hAnsi="仿宋_GB2312" w:eastAsia="仿宋_GB2312" w:cs="仿宋_GB2312"/>
          <w:color w:val="auto"/>
          <w:sz w:val="32"/>
          <w:szCs w:val="32"/>
          <w:highlight w:val="none"/>
          <w:lang w:val="en-US" w:eastAsia="zh-CN"/>
        </w:rPr>
        <w:t>支持实训基地建设，鼓励江汉艺术职业学院、职业教育学校（集团）与企业共建数字人才实训基地，联合培养复合型、实用型数字人才，满足企业用人需求。支持高端人才引进，对企业引进从事“智改数转”服务的新一代信息技术、大数据、人工智能等领域高端专业技术人才，按市相关人才政策予以支持。</w:t>
      </w:r>
      <w:r>
        <w:rPr>
          <w:rFonts w:hint="eastAsia" w:ascii="仿宋_GB2312" w:hAnsi="仿宋_GB2312" w:eastAsia="仿宋_GB2312" w:cs="仿宋_GB2312"/>
          <w:b/>
          <w:bCs/>
          <w:color w:val="auto"/>
          <w:sz w:val="32"/>
          <w:szCs w:val="32"/>
          <w:highlight w:val="none"/>
          <w:lang w:val="en-US" w:eastAsia="zh-CN"/>
        </w:rPr>
        <w:t>（责任单位：市人社局、市委组织部、江汉艺术职业学院、市职教集团）</w:t>
      </w:r>
    </w:p>
    <w:p w14:paraId="0CAEB9A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en-US" w:eastAsia="zh-CN"/>
        </w:rPr>
        <w:t>措施</w:t>
      </w: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val="en-US" w:eastAsia="zh-CN"/>
        </w:rPr>
        <w:t>印发之日起施行</w:t>
      </w:r>
      <w:r>
        <w:rPr>
          <w:rFonts w:hint="eastAsia" w:ascii="仿宋_GB2312" w:hAnsi="仿宋_GB2312" w:eastAsia="仿宋_GB2312" w:cs="仿宋_GB2312"/>
          <w:color w:val="auto"/>
          <w:sz w:val="32"/>
          <w:szCs w:val="32"/>
          <w:highlight w:val="none"/>
        </w:rPr>
        <w:t>，有效期3年。《潜江市支持新一轮企业技术改造若干政策》（潜政发〔2021〕11号）</w:t>
      </w:r>
      <w:r>
        <w:rPr>
          <w:rFonts w:hint="eastAsia" w:ascii="仿宋_GB2312" w:hAnsi="仿宋_GB2312" w:eastAsia="仿宋_GB2312" w:cs="仿宋_GB2312"/>
          <w:color w:val="auto"/>
          <w:sz w:val="32"/>
          <w:szCs w:val="32"/>
          <w:highlight w:val="none"/>
          <w:lang w:eastAsia="zh-CN"/>
        </w:rPr>
        <w:t>文件</w:t>
      </w:r>
      <w:r>
        <w:rPr>
          <w:rFonts w:hint="eastAsia" w:ascii="仿宋_GB2312" w:hAnsi="仿宋_GB2312" w:eastAsia="仿宋_GB2312" w:cs="仿宋_GB2312"/>
          <w:color w:val="auto"/>
          <w:sz w:val="32"/>
          <w:szCs w:val="32"/>
          <w:highlight w:val="none"/>
        </w:rPr>
        <w:t>延续至本措施印发之日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同一企业（项目）同时符合本</w:t>
      </w:r>
      <w:r>
        <w:rPr>
          <w:rFonts w:hint="eastAsia" w:ascii="仿宋_GB2312" w:hAnsi="仿宋_GB2312" w:eastAsia="仿宋_GB2312" w:cs="仿宋_GB2312"/>
          <w:color w:val="auto"/>
          <w:sz w:val="32"/>
          <w:szCs w:val="32"/>
          <w:highlight w:val="none"/>
          <w:lang w:val="en-US" w:eastAsia="zh-CN"/>
        </w:rPr>
        <w:t>措施</w:t>
      </w:r>
      <w:r>
        <w:rPr>
          <w:rFonts w:hint="eastAsia" w:ascii="仿宋_GB2312" w:hAnsi="仿宋_GB2312" w:eastAsia="仿宋_GB2312" w:cs="仿宋_GB2312"/>
          <w:color w:val="auto"/>
          <w:sz w:val="32"/>
          <w:szCs w:val="32"/>
          <w:highlight w:val="none"/>
        </w:rPr>
        <w:t>及省、市其他现行同类奖励政策的，按照“就高不重复”原则执行</w:t>
      </w:r>
      <w:r>
        <w:rPr>
          <w:rFonts w:hint="eastAsia" w:ascii="仿宋_GB2312" w:hAnsi="仿宋_GB2312" w:eastAsia="仿宋_GB2312" w:cs="仿宋_GB2312"/>
          <w:color w:val="auto"/>
          <w:sz w:val="32"/>
          <w:szCs w:val="32"/>
          <w:highlight w:val="none"/>
          <w:lang w:eastAsia="zh-CN"/>
        </w:rPr>
        <w:t>，对建立“产权清晰、责权明确、治理规范、管理科学”现代企业制度的企业,在项目申报、扩规用地等要素保障上优先支</w:t>
      </w:r>
      <w:r>
        <w:rPr>
          <w:rFonts w:hint="eastAsia" w:ascii="仿宋_GB2312" w:hAnsi="仿宋_GB2312" w:eastAsia="仿宋_GB2312" w:cs="仿宋_GB2312"/>
          <w:color w:val="auto"/>
          <w:sz w:val="32"/>
          <w:szCs w:val="32"/>
          <w:highlight w:val="none"/>
          <w:lang w:val="en-US" w:eastAsia="zh-CN"/>
        </w:rPr>
        <w:t>持</w:t>
      </w:r>
      <w:r>
        <w:rPr>
          <w:rFonts w:hint="eastAsia" w:ascii="仿宋_GB2312" w:hAnsi="仿宋_GB2312" w:eastAsia="仿宋_GB2312" w:cs="仿宋_GB2312"/>
          <w:color w:val="auto"/>
          <w:sz w:val="32"/>
          <w:szCs w:val="32"/>
          <w:highlight w:val="none"/>
        </w:rPr>
        <w:t>。市经信局会同市财政局等部门负责制定具体实施细则，确保政策兑现便捷高效、规范有序、公开透明。</w:t>
      </w:r>
    </w:p>
    <w:p w14:paraId="F6ADBE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p>
    <w:p w14:paraId="83005F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rPr>
        <w:t>附件：名词解释</w:t>
      </w:r>
    </w:p>
    <w:p w14:paraId="06C7E7A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Style w:val="11"/>
          <w:rFonts w:hint="eastAsia" w:ascii="仿宋_GB2312" w:hAnsi="仿宋_GB2312" w:eastAsia="仿宋_GB2312" w:cs="仿宋_GB2312"/>
          <w:b/>
          <w:bCs/>
          <w:i w:val="0"/>
          <w:iCs w:val="0"/>
          <w:caps w:val="0"/>
          <w:color w:val="404040"/>
          <w:spacing w:val="0"/>
          <w:sz w:val="32"/>
          <w:szCs w:val="32"/>
          <w:highlight w:val="none"/>
          <w:shd w:val="clear" w:color="auto" w:fill="FFFFFF"/>
          <w:lang w:val="en-US" w:eastAsia="zh-CN"/>
        </w:rPr>
      </w:pPr>
    </w:p>
    <w:p w14:paraId="2B41A2C2">
      <w:pPr>
        <w:keepNext w:val="0"/>
        <w:keepLines w:val="0"/>
        <w:pageBreakBefore w:val="0"/>
        <w:wordWrap/>
        <w:overflowPunct/>
        <w:topLinePunct w:val="0"/>
        <w:bidi w:val="0"/>
        <w:spacing w:line="540" w:lineRule="exact"/>
        <w:rPr>
          <w:rStyle w:val="11"/>
          <w:rFonts w:hint="eastAsia" w:ascii="仿宋_GB2312" w:hAnsi="仿宋_GB2312" w:eastAsia="仿宋_GB2312" w:cs="仿宋_GB2312"/>
          <w:b/>
          <w:bCs/>
          <w:i w:val="0"/>
          <w:iCs w:val="0"/>
          <w:caps w:val="0"/>
          <w:color w:val="404040"/>
          <w:spacing w:val="0"/>
          <w:sz w:val="32"/>
          <w:szCs w:val="32"/>
          <w:highlight w:val="none"/>
          <w:shd w:val="clear" w:color="auto" w:fill="FFFFFF"/>
          <w:lang w:val="en-US" w:eastAsia="zh-CN"/>
        </w:rPr>
      </w:pPr>
      <w:r>
        <w:rPr>
          <w:rStyle w:val="11"/>
          <w:rFonts w:hint="eastAsia" w:ascii="仿宋_GB2312" w:hAnsi="仿宋_GB2312" w:eastAsia="仿宋_GB2312" w:cs="仿宋_GB2312"/>
          <w:b/>
          <w:bCs/>
          <w:i w:val="0"/>
          <w:iCs w:val="0"/>
          <w:caps w:val="0"/>
          <w:color w:val="404040"/>
          <w:spacing w:val="0"/>
          <w:sz w:val="32"/>
          <w:szCs w:val="32"/>
          <w:highlight w:val="none"/>
          <w:shd w:val="clear" w:color="auto" w:fill="FFFFFF"/>
          <w:lang w:val="en-US" w:eastAsia="zh-CN"/>
        </w:rPr>
        <w:br w:type="page"/>
      </w:r>
    </w:p>
    <w:p w14:paraId="46E2E676">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jc w:val="both"/>
        <w:textAlignment w:val="baseline"/>
        <w:rPr>
          <w:rFonts w:hint="default" w:ascii="黑体" w:hAnsi="黑体" w:eastAsia="黑体" w:cs="黑体"/>
          <w:sz w:val="32"/>
          <w:szCs w:val="24"/>
          <w:highlight w:val="none"/>
          <w:lang w:val="en-US" w:eastAsia="zh-CN"/>
        </w:rPr>
      </w:pPr>
      <w:r>
        <w:rPr>
          <w:rFonts w:hint="default" w:ascii="黑体" w:hAnsi="黑体" w:eastAsia="黑体" w:cs="黑体"/>
          <w:sz w:val="32"/>
          <w:szCs w:val="24"/>
          <w:highlight w:val="none"/>
          <w:lang w:val="en-US" w:eastAsia="zh-CN"/>
        </w:rPr>
        <w:t>附件</w:t>
      </w:r>
    </w:p>
    <w:p w14:paraId="2325CB86">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jc w:val="center"/>
        <w:textAlignment w:val="baseline"/>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名词解释</w:t>
      </w:r>
    </w:p>
    <w:p w14:paraId="96884067">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jc w:val="center"/>
        <w:textAlignment w:val="baseline"/>
        <w:rPr>
          <w:rFonts w:hint="eastAsia" w:ascii="黑体" w:hAnsi="黑体" w:eastAsia="黑体" w:cs="黑体"/>
          <w:sz w:val="32"/>
          <w:szCs w:val="24"/>
          <w:highlight w:val="none"/>
          <w:lang w:val="en-US" w:eastAsia="zh-CN"/>
        </w:rPr>
      </w:pPr>
    </w:p>
    <w:p w14:paraId="5A30D1F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5G全连接工厂</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val="en-US" w:eastAsia="zh-CN"/>
        </w:rPr>
        <w:t>充分</w:t>
      </w:r>
      <w:r>
        <w:rPr>
          <w:rFonts w:hint="eastAsia" w:ascii="仿宋_GB2312" w:hAnsi="仿宋_GB2312" w:eastAsia="仿宋_GB2312" w:cs="仿宋_GB2312"/>
          <w:sz w:val="32"/>
          <w:szCs w:val="32"/>
          <w:highlight w:val="none"/>
        </w:rPr>
        <w:t>利用</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5G</w:t>
      </w:r>
      <w:r>
        <w:rPr>
          <w:rFonts w:hint="eastAsia" w:ascii="仿宋_GB2312" w:hAnsi="仿宋_GB2312" w:eastAsia="仿宋_GB2312" w:cs="仿宋_GB2312"/>
          <w:sz w:val="32"/>
          <w:szCs w:val="32"/>
          <w:highlight w:val="none"/>
          <w:lang w:val="en-US" w:eastAsia="zh-CN"/>
        </w:rPr>
        <w:t>为代表的新一代信息通讯</w:t>
      </w:r>
      <w:r>
        <w:rPr>
          <w:rFonts w:hint="eastAsia" w:ascii="仿宋_GB2312" w:hAnsi="仿宋_GB2312" w:eastAsia="仿宋_GB2312" w:cs="仿宋_GB2312"/>
          <w:sz w:val="32"/>
          <w:szCs w:val="32"/>
          <w:highlight w:val="none"/>
        </w:rPr>
        <w:t>技术</w:t>
      </w:r>
      <w:r>
        <w:rPr>
          <w:rFonts w:hint="eastAsia" w:ascii="仿宋_GB2312" w:hAnsi="仿宋_GB2312" w:eastAsia="仿宋_GB2312" w:cs="仿宋_GB2312"/>
          <w:sz w:val="32"/>
          <w:szCs w:val="32"/>
          <w:highlight w:val="none"/>
          <w:lang w:val="en-US" w:eastAsia="zh-CN"/>
        </w:rPr>
        <w:t>集成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打造新型工业互联网基础设施，新建或改造产线级、车间级、工厂级等生产现场，形成生产单元广泛连接、信息（IT）运营（OT）深度融合、数据要素充分利用、创新应用高效赋能的先进工厂。</w:t>
      </w:r>
    </w:p>
    <w:p w14:paraId="40D835C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2.数字孪生工厂：</w:t>
      </w:r>
      <w:r>
        <w:rPr>
          <w:rFonts w:hint="eastAsia" w:ascii="仿宋_GB2312" w:hAnsi="仿宋_GB2312" w:eastAsia="仿宋_GB2312" w:cs="仿宋_GB2312"/>
          <w:sz w:val="32"/>
          <w:szCs w:val="32"/>
          <w:highlight w:val="none"/>
        </w:rPr>
        <w:t>利用数字孪生技术对实体工厂进行全流程、全要素的数字化镜像建模，通过实时数据交互、仿真分析和智能决策，构建设备、产线、车间、工厂等不同层级的数字孪生模型，实现物理工厂与虚拟工厂的深度融合与协同优化。</w:t>
      </w:r>
    </w:p>
    <w:p w14:paraId="6944FD5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3.无人工厂：</w:t>
      </w:r>
      <w:r>
        <w:rPr>
          <w:rFonts w:hint="eastAsia" w:ascii="仿宋_GB2312" w:hAnsi="仿宋_GB2312" w:eastAsia="仿宋_GB2312" w:cs="仿宋_GB2312"/>
          <w:sz w:val="32"/>
          <w:szCs w:val="32"/>
          <w:highlight w:val="none"/>
          <w:lang w:val="en-US" w:eastAsia="zh-CN"/>
        </w:rPr>
        <w:t>综合运用机器人、传感器、自动化设备和AI等技术，提升生产过程的自动化、柔性化和智能化水平，最大限度地减少对人工操作的依赖，实现工厂的无人化或少人化。</w:t>
      </w:r>
    </w:p>
    <w:p w14:paraId="2D1E580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4.先进级智能工厂：</w:t>
      </w:r>
      <w:r>
        <w:rPr>
          <w:rFonts w:hint="eastAsia" w:ascii="仿宋_GB2312" w:hAnsi="仿宋_GB2312" w:eastAsia="仿宋_GB2312" w:cs="仿宋_GB2312"/>
          <w:sz w:val="32"/>
          <w:szCs w:val="32"/>
          <w:highlight w:val="none"/>
          <w:lang w:val="zh-TW" w:eastAsia="zh-CN"/>
        </w:rPr>
        <w:t>面向</w:t>
      </w:r>
      <w:r>
        <w:rPr>
          <w:rFonts w:hint="eastAsia" w:ascii="仿宋_GB2312" w:hAnsi="仿宋_GB2312" w:eastAsia="仿宋_GB2312" w:cs="仿宋_GB2312"/>
          <w:sz w:val="32"/>
          <w:szCs w:val="32"/>
          <w:highlight w:val="none"/>
          <w:lang w:val="en-US" w:eastAsia="zh-CN"/>
        </w:rPr>
        <w:t>工厂建设、</w:t>
      </w:r>
      <w:r>
        <w:rPr>
          <w:rFonts w:hint="eastAsia" w:ascii="仿宋_GB2312" w:hAnsi="仿宋_GB2312" w:eastAsia="仿宋_GB2312" w:cs="仿宋_GB2312"/>
          <w:sz w:val="32"/>
          <w:szCs w:val="32"/>
          <w:highlight w:val="none"/>
          <w:lang w:val="zh-TW" w:eastAsia="zh-TW"/>
        </w:rPr>
        <w:t>研发设计、生产作业、生产管理、运营管理</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val="zh-TW" w:eastAsia="zh-CN"/>
        </w:rPr>
        <w:t>智能制造典型场景，广泛部署智能制造装备、工业软件和系统，实现生产经营数据互通共享、关键生产过程精准控制、生产与经营协同管控，</w:t>
      </w:r>
      <w:r>
        <w:rPr>
          <w:rFonts w:hint="eastAsia" w:ascii="仿宋_GB2312" w:hAnsi="仿宋_GB2312" w:eastAsia="仿宋_GB2312" w:cs="仿宋_GB2312"/>
          <w:sz w:val="32"/>
          <w:szCs w:val="32"/>
          <w:highlight w:val="none"/>
          <w:lang w:val="zh-TW" w:eastAsia="zh-TW"/>
        </w:rPr>
        <w:t>且至少覆盖生产作业、生产管理、运营管理三个环节</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b/>
          <w:bCs/>
          <w:sz w:val="32"/>
          <w:szCs w:val="32"/>
          <w:highlight w:val="none"/>
          <w:lang w:val="zh-TW" w:eastAsia="zh-TW"/>
        </w:rPr>
        <w:t>主要技术经济指标应处于省（区、市）同行业领先水平</w:t>
      </w:r>
      <w:r>
        <w:rPr>
          <w:rFonts w:hint="eastAsia" w:ascii="仿宋_GB2312" w:hAnsi="仿宋_GB2312" w:eastAsia="仿宋_GB2312" w:cs="仿宋_GB2312"/>
          <w:b/>
          <w:bCs/>
          <w:sz w:val="32"/>
          <w:szCs w:val="32"/>
          <w:highlight w:val="none"/>
          <w:lang w:val="zh-TW" w:eastAsia="zh-CN"/>
        </w:rPr>
        <w:t>，</w:t>
      </w:r>
      <w:r>
        <w:rPr>
          <w:rFonts w:hint="eastAsia" w:ascii="仿宋_GB2312" w:hAnsi="仿宋_GB2312" w:eastAsia="仿宋_GB2312" w:cs="仿宋_GB2312"/>
          <w:sz w:val="32"/>
          <w:szCs w:val="32"/>
          <w:highlight w:val="none"/>
          <w:lang w:val="zh-TW" w:eastAsia="zh-TW"/>
        </w:rPr>
        <w:t>在省（区、市）同行业起到引领带动作用。</w:t>
      </w:r>
    </w:p>
    <w:p w14:paraId="3796BA1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highlight w:val="none"/>
          <w:lang w:val="zh-TW" w:eastAsia="zh-CN"/>
        </w:rPr>
      </w:pPr>
      <w:r>
        <w:rPr>
          <w:rFonts w:hint="eastAsia" w:ascii="仿宋_GB2312" w:hAnsi="仿宋_GB2312" w:eastAsia="仿宋_GB2312" w:cs="仿宋_GB2312"/>
          <w:b/>
          <w:bCs/>
          <w:sz w:val="32"/>
          <w:szCs w:val="32"/>
          <w:highlight w:val="none"/>
          <w:lang w:val="en-US" w:eastAsia="zh-CN"/>
        </w:rPr>
        <w:t>5.卓越级智能工厂：</w:t>
      </w:r>
      <w:r>
        <w:rPr>
          <w:rFonts w:hint="eastAsia" w:ascii="仿宋_GB2312" w:hAnsi="仿宋_GB2312" w:eastAsia="仿宋_GB2312" w:cs="仿宋_GB2312"/>
          <w:sz w:val="32"/>
          <w:szCs w:val="32"/>
          <w:highlight w:val="none"/>
          <w:lang w:val="zh-TW" w:eastAsia="zh-CN"/>
        </w:rPr>
        <w:t>面向</w:t>
      </w:r>
      <w:r>
        <w:rPr>
          <w:rFonts w:hint="eastAsia" w:ascii="仿宋_GB2312" w:hAnsi="仿宋_GB2312" w:eastAsia="仿宋_GB2312" w:cs="仿宋_GB2312"/>
          <w:sz w:val="32"/>
          <w:szCs w:val="32"/>
          <w:highlight w:val="none"/>
          <w:lang w:val="en-US" w:eastAsia="zh-CN"/>
        </w:rPr>
        <w:t>工厂建设、</w:t>
      </w:r>
      <w:r>
        <w:rPr>
          <w:rFonts w:hint="eastAsia" w:ascii="仿宋_GB2312" w:hAnsi="仿宋_GB2312" w:eastAsia="仿宋_GB2312" w:cs="仿宋_GB2312"/>
          <w:sz w:val="32"/>
          <w:szCs w:val="32"/>
          <w:highlight w:val="none"/>
          <w:lang w:val="zh-TW" w:eastAsia="zh-TW"/>
        </w:rPr>
        <w:t>研发设计、生产作业、生产管理、运营管理</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val="zh-TW" w:eastAsia="zh-CN"/>
        </w:rPr>
        <w:t>智能制造典型场景，体系化部署智能制造装备、工业软件和系统，实现设计生产经营数据集成贯通与分析应用、制造装备智能管控、生产过程在线优化，应覆盖全部</w:t>
      </w:r>
      <w:r>
        <w:rPr>
          <w:rFonts w:hint="eastAsia" w:ascii="仿宋_GB2312" w:hAnsi="仿宋_GB2312" w:eastAsia="仿宋_GB2312" w:cs="仿宋_GB2312"/>
          <w:sz w:val="32"/>
          <w:szCs w:val="32"/>
          <w:highlight w:val="none"/>
          <w:lang w:val="en-US" w:eastAsia="zh-CN"/>
        </w:rPr>
        <w:t>典型场景</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b/>
          <w:bCs/>
          <w:sz w:val="32"/>
          <w:szCs w:val="32"/>
          <w:highlight w:val="none"/>
          <w:lang w:val="zh-TW" w:eastAsia="zh-CN"/>
        </w:rPr>
        <w:t>主要技术经济指标应处于国内同行业领先水平，在国内同行业起到引领带动作用，</w:t>
      </w:r>
      <w:r>
        <w:rPr>
          <w:rFonts w:hint="eastAsia" w:ascii="仿宋_GB2312" w:hAnsi="仿宋_GB2312" w:eastAsia="仿宋_GB2312" w:cs="仿宋_GB2312"/>
          <w:sz w:val="32"/>
          <w:szCs w:val="32"/>
          <w:highlight w:val="none"/>
          <w:lang w:val="zh-TW" w:eastAsia="zh-CN"/>
        </w:rPr>
        <w:t>带动供应链上下游协同开展数智化升级，</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b/>
          <w:bCs/>
          <w:sz w:val="32"/>
          <w:szCs w:val="32"/>
          <w:highlight w:val="none"/>
          <w:lang w:val="zh-TW" w:eastAsia="zh-CN"/>
        </w:rPr>
        <w:t>应用人工智能技术场景比例不低于20%。</w:t>
      </w:r>
    </w:p>
    <w:p w14:paraId="1EBF371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6.领航级智能工厂：</w:t>
      </w:r>
      <w:r>
        <w:rPr>
          <w:rFonts w:hint="eastAsia" w:ascii="仿宋_GB2312" w:hAnsi="仿宋_GB2312" w:eastAsia="仿宋_GB2312" w:cs="仿宋_GB2312"/>
          <w:sz w:val="32"/>
          <w:szCs w:val="32"/>
          <w:highlight w:val="none"/>
          <w:lang w:val="zh-TW" w:eastAsia="zh-TW"/>
        </w:rPr>
        <w:t>新一代人工智能等数智技术与制造全过程的深度融合，实现装备、工艺、软件和系统的研发与应用突破，</w:t>
      </w:r>
      <w:r>
        <w:rPr>
          <w:rFonts w:hint="eastAsia" w:ascii="仿宋_GB2312" w:hAnsi="仿宋_GB2312" w:eastAsia="仿宋_GB2312" w:cs="仿宋_GB2312"/>
          <w:sz w:val="32"/>
          <w:szCs w:val="32"/>
          <w:highlight w:val="none"/>
          <w:lang w:val="zh-TW" w:eastAsia="zh-CN"/>
        </w:rPr>
        <w:t>基于全流程全环节数据深度分析应用</w:t>
      </w:r>
      <w:r>
        <w:rPr>
          <w:rFonts w:hint="eastAsia" w:ascii="仿宋_GB2312" w:hAnsi="仿宋_GB2312" w:eastAsia="仿宋_GB2312" w:cs="仿宋_GB2312"/>
          <w:sz w:val="32"/>
          <w:szCs w:val="32"/>
          <w:highlight w:val="none"/>
          <w:lang w:val="zh-TW" w:eastAsia="zh-TW"/>
        </w:rPr>
        <w:t>推动研发范式、生产方式、服务体系和组织架构等创新，引领产业链上下游形成智能制造协同创新生态</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b/>
          <w:bCs/>
          <w:sz w:val="32"/>
          <w:szCs w:val="32"/>
          <w:highlight w:val="none"/>
          <w:lang w:val="zh-TW" w:eastAsia="zh-TW"/>
        </w:rPr>
        <w:t>主要技术经济指标全球领先，打造全球领先的应用标杆，应用人工智能技术场景比例不低于</w:t>
      </w:r>
      <w:r>
        <w:rPr>
          <w:rFonts w:hint="eastAsia" w:ascii="仿宋_GB2312" w:hAnsi="仿宋_GB2312" w:eastAsia="仿宋_GB2312" w:cs="仿宋_GB2312"/>
          <w:b/>
          <w:bCs/>
          <w:sz w:val="32"/>
          <w:szCs w:val="32"/>
          <w:highlight w:val="none"/>
        </w:rPr>
        <w:t>60%</w:t>
      </w:r>
      <w:r>
        <w:rPr>
          <w:rFonts w:hint="eastAsia" w:ascii="仿宋_GB2312" w:hAnsi="仿宋_GB2312" w:eastAsia="仿宋_GB2312" w:cs="仿宋_GB2312"/>
          <w:b/>
          <w:bCs/>
          <w:sz w:val="32"/>
          <w:szCs w:val="32"/>
          <w:highlight w:val="none"/>
          <w:lang w:val="zh-TW" w:eastAsia="zh-TW"/>
        </w:rPr>
        <w:t>。</w:t>
      </w:r>
    </w:p>
    <w:p w14:paraId="10A8F45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default" w:ascii="仿宋_GB2312" w:hAnsi="仿宋_GB2312" w:eastAsia="仿宋_GB2312" w:cs="仿宋_GB2312"/>
          <w:b/>
          <w:bCs/>
          <w:sz w:val="32"/>
          <w:szCs w:val="32"/>
          <w:highlight w:val="none"/>
          <w:lang w:val="en-US" w:eastAsia="zh-CN"/>
        </w:rPr>
        <w:t>《智能制造能力成熟度模型》</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从“智能+制造”2个维度出发，系统诠释了设计、生产、物流、销售、服务、资源要素、互联互通、系统集成、信息融合、新兴业态等</w:t>
      </w:r>
      <w:r>
        <w:rPr>
          <w:rFonts w:hint="eastAsia" w:ascii="仿宋_GB2312" w:hAnsi="仿宋_GB2312" w:eastAsia="仿宋_GB2312" w:cs="仿宋_GB2312"/>
          <w:sz w:val="32"/>
          <w:szCs w:val="32"/>
          <w:highlight w:val="none"/>
          <w:lang w:val="en-US" w:eastAsia="zh-CN"/>
        </w:rPr>
        <w:t>十大</w:t>
      </w:r>
      <w:r>
        <w:rPr>
          <w:rFonts w:hint="default" w:ascii="仿宋_GB2312" w:hAnsi="仿宋_GB2312" w:eastAsia="仿宋_GB2312" w:cs="仿宋_GB2312"/>
          <w:sz w:val="32"/>
          <w:szCs w:val="32"/>
          <w:highlight w:val="none"/>
          <w:lang w:val="en-US" w:eastAsia="zh-CN"/>
        </w:rPr>
        <w:t>类核心能力，并细化为27个域。按照从低到高的顺序，划分为规划级</w:t>
      </w:r>
      <w:r>
        <w:rPr>
          <w:rFonts w:hint="eastAsia" w:ascii="仿宋_GB2312" w:hAnsi="仿宋_GB2312" w:eastAsia="仿宋_GB2312" w:cs="仿宋_GB2312"/>
          <w:sz w:val="32"/>
          <w:szCs w:val="32"/>
          <w:highlight w:val="none"/>
          <w:lang w:val="en-US" w:eastAsia="zh-CN"/>
        </w:rPr>
        <w:t>（一级）</w:t>
      </w:r>
      <w:r>
        <w:rPr>
          <w:rFonts w:hint="default" w:ascii="仿宋_GB2312" w:hAnsi="仿宋_GB2312" w:eastAsia="仿宋_GB2312" w:cs="仿宋_GB2312"/>
          <w:sz w:val="32"/>
          <w:szCs w:val="32"/>
          <w:highlight w:val="none"/>
          <w:lang w:val="en-US" w:eastAsia="zh-CN"/>
        </w:rPr>
        <w:t>、规范级</w:t>
      </w:r>
      <w:r>
        <w:rPr>
          <w:rFonts w:hint="eastAsia" w:ascii="仿宋_GB2312" w:hAnsi="仿宋_GB2312" w:eastAsia="仿宋_GB2312" w:cs="仿宋_GB2312"/>
          <w:sz w:val="32"/>
          <w:szCs w:val="32"/>
          <w:highlight w:val="none"/>
          <w:lang w:val="en-US" w:eastAsia="zh-CN"/>
        </w:rPr>
        <w:t>（二级）</w:t>
      </w:r>
      <w:r>
        <w:rPr>
          <w:rFonts w:hint="default" w:ascii="仿宋_GB2312" w:hAnsi="仿宋_GB2312" w:eastAsia="仿宋_GB2312" w:cs="仿宋_GB2312"/>
          <w:sz w:val="32"/>
          <w:szCs w:val="32"/>
          <w:highlight w:val="none"/>
          <w:lang w:val="en-US" w:eastAsia="zh-CN"/>
        </w:rPr>
        <w:t>、集成级</w:t>
      </w:r>
      <w:r>
        <w:rPr>
          <w:rFonts w:hint="eastAsia" w:ascii="仿宋_GB2312" w:hAnsi="仿宋_GB2312" w:eastAsia="仿宋_GB2312" w:cs="仿宋_GB2312"/>
          <w:sz w:val="32"/>
          <w:szCs w:val="32"/>
          <w:highlight w:val="none"/>
          <w:lang w:val="en-US" w:eastAsia="zh-CN"/>
        </w:rPr>
        <w:t>（三级）</w:t>
      </w:r>
      <w:r>
        <w:rPr>
          <w:rFonts w:hint="default" w:ascii="仿宋_GB2312" w:hAnsi="仿宋_GB2312" w:eastAsia="仿宋_GB2312" w:cs="仿宋_GB2312"/>
          <w:sz w:val="32"/>
          <w:szCs w:val="32"/>
          <w:highlight w:val="none"/>
          <w:lang w:val="en-US" w:eastAsia="zh-CN"/>
        </w:rPr>
        <w:t>、优化级</w:t>
      </w:r>
      <w:r>
        <w:rPr>
          <w:rFonts w:hint="eastAsia" w:ascii="仿宋_GB2312" w:hAnsi="仿宋_GB2312" w:eastAsia="仿宋_GB2312" w:cs="仿宋_GB2312"/>
          <w:sz w:val="32"/>
          <w:szCs w:val="32"/>
          <w:highlight w:val="none"/>
          <w:lang w:val="en-US" w:eastAsia="zh-CN"/>
        </w:rPr>
        <w:t>（四级）</w:t>
      </w:r>
      <w:r>
        <w:rPr>
          <w:rFonts w:hint="default" w:ascii="仿宋_GB2312" w:hAnsi="仿宋_GB2312" w:eastAsia="仿宋_GB2312" w:cs="仿宋_GB2312"/>
          <w:sz w:val="32"/>
          <w:szCs w:val="32"/>
          <w:highlight w:val="none"/>
          <w:lang w:val="en-US" w:eastAsia="zh-CN"/>
        </w:rPr>
        <w:t>、引领级</w:t>
      </w:r>
      <w:r>
        <w:rPr>
          <w:rFonts w:hint="eastAsia" w:ascii="仿宋_GB2312" w:hAnsi="仿宋_GB2312" w:eastAsia="仿宋_GB2312" w:cs="仿宋_GB2312"/>
          <w:sz w:val="32"/>
          <w:szCs w:val="32"/>
          <w:highlight w:val="none"/>
          <w:lang w:val="en-US" w:eastAsia="zh-CN"/>
        </w:rPr>
        <w:t>（五级）</w:t>
      </w:r>
      <w:r>
        <w:rPr>
          <w:rFonts w:hint="default" w:ascii="仿宋_GB2312" w:hAnsi="仿宋_GB2312" w:eastAsia="仿宋_GB2312" w:cs="仿宋_GB2312"/>
          <w:sz w:val="32"/>
          <w:szCs w:val="32"/>
          <w:highlight w:val="none"/>
          <w:lang w:val="en-US" w:eastAsia="zh-CN"/>
        </w:rPr>
        <w:t>5个等级并规定了相应的要求</w:t>
      </w:r>
      <w:r>
        <w:rPr>
          <w:rFonts w:hint="eastAsia" w:ascii="仿宋_GB2312" w:hAnsi="仿宋_GB2312" w:eastAsia="仿宋_GB2312" w:cs="仿宋_GB2312"/>
          <w:sz w:val="32"/>
          <w:szCs w:val="32"/>
          <w:highlight w:val="none"/>
          <w:lang w:val="en-US" w:eastAsia="zh-CN"/>
        </w:rPr>
        <w:t>。规范级（二级）是指核心业务重要环节实现了标准化和数字化，单一业务内部开始实现数据共享。</w:t>
      </w:r>
    </w:p>
    <w:p w14:paraId="2D4BC76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8.省级工业设计中心：</w:t>
      </w:r>
      <w:r>
        <w:rPr>
          <w:rFonts w:hint="eastAsia" w:ascii="仿宋_GB2312" w:hAnsi="仿宋_GB2312" w:eastAsia="仿宋_GB2312" w:cs="仿宋_GB2312"/>
          <w:b w:val="0"/>
          <w:bCs w:val="0"/>
          <w:sz w:val="32"/>
          <w:szCs w:val="32"/>
          <w:highlight w:val="none"/>
          <w:lang w:val="en-US" w:eastAsia="zh-CN"/>
        </w:rPr>
        <w:t>工业设计创新力强、业绩突出、发展水平领先的工业设计机构（为本单位服务的企业工业设计中心或面向市场提供服务的工业设计企业）需稳定运营满3年，具备固定工作场所、完善管理制度、专业人员配置，且工业设计创新力强、业绩突出、发展水平领先，团队大于20人，50%以上具备本科及以上学历或相关职称资格，参与地市级以上重大科技项目，获地市级以上政府、省级以上行业组织设计奖项，近三年产出一批优秀设计成果，成果产业化带来显著的经济效益和社会效益。</w:t>
      </w:r>
    </w:p>
    <w:p w14:paraId="263E29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9.省中小企业技术中心：</w:t>
      </w:r>
      <w:r>
        <w:rPr>
          <w:rFonts w:hint="eastAsia" w:ascii="仿宋_GB2312" w:hAnsi="仿宋_GB2312" w:eastAsia="仿宋_GB2312" w:cs="仿宋_GB2312"/>
          <w:b w:val="0"/>
          <w:bCs w:val="0"/>
          <w:sz w:val="32"/>
          <w:szCs w:val="32"/>
          <w:highlight w:val="none"/>
          <w:lang w:val="en-US" w:eastAsia="zh-CN"/>
        </w:rPr>
        <w:t>具有较强的技术创新能力和较好的经济效益，在行业内具有比较竞争优势，与高校或科研院所建立稳定的合作关系，正常运营一年以上，拥有技术水平高、实践经验丰富的技术带头人，研究与试验发展人员数不少于30人；拥有比较完善的研究、开发和试验条件，技术开发仪器设备原值不低于500万元；拥有2项以上与主导产品相关的Ⅰ类知识产权，且实际应用并已产生经济效益。</w:t>
      </w:r>
    </w:p>
    <w:p w14:paraId="34F9ED3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10.省制造业创新中心：</w:t>
      </w:r>
      <w:r>
        <w:rPr>
          <w:rFonts w:hint="eastAsia" w:ascii="仿宋_GB2312" w:hAnsi="仿宋_GB2312" w:eastAsia="仿宋_GB2312" w:cs="仿宋_GB2312"/>
          <w:b w:val="0"/>
          <w:bCs w:val="0"/>
          <w:sz w:val="32"/>
          <w:szCs w:val="32"/>
          <w:highlight w:val="none"/>
          <w:lang w:val="en-US" w:eastAsia="zh-CN"/>
        </w:rPr>
        <w:t>涉及创新资源整合、能力平台建设、行业服务成效和持续发展机制等4个方面。</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创新资源整合。要有3家以上行业骨干企业作为股东，股东实缴资金不低于1000万。</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能力平台要求。场地100平方米，20人研发团队（15名专职+5名硕士），600万研发投入（400万研发设备）。</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行业服务成效。需完成3项以上技术标准成果，服务20家以上企业。</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b w:val="0"/>
          <w:bCs w:val="0"/>
          <w:sz w:val="32"/>
          <w:szCs w:val="32"/>
          <w:highlight w:val="none"/>
          <w:lang w:val="en-US" w:eastAsia="zh-CN"/>
        </w:rPr>
        <w:t>持续发展机制。要有企业管理制度和5年企业规划。</w:t>
      </w:r>
    </w:p>
    <w:p w14:paraId="6687777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11.企业数字化等级一级水平：</w:t>
      </w:r>
      <w:r>
        <w:rPr>
          <w:rFonts w:hint="eastAsia" w:ascii="仿宋_GB2312" w:hAnsi="仿宋_GB2312" w:eastAsia="仿宋_GB2312" w:cs="仿宋_GB2312"/>
          <w:sz w:val="32"/>
          <w:szCs w:val="32"/>
          <w:highlight w:val="none"/>
        </w:rPr>
        <w:t>根据工信部《中小企业数字化水平评测指标（2024年版）》，</w:t>
      </w:r>
      <w:r>
        <w:rPr>
          <w:rFonts w:hint="eastAsia" w:ascii="仿宋_GB2312" w:hAnsi="仿宋_GB2312" w:eastAsia="仿宋_GB2312" w:cs="仿宋_GB2312"/>
          <w:sz w:val="32"/>
          <w:szCs w:val="32"/>
          <w:highlight w:val="none"/>
          <w:lang w:val="en-US" w:eastAsia="zh-CN"/>
        </w:rPr>
        <w:t>对企业</w:t>
      </w:r>
      <w:r>
        <w:rPr>
          <w:rFonts w:hint="eastAsia" w:ascii="仿宋_GB2312" w:hAnsi="仿宋_GB2312" w:eastAsia="仿宋_GB2312" w:cs="仿宋_GB2312"/>
          <w:sz w:val="32"/>
          <w:szCs w:val="32"/>
          <w:highlight w:val="none"/>
        </w:rPr>
        <w:t>数字化基础、经营、管理、成效四个维度综合评估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数字化基础、管理和成效评测得分≥</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数字化经营应用场景不少于</w:t>
      </w:r>
      <w:r>
        <w:rPr>
          <w:rFonts w:hint="eastAsia" w:ascii="仿宋_GB2312" w:hAnsi="仿宋_GB2312" w:eastAsia="仿宋_GB2312" w:cs="仿宋_GB2312"/>
          <w:b/>
          <w:bCs/>
          <w:sz w:val="32"/>
          <w:szCs w:val="32"/>
          <w:highlight w:val="none"/>
        </w:rPr>
        <w:t>6个应用场景</w:t>
      </w:r>
      <w:r>
        <w:rPr>
          <w:rFonts w:hint="eastAsia" w:ascii="仿宋_GB2312" w:hAnsi="仿宋_GB2312" w:eastAsia="仿宋_GB2312" w:cs="仿宋_GB2312"/>
          <w:b/>
          <w:bCs/>
          <w:sz w:val="32"/>
          <w:szCs w:val="32"/>
          <w:highlight w:val="none"/>
          <w:lang w:val="en-US" w:eastAsia="zh-CN"/>
        </w:rPr>
        <w:t>达到一级水平</w:t>
      </w:r>
      <w:r>
        <w:rPr>
          <w:rFonts w:hint="eastAsia" w:ascii="仿宋_GB2312" w:hAnsi="仿宋_GB2312" w:eastAsia="仿宋_GB2312" w:cs="仿宋_GB2312"/>
          <w:sz w:val="32"/>
          <w:szCs w:val="32"/>
          <w:highlight w:val="none"/>
        </w:rPr>
        <w:t>（其中不少于3个约束性场景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3个指导性场景</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，开展了基础业务流程梳理和数据规范化管理，并进行了信息技术简单应用。</w:t>
      </w:r>
      <w:r>
        <w:rPr>
          <w:rFonts w:hint="eastAsia" w:ascii="仿宋_GB2312" w:hAnsi="仿宋_GB2312" w:eastAsia="仿宋_GB2312" w:cs="仿宋_GB2312"/>
          <w:b/>
          <w:bCs/>
          <w:sz w:val="32"/>
          <w:szCs w:val="32"/>
          <w:highlight w:val="none"/>
          <w:lang w:val="en-US" w:eastAsia="zh-CN"/>
        </w:rPr>
        <w:t>约束性场景（10个）：</w:t>
      </w:r>
      <w:r>
        <w:rPr>
          <w:rFonts w:hint="eastAsia" w:ascii="仿宋_GB2312" w:hAnsi="仿宋_GB2312" w:eastAsia="仿宋_GB2312" w:cs="仿宋_GB2312"/>
          <w:sz w:val="32"/>
          <w:szCs w:val="32"/>
          <w:highlight w:val="none"/>
          <w:lang w:val="en-US" w:eastAsia="zh-CN"/>
        </w:rPr>
        <w:t>产品设计、营销管理、生产管理、质量管理、设备管理、安全生产、能效管理；</w:t>
      </w:r>
      <w:r>
        <w:rPr>
          <w:rFonts w:hint="eastAsia" w:ascii="仿宋_GB2312" w:hAnsi="仿宋_GB2312" w:eastAsia="仿宋_GB2312" w:cs="仿宋_GB2312"/>
          <w:b/>
          <w:bCs/>
          <w:sz w:val="32"/>
          <w:szCs w:val="32"/>
          <w:highlight w:val="none"/>
          <w:lang w:val="en-US" w:eastAsia="zh-CN"/>
        </w:rPr>
        <w:t>指导性场景（6个）</w:t>
      </w:r>
      <w:r>
        <w:rPr>
          <w:rFonts w:hint="eastAsia" w:ascii="仿宋_GB2312" w:hAnsi="仿宋_GB2312" w:eastAsia="仿宋_GB2312" w:cs="仿宋_GB2312"/>
          <w:sz w:val="32"/>
          <w:szCs w:val="32"/>
          <w:highlight w:val="none"/>
          <w:lang w:val="en-US" w:eastAsia="zh-CN"/>
        </w:rPr>
        <w:t>：工艺设计、售后服务、计划排程、人力资源、协同办公、决策支持。</w:t>
      </w:r>
    </w:p>
    <w:p w14:paraId="40E5606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12.企业数字化等级二级水平：</w:t>
      </w:r>
      <w:r>
        <w:rPr>
          <w:rFonts w:hint="eastAsia" w:ascii="仿宋_GB2312" w:hAnsi="仿宋_GB2312" w:eastAsia="仿宋_GB2312" w:cs="仿宋_GB2312"/>
          <w:sz w:val="32"/>
          <w:szCs w:val="32"/>
          <w:highlight w:val="none"/>
        </w:rPr>
        <w:t>根据工信部《中小企业数字化水平评测指标（2024年版）》，</w:t>
      </w:r>
      <w:r>
        <w:rPr>
          <w:rFonts w:hint="eastAsia" w:ascii="仿宋_GB2312" w:hAnsi="仿宋_GB2312" w:eastAsia="仿宋_GB2312" w:cs="仿宋_GB2312"/>
          <w:sz w:val="32"/>
          <w:szCs w:val="32"/>
          <w:highlight w:val="none"/>
          <w:lang w:val="en-US" w:eastAsia="zh-CN"/>
        </w:rPr>
        <w:t>对企业</w:t>
      </w:r>
      <w:r>
        <w:rPr>
          <w:rFonts w:hint="eastAsia" w:ascii="仿宋_GB2312" w:hAnsi="仿宋_GB2312" w:eastAsia="仿宋_GB2312" w:cs="仿宋_GB2312"/>
          <w:sz w:val="32"/>
          <w:szCs w:val="32"/>
          <w:highlight w:val="none"/>
        </w:rPr>
        <w:t>数字化基础、经营、管理、成效四个维度综合评估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rPr>
        <w:t>数字化基础、管理和成效评测得分≥40分</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数字化经营应用场景不少于</w:t>
      </w:r>
      <w:r>
        <w:rPr>
          <w:rFonts w:hint="eastAsia" w:ascii="仿宋_GB2312" w:hAnsi="仿宋_GB2312" w:eastAsia="仿宋_GB2312" w:cs="仿宋_GB2312"/>
          <w:b/>
          <w:bCs/>
          <w:sz w:val="32"/>
          <w:szCs w:val="32"/>
          <w:highlight w:val="none"/>
        </w:rPr>
        <w:t>6个应用场景</w:t>
      </w:r>
      <w:r>
        <w:rPr>
          <w:rFonts w:hint="eastAsia" w:ascii="仿宋_GB2312" w:hAnsi="仿宋_GB2312" w:eastAsia="仿宋_GB2312" w:cs="仿宋_GB2312"/>
          <w:b/>
          <w:bCs/>
          <w:sz w:val="32"/>
          <w:szCs w:val="32"/>
          <w:highlight w:val="none"/>
          <w:lang w:val="en-US" w:eastAsia="zh-CN"/>
        </w:rPr>
        <w:t>达到二级水平</w:t>
      </w:r>
      <w:r>
        <w:rPr>
          <w:rFonts w:hint="eastAsia" w:ascii="仿宋_GB2312" w:hAnsi="仿宋_GB2312" w:eastAsia="仿宋_GB2312" w:cs="仿宋_GB2312"/>
          <w:sz w:val="32"/>
          <w:szCs w:val="32"/>
          <w:highlight w:val="none"/>
        </w:rPr>
        <w:t>（其中不少于3个约束性场景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3个指导性场景</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，利用信息技术手段或管理工具实现</w:t>
      </w:r>
      <w:r>
        <w:rPr>
          <w:rFonts w:hint="eastAsia" w:ascii="仿宋_GB2312" w:hAnsi="仿宋_GB2312" w:eastAsia="仿宋_GB2312" w:cs="仿宋_GB2312"/>
          <w:sz w:val="32"/>
          <w:szCs w:val="32"/>
          <w:highlight w:val="none"/>
          <w:lang w:val="en-US" w:eastAsia="zh-CN"/>
        </w:rPr>
        <w:t>关键</w:t>
      </w:r>
      <w:r>
        <w:rPr>
          <w:rFonts w:hint="eastAsia" w:ascii="仿宋_GB2312" w:hAnsi="仿宋_GB2312" w:eastAsia="仿宋_GB2312" w:cs="仿宋_GB2312"/>
          <w:sz w:val="32"/>
          <w:szCs w:val="32"/>
          <w:highlight w:val="none"/>
          <w:lang w:eastAsia="zh-CN"/>
        </w:rPr>
        <w:t>业务数字化管理。</w:t>
      </w:r>
    </w:p>
    <w:p w14:paraId="77CDB8C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13.企业数字化等级三级水平：</w:t>
      </w:r>
      <w:r>
        <w:rPr>
          <w:rFonts w:hint="eastAsia" w:ascii="仿宋_GB2312" w:hAnsi="仿宋_GB2312" w:eastAsia="仿宋_GB2312" w:cs="仿宋_GB2312"/>
          <w:sz w:val="32"/>
          <w:szCs w:val="32"/>
          <w:highlight w:val="none"/>
        </w:rPr>
        <w:t>根据工信部《中小企业数字化水平评测指标（2024年版）》，</w:t>
      </w:r>
      <w:r>
        <w:rPr>
          <w:rFonts w:hint="eastAsia" w:ascii="仿宋_GB2312" w:hAnsi="仿宋_GB2312" w:eastAsia="仿宋_GB2312" w:cs="仿宋_GB2312"/>
          <w:sz w:val="32"/>
          <w:szCs w:val="32"/>
          <w:highlight w:val="none"/>
          <w:lang w:val="en-US" w:eastAsia="zh-CN"/>
        </w:rPr>
        <w:t>对企业</w:t>
      </w:r>
      <w:r>
        <w:rPr>
          <w:rFonts w:hint="eastAsia" w:ascii="仿宋_GB2312" w:hAnsi="仿宋_GB2312" w:eastAsia="仿宋_GB2312" w:cs="仿宋_GB2312"/>
          <w:sz w:val="32"/>
          <w:szCs w:val="32"/>
          <w:highlight w:val="none"/>
        </w:rPr>
        <w:t>数字化基础、经营、管理、成效四个维度综合评估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rPr>
        <w:t>数字化基础、管理和成效评测得分≥</w:t>
      </w:r>
      <w:r>
        <w:rPr>
          <w:rFonts w:hint="eastAsia" w:ascii="仿宋_GB2312" w:hAnsi="仿宋_GB2312" w:eastAsia="仿宋_GB2312" w:cs="仿宋_GB2312"/>
          <w:b/>
          <w:bCs/>
          <w:sz w:val="32"/>
          <w:szCs w:val="32"/>
          <w:highlight w:val="none"/>
          <w:lang w:val="en-US" w:eastAsia="zh-CN"/>
        </w:rPr>
        <w:t>60</w:t>
      </w:r>
      <w:r>
        <w:rPr>
          <w:rFonts w:hint="eastAsia" w:ascii="仿宋_GB2312" w:hAnsi="仿宋_GB2312" w:eastAsia="仿宋_GB2312" w:cs="仿宋_GB2312"/>
          <w:b/>
          <w:bCs/>
          <w:sz w:val="32"/>
          <w:szCs w:val="32"/>
          <w:highlight w:val="none"/>
        </w:rPr>
        <w:t>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数字化经营应用场景不少于</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b/>
          <w:bCs/>
          <w:sz w:val="32"/>
          <w:szCs w:val="32"/>
          <w:highlight w:val="none"/>
        </w:rPr>
        <w:t>个应用场景</w:t>
      </w:r>
      <w:r>
        <w:rPr>
          <w:rFonts w:hint="eastAsia" w:ascii="仿宋_GB2312" w:hAnsi="仿宋_GB2312" w:eastAsia="仿宋_GB2312" w:cs="仿宋_GB2312"/>
          <w:b/>
          <w:bCs/>
          <w:sz w:val="32"/>
          <w:szCs w:val="32"/>
          <w:highlight w:val="none"/>
          <w:lang w:val="en-US" w:eastAsia="zh-CN"/>
        </w:rPr>
        <w:t>达到三级水平</w:t>
      </w:r>
      <w:r>
        <w:rPr>
          <w:rFonts w:hint="eastAsia" w:ascii="仿宋_GB2312" w:hAnsi="仿宋_GB2312" w:eastAsia="仿宋_GB2312" w:cs="仿宋_GB2312"/>
          <w:sz w:val="32"/>
          <w:szCs w:val="32"/>
          <w:highlight w:val="none"/>
        </w:rPr>
        <w:t>（其中不少于</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个约束性场景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3个指导性场景</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，应用信息系统及数字化技术进行数据分析，</w:t>
      </w:r>
      <w:r>
        <w:rPr>
          <w:rFonts w:hint="eastAsia" w:ascii="仿宋_GB2312" w:hAnsi="仿宋_GB2312" w:eastAsia="仿宋_GB2312" w:cs="仿宋_GB2312"/>
          <w:sz w:val="32"/>
          <w:szCs w:val="32"/>
          <w:highlight w:val="none"/>
          <w:lang w:val="en-US" w:eastAsia="zh-CN"/>
        </w:rPr>
        <w:t>实现数据跨部门、跨系统数据集成共享、</w:t>
      </w:r>
      <w:r>
        <w:rPr>
          <w:rFonts w:hint="eastAsia" w:ascii="仿宋_GB2312" w:hAnsi="仿宋_GB2312" w:eastAsia="仿宋_GB2312" w:cs="仿宋_GB2312"/>
          <w:sz w:val="32"/>
          <w:szCs w:val="32"/>
          <w:highlight w:val="none"/>
          <w:lang w:eastAsia="zh-CN"/>
        </w:rPr>
        <w:t>全部主营业务数字化管控。</w:t>
      </w:r>
    </w:p>
    <w:p w14:paraId="6E79090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14.企业数字化等级四级水平：</w:t>
      </w:r>
      <w:r>
        <w:rPr>
          <w:rFonts w:hint="eastAsia" w:ascii="仿宋_GB2312" w:hAnsi="仿宋_GB2312" w:eastAsia="仿宋_GB2312" w:cs="仿宋_GB2312"/>
          <w:sz w:val="32"/>
          <w:szCs w:val="32"/>
          <w:highlight w:val="none"/>
        </w:rPr>
        <w:t>根据工信部《中小企业数字化水平评测指标（2024年版）》，</w:t>
      </w:r>
      <w:r>
        <w:rPr>
          <w:rFonts w:hint="eastAsia" w:ascii="仿宋_GB2312" w:hAnsi="仿宋_GB2312" w:eastAsia="仿宋_GB2312" w:cs="仿宋_GB2312"/>
          <w:sz w:val="32"/>
          <w:szCs w:val="32"/>
          <w:highlight w:val="none"/>
          <w:lang w:val="en-US" w:eastAsia="zh-CN"/>
        </w:rPr>
        <w:t>对企业</w:t>
      </w:r>
      <w:r>
        <w:rPr>
          <w:rFonts w:hint="eastAsia" w:ascii="仿宋_GB2312" w:hAnsi="仿宋_GB2312" w:eastAsia="仿宋_GB2312" w:cs="仿宋_GB2312"/>
          <w:sz w:val="32"/>
          <w:szCs w:val="32"/>
          <w:highlight w:val="none"/>
        </w:rPr>
        <w:t>数字化基础、经营、管理、成效四个维度综合评估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rPr>
        <w:t>数字化基础、管理和成效评测得分≥</w:t>
      </w:r>
      <w:r>
        <w:rPr>
          <w:rFonts w:hint="eastAsia" w:ascii="仿宋_GB2312" w:hAnsi="仿宋_GB2312" w:eastAsia="仿宋_GB2312" w:cs="仿宋_GB2312"/>
          <w:b/>
          <w:bCs/>
          <w:sz w:val="32"/>
          <w:szCs w:val="32"/>
          <w:highlight w:val="none"/>
          <w:lang w:val="en-US" w:eastAsia="zh-CN"/>
        </w:rPr>
        <w:t>80</w:t>
      </w:r>
      <w:r>
        <w:rPr>
          <w:rFonts w:hint="eastAsia" w:ascii="仿宋_GB2312" w:hAnsi="仿宋_GB2312" w:eastAsia="仿宋_GB2312" w:cs="仿宋_GB2312"/>
          <w:b/>
          <w:bCs/>
          <w:sz w:val="32"/>
          <w:szCs w:val="32"/>
          <w:highlight w:val="none"/>
        </w:rPr>
        <w:t>分</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数字化经营应用场景不少于</w:t>
      </w: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个应用场景</w:t>
      </w:r>
      <w:r>
        <w:rPr>
          <w:rFonts w:hint="eastAsia" w:ascii="仿宋_GB2312" w:hAnsi="仿宋_GB2312" w:eastAsia="仿宋_GB2312" w:cs="仿宋_GB2312"/>
          <w:b/>
          <w:bCs/>
          <w:sz w:val="32"/>
          <w:szCs w:val="32"/>
          <w:highlight w:val="none"/>
          <w:lang w:val="en-US" w:eastAsia="zh-CN"/>
        </w:rPr>
        <w:t>达到四级水平</w:t>
      </w:r>
      <w:r>
        <w:rPr>
          <w:rFonts w:hint="eastAsia" w:ascii="仿宋_GB2312" w:hAnsi="仿宋_GB2312" w:eastAsia="仿宋_GB2312" w:cs="仿宋_GB2312"/>
          <w:sz w:val="32"/>
          <w:szCs w:val="32"/>
          <w:highlight w:val="none"/>
        </w:rPr>
        <w:t>（其中不少于</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个约束性场景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4个指导性场景</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，利用</w:t>
      </w:r>
      <w:r>
        <w:rPr>
          <w:rFonts w:hint="eastAsia" w:ascii="仿宋_GB2312" w:hAnsi="仿宋_GB2312" w:eastAsia="仿宋_GB2312" w:cs="仿宋_GB2312"/>
          <w:sz w:val="32"/>
          <w:szCs w:val="32"/>
          <w:highlight w:val="none"/>
          <w:lang w:val="en-US" w:eastAsia="zh-CN"/>
        </w:rPr>
        <w:t>人工智能等前沿技术，实现人机物互联互通、</w:t>
      </w:r>
      <w:r>
        <w:rPr>
          <w:rFonts w:hint="eastAsia" w:ascii="仿宋_GB2312" w:hAnsi="仿宋_GB2312" w:eastAsia="仿宋_GB2312" w:cs="仿宋_GB2312"/>
          <w:sz w:val="32"/>
          <w:szCs w:val="32"/>
          <w:highlight w:val="none"/>
          <w:lang w:eastAsia="zh-CN"/>
        </w:rPr>
        <w:t>全业务链数据集成分析、数据驱动业务协同与智能决策。</w:t>
      </w:r>
    </w:p>
    <w:p w14:paraId="5C5543A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val="en-US" w:eastAsia="zh-CN"/>
        </w:rPr>
        <w:t>15.省级专业级工业互联网平台：</w:t>
      </w:r>
      <w:r>
        <w:rPr>
          <w:rFonts w:hint="eastAsia" w:ascii="仿宋_GB2312" w:hAnsi="仿宋_GB2312" w:eastAsia="仿宋_GB2312" w:cs="仿宋_GB2312"/>
          <w:b w:val="0"/>
          <w:bCs w:val="0"/>
          <w:sz w:val="32"/>
          <w:szCs w:val="32"/>
          <w:highlight w:val="none"/>
          <w:lang w:val="en-US" w:eastAsia="zh-CN"/>
        </w:rPr>
        <w:t>围绕特定工业场景和前沿信息技术，建设“平台+5G”“平台+人工智能”“平台+区块链”“平台+标识解析”等技术专业型工业互联网平台，推动前沿技术与工业机理模型融合创新，支撑构建数据驱动、软件定义、平台支撑、服务增值、智能主导的新型制造体系。</w:t>
      </w:r>
    </w:p>
    <w:p w14:paraId="1C2A750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16.省级行业性工业互联网平台：</w:t>
      </w:r>
      <w:r>
        <w:rPr>
          <w:rFonts w:hint="eastAsia" w:ascii="仿宋_GB2312" w:hAnsi="仿宋_GB2312" w:eastAsia="仿宋_GB2312" w:cs="仿宋_GB2312"/>
          <w:b w:val="0"/>
          <w:bCs w:val="0"/>
          <w:sz w:val="32"/>
          <w:szCs w:val="32"/>
          <w:highlight w:val="none"/>
          <w:lang w:val="en-US" w:eastAsia="zh-CN"/>
        </w:rPr>
        <w:t>围绕工业互联网平台在垂直行业的深化应用，面向我省“51020”现代产业集群的细分行业或领域，提供行业工艺及能耗管理、流程控制优化、智能生产管控、设备远程诊断、设备预测性维护、品牌推广与网络营销、产品全生命周期管理等服务，提升工业互联网平台行业应用水平。</w:t>
      </w:r>
    </w:p>
    <w:p w14:paraId="4C08571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17.省级区域性工业互联网平台：</w:t>
      </w:r>
      <w:r>
        <w:rPr>
          <w:rFonts w:hint="eastAsia" w:ascii="仿宋_GB2312" w:hAnsi="仿宋_GB2312" w:eastAsia="仿宋_GB2312" w:cs="仿宋_GB2312"/>
          <w:b w:val="0"/>
          <w:bCs w:val="0"/>
          <w:sz w:val="32"/>
          <w:szCs w:val="32"/>
          <w:highlight w:val="none"/>
          <w:lang w:val="en-US" w:eastAsia="zh-CN"/>
        </w:rPr>
        <w:t>面向国家和省级开发区、工业园区、特色产业集聚区等制造资源集聚程度高、产业转型需求迫切的区域，提供区域资源协同、区域设备规模接入、共性机理模型与微服务开发等服务，推动平台在“块状经济”产业集聚区落地，促进区域内中小企业规模化数字化转型。</w:t>
      </w:r>
    </w:p>
    <w:p w14:paraId="693C5A5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18.</w:t>
      </w:r>
      <w:r>
        <w:rPr>
          <w:rFonts w:hint="eastAsia" w:ascii="仿宋_GB2312" w:hAnsi="仿宋_GB2312" w:eastAsia="仿宋_GB2312" w:cs="仿宋_GB2312"/>
          <w:b/>
          <w:bCs/>
          <w:sz w:val="32"/>
          <w:szCs w:val="32"/>
          <w:highlight w:val="none"/>
        </w:rPr>
        <w:t>“双跨”工业互联网平台</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val="0"/>
          <w:bCs w:val="0"/>
          <w:sz w:val="32"/>
          <w:szCs w:val="32"/>
          <w:highlight w:val="none"/>
          <w:lang w:eastAsia="zh-CN"/>
        </w:rPr>
        <w:t>面向多行业多领域，提供创新产品、创新功能、创新解决方案，能够显著解决制造业数字化转型痛点等问题，满足行业和区域产业数字化转型需求，具有较高的资源管理水平、核心技术水平，赋能成效明显，社会贡献突出，可持续发展能力较强。</w:t>
      </w:r>
    </w:p>
    <w:p w14:paraId="6A68636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19.数字化转型工作站：</w:t>
      </w:r>
      <w:r>
        <w:rPr>
          <w:rFonts w:hint="eastAsia" w:ascii="仿宋_GB2312" w:hAnsi="仿宋_GB2312" w:eastAsia="仿宋_GB2312" w:cs="仿宋_GB2312"/>
          <w:b w:val="0"/>
          <w:bCs w:val="0"/>
          <w:sz w:val="32"/>
          <w:szCs w:val="32"/>
          <w:highlight w:val="none"/>
          <w:lang w:val="en-US" w:eastAsia="zh-CN"/>
        </w:rPr>
        <w:t>产业</w:t>
      </w:r>
      <w:r>
        <w:rPr>
          <w:rFonts w:hint="eastAsia" w:ascii="仿宋_GB2312" w:hAnsi="仿宋_GB2312" w:eastAsia="仿宋_GB2312" w:cs="仿宋_GB2312"/>
          <w:sz w:val="32"/>
          <w:szCs w:val="32"/>
          <w:highlight w:val="none"/>
          <w:lang w:eastAsia="zh-CN"/>
        </w:rPr>
        <w:t>园区、龙头</w:t>
      </w:r>
      <w:r>
        <w:rPr>
          <w:rFonts w:hint="eastAsia" w:ascii="仿宋_GB2312" w:hAnsi="仿宋_GB2312" w:eastAsia="仿宋_GB2312" w:cs="仿宋_GB2312"/>
          <w:sz w:val="32"/>
          <w:szCs w:val="32"/>
          <w:highlight w:val="none"/>
        </w:rPr>
        <w:t>企业或</w:t>
      </w:r>
      <w:r>
        <w:rPr>
          <w:rFonts w:hint="eastAsia" w:ascii="仿宋_GB2312" w:hAnsi="仿宋_GB2312" w:eastAsia="仿宋_GB2312" w:cs="仿宋_GB2312"/>
          <w:sz w:val="32"/>
          <w:szCs w:val="32"/>
          <w:highlight w:val="none"/>
          <w:lang w:eastAsia="zh-CN"/>
        </w:rPr>
        <w:t>行业</w:t>
      </w:r>
      <w:r>
        <w:rPr>
          <w:rFonts w:hint="eastAsia" w:ascii="仿宋_GB2312" w:hAnsi="仿宋_GB2312" w:eastAsia="仿宋_GB2312" w:cs="仿宋_GB2312"/>
          <w:sz w:val="32"/>
          <w:szCs w:val="32"/>
          <w:highlight w:val="none"/>
        </w:rPr>
        <w:t>机构设立的数字化技术研发、应用孵化和人才培养的</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平台，旨在</w:t>
      </w:r>
      <w:r>
        <w:rPr>
          <w:rFonts w:hint="eastAsia" w:ascii="仿宋_GB2312" w:hAnsi="仿宋_GB2312" w:eastAsia="仿宋_GB2312" w:cs="仿宋_GB2312"/>
          <w:sz w:val="32"/>
          <w:szCs w:val="32"/>
          <w:highlight w:val="none"/>
          <w:lang w:val="en-US" w:eastAsia="zh-CN"/>
        </w:rPr>
        <w:t>通过融合人工智能、大数据、云计算等前沿技术，为企业提供高效、智能的工作解决方案，助力企业实现业务创新和流程优化，</w:t>
      </w:r>
      <w:r>
        <w:rPr>
          <w:rFonts w:hint="eastAsia" w:ascii="仿宋_GB2312" w:hAnsi="仿宋_GB2312" w:eastAsia="仿宋_GB2312" w:cs="仿宋_GB2312"/>
          <w:sz w:val="32"/>
          <w:szCs w:val="32"/>
          <w:highlight w:val="none"/>
        </w:rPr>
        <w:t>加速数字化转型进程</w:t>
      </w:r>
      <w:r>
        <w:rPr>
          <w:rFonts w:hint="eastAsia" w:ascii="仿宋_GB2312" w:hAnsi="仿宋_GB2312" w:eastAsia="仿宋_GB2312" w:cs="仿宋_GB2312"/>
          <w:sz w:val="32"/>
          <w:szCs w:val="32"/>
          <w:highlight w:val="none"/>
          <w:lang w:val="en-US" w:eastAsia="zh-CN"/>
        </w:rPr>
        <w:t>。</w:t>
      </w:r>
    </w:p>
    <w:p w14:paraId="1994562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20.制造业数字化转型促进中心：</w:t>
      </w:r>
      <w:r>
        <w:rPr>
          <w:rFonts w:hint="eastAsia" w:ascii="仿宋_GB2312" w:hAnsi="仿宋_GB2312" w:eastAsia="仿宋_GB2312" w:cs="仿宋_GB2312"/>
          <w:sz w:val="32"/>
          <w:szCs w:val="32"/>
          <w:highlight w:val="none"/>
          <w:lang w:val="en-US" w:eastAsia="zh-CN"/>
        </w:rPr>
        <w:t>以赋能制造业企业为核心目标，通过提供诊断咨询、技术验证、供需对接、人才培训、示范推广、政策支撑等综合服务，系统性降低企业数字化转型的难度、成本和风险，加速先进数字技术和解决方案在制造业领域的规模化应用，推动制造业整体向数字化、网络化、智能化方向转型升级，助力制造强国建设。</w:t>
      </w:r>
    </w:p>
    <w:sectPr>
      <w:footerReference r:id="rId5" w:type="default"/>
      <w:pgSz w:w="11905" w:h="16838"/>
      <w:pgMar w:top="2098" w:right="1531" w:bottom="1984" w:left="1587" w:header="113" w:footer="1247"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58C716-A82B-49BF-B5CD-A8B23FB717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7F0BA26F-77D1-4F34-BEFA-665627498940}"/>
  </w:font>
  <w:font w:name="仿宋_GB2312">
    <w:panose1 w:val="02010609030101010101"/>
    <w:charset w:val="86"/>
    <w:family w:val="auto"/>
    <w:pitch w:val="default"/>
    <w:sig w:usb0="00000001" w:usb1="080E0000" w:usb2="00000000" w:usb3="00000000" w:csb0="00040000" w:csb1="00000000"/>
    <w:embedRegular r:id="rId3" w:fontKey="{7F0B4F1B-5931-4FE2-AA4E-E65963E3B9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A83B">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431800" cy="215900"/>
              <wp:effectExtent l="0" t="0" r="0" b="0"/>
              <wp:wrapNone/>
              <wp:docPr id="4097" name="文本框 1"/>
              <wp:cNvGraphicFramePr/>
              <a:graphic xmlns:a="http://schemas.openxmlformats.org/drawingml/2006/main">
                <a:graphicData uri="http://schemas.microsoft.com/office/word/2010/wordprocessingShape">
                  <wps:wsp>
                    <wps:cNvSpPr/>
                    <wps:spPr>
                      <a:xfrm>
                        <a:off x="0" y="0"/>
                        <a:ext cx="431800" cy="215900"/>
                      </a:xfrm>
                      <a:prstGeom prst="rect">
                        <a:avLst/>
                      </a:prstGeom>
                      <a:ln>
                        <a:noFill/>
                      </a:ln>
                    </wps:spPr>
                    <wps:txbx>
                      <w:txbxContent>
                        <w:p w14:paraId="4C242FEC">
                          <w:pPr>
                            <w:pStyle w:val="6"/>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wps:txbx>
                    <wps:bodyPr vert="horz" wrap="square" lIns="0" tIns="0" rIns="0" bIns="0" anchor="t" upright="0">
                      <a:noAutofit/>
                    </wps:bodyPr>
                  </wps:wsp>
                </a:graphicData>
              </a:graphic>
            </wp:anchor>
          </w:drawing>
        </mc:Choice>
        <mc:Fallback>
          <w:pict>
            <v:rect id="文本框 1" o:spid="_x0000_s1026" o:spt="1" style="position:absolute;left:0pt;margin-top:0pt;height:17pt;width:34pt;mso-position-horizontal:center;mso-position-horizontal-relative:margin;z-index:251659264;mso-width-relative:page;mso-height-relative:page;" filled="f" stroked="f" coordsize="21600,21600" o:gfxdata="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PNL1QAAAAMBAAAPAAAAAAAAAAEAIAAA&#10;ACIAAABkcnMvZG93bnJldi54bWxQSwECFAAUAAAACACHTuJASGjKLNYBAACeAwAADgAAAAAAAAAB&#10;ACAAAAAkAQAAZHJzL2Uyb0RvYy54bWxQSwUGAAAAAAYABgBZAQAAbAUAAAAA&#10;">
              <v:fill on="f" focussize="0,0"/>
              <v:stroke on="f"/>
              <v:imagedata o:title=""/>
              <o:lock v:ext="edit" aspectratio="f"/>
              <v:textbox inset="0mm,0mm,0mm,0mm">
                <w:txbxContent>
                  <w:p w14:paraId="4C242FEC">
                    <w:pPr>
                      <w:pStyle w:val="6"/>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15671"/>
    <w:rsid w:val="036F6921"/>
    <w:rsid w:val="08A204EB"/>
    <w:rsid w:val="0A684083"/>
    <w:rsid w:val="0BD31C1D"/>
    <w:rsid w:val="101D39FA"/>
    <w:rsid w:val="227B5667"/>
    <w:rsid w:val="23EE0206"/>
    <w:rsid w:val="2A522B7B"/>
    <w:rsid w:val="2D0066ED"/>
    <w:rsid w:val="341E29A6"/>
    <w:rsid w:val="371A4A20"/>
    <w:rsid w:val="42CD0B98"/>
    <w:rsid w:val="42EC095C"/>
    <w:rsid w:val="4329643A"/>
    <w:rsid w:val="49044BE8"/>
    <w:rsid w:val="4F0330E8"/>
    <w:rsid w:val="4F9E2F1E"/>
    <w:rsid w:val="4FCD4C3E"/>
    <w:rsid w:val="51FF6894"/>
    <w:rsid w:val="52A82A88"/>
    <w:rsid w:val="56F449E5"/>
    <w:rsid w:val="5F3C2D78"/>
    <w:rsid w:val="63AE150F"/>
    <w:rsid w:val="6808604B"/>
    <w:rsid w:val="6C834E4C"/>
    <w:rsid w:val="6E922651"/>
    <w:rsid w:val="7416389E"/>
    <w:rsid w:val="7B8437E3"/>
    <w:rsid w:val="7D2E6D35"/>
    <w:rsid w:val="7E9C3C13"/>
    <w:rsid w:val="AE291EBB"/>
    <w:rsid w:val="D3D6B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link w:val="15"/>
    <w:qFormat/>
    <w:uiPriority w:val="0"/>
    <w:pPr>
      <w:keepNext/>
      <w:keepLines/>
      <w:spacing w:before="340" w:beforeAutospacing="0" w:after="330" w:afterAutospacing="0" w:line="576" w:lineRule="auto"/>
      <w:outlineLvl w:val="0"/>
    </w:pPr>
    <w:rPr>
      <w:b/>
      <w:kern w:val="44"/>
      <w:sz w:val="44"/>
    </w:rPr>
  </w:style>
  <w:style w:type="paragraph" w:styleId="5">
    <w:name w:val="heading 2"/>
    <w:basedOn w:val="1"/>
    <w:next w:val="1"/>
    <w:link w:val="13"/>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8"/>
      <w:szCs w:val="28"/>
    </w:rPr>
  </w:style>
  <w:style w:type="paragraph" w:styleId="3">
    <w:name w:val="Body Text First Indent"/>
    <w:basedOn w:val="2"/>
    <w:unhideWhenUsed/>
    <w:qFormat/>
    <w:uiPriority w:val="99"/>
    <w:pPr>
      <w:spacing w:after="120"/>
      <w:ind w:firstLine="420" w:firstLineChars="100"/>
    </w:pPr>
    <w:rPr>
      <w:rFonts w:ascii="Arial" w:hAnsi="Arial" w:eastAsia="Arial" w:cs="Arial"/>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Emphasis"/>
    <w:basedOn w:val="10"/>
    <w:qFormat/>
    <w:uiPriority w:val="0"/>
    <w:rPr>
      <w:i/>
    </w:rPr>
  </w:style>
  <w:style w:type="character" w:customStyle="1" w:styleId="13">
    <w:name w:val="标题 2 Char"/>
    <w:link w:val="5"/>
    <w:qFormat/>
    <w:uiPriority w:val="0"/>
    <w:rPr>
      <w:rFonts w:ascii="Arial" w:hAnsi="Arial" w:eastAsia="黑体"/>
      <w:b/>
      <w:sz w:val="32"/>
    </w:rPr>
  </w:style>
  <w:style w:type="character" w:customStyle="1" w:styleId="14">
    <w:name w:val="无"/>
    <w:qFormat/>
    <w:uiPriority w:val="0"/>
  </w:style>
  <w:style w:type="character" w:customStyle="1" w:styleId="15">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5630</Words>
  <Characters>5770</Characters>
  <Paragraphs>51</Paragraphs>
  <TotalTime>6</TotalTime>
  <ScaleCrop>false</ScaleCrop>
  <LinksUpToDate>false</LinksUpToDate>
  <CharactersWithSpaces>5770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2025-08-07T13:34:00Z</dcterms:created>
  <dc:creator>星星-知识</dc:creator>
  <cp:lastModifiedBy>天马星空1377057339</cp:lastModifiedBy>
  <dcterms:modified xsi:type="dcterms:W3CDTF">2026-01-08T01:15:43Z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9353178E88AC66ADBF1BCA68DD09EFEE_43</vt:lpwstr>
  </property>
  <property fmtid="{D5CDD505-2E9C-101B-9397-08002B2CF9AE}" pid="4" name="KSOTemplateDocerSaveRecord">
    <vt:lpwstr>eyJoZGlkIjoiMjYyNzRkYmVlNDZlYjU4MmM3OTkwY2YzYmM1NmNlY2MiLCJ1c2VySWQiOiI0MjA3NzI0In0=</vt:lpwstr>
  </property>
</Properties>
</file>