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AA97">
      <w:pPr>
        <w:jc w:val="center"/>
        <w:rPr>
          <w:rFonts w:hint="eastAsia" w:ascii="华文中宋" w:hAnsi="华文中宋" w:eastAsia="华文中宋" w:cs="华文中宋"/>
          <w:color w:val="auto"/>
          <w:highlight w:val="none"/>
          <w:lang w:eastAsia="zh-CN"/>
        </w:rPr>
      </w:pPr>
      <w:r>
        <w:rPr>
          <w:rFonts w:hint="eastAsia" w:ascii="华文中宋" w:hAnsi="华文中宋" w:eastAsia="华文中宋" w:cs="华文中宋"/>
          <w:b/>
          <w:bCs/>
          <w:color w:val="auto"/>
          <w:spacing w:val="-6"/>
          <w:sz w:val="44"/>
          <w:szCs w:val="44"/>
          <w:highlight w:val="none"/>
          <w:lang w:val="en-US" w:eastAsia="zh-CN"/>
        </w:rPr>
        <w:t xml:space="preserve"> 潜江市</w:t>
      </w:r>
      <w:r>
        <w:rPr>
          <w:rFonts w:hint="eastAsia" w:ascii="华文中宋" w:hAnsi="华文中宋" w:eastAsia="华文中宋" w:cs="华文中宋"/>
          <w:b/>
          <w:bCs/>
          <w:color w:val="auto"/>
          <w:spacing w:val="-6"/>
          <w:sz w:val="44"/>
          <w:szCs w:val="44"/>
          <w:highlight w:val="none"/>
        </w:rPr>
        <w:t>民政事业发展“十五五”规划</w:t>
      </w:r>
    </w:p>
    <w:p w14:paraId="685658E0">
      <w:pPr>
        <w:rPr>
          <w:color w:val="auto"/>
          <w:highlight w:val="none"/>
        </w:rPr>
      </w:pPr>
    </w:p>
    <w:p w14:paraId="318EBD77">
      <w:pPr>
        <w:rPr>
          <w:color w:val="auto"/>
          <w:highlight w:val="none"/>
        </w:rPr>
      </w:pPr>
    </w:p>
    <w:sdt>
      <w:sdtPr>
        <w:rPr>
          <w:rFonts w:ascii="宋体" w:hAnsi="宋体" w:eastAsia="宋体" w:cstheme="minorBidi"/>
          <w:color w:val="auto"/>
          <w:kern w:val="2"/>
          <w:sz w:val="21"/>
          <w:szCs w:val="24"/>
          <w:highlight w:val="none"/>
          <w:lang w:val="en-US" w:eastAsia="zh-CN" w:bidi="ar-SA"/>
        </w:rPr>
        <w:id w:val="147455103"/>
        <w15:color w:val="DBDBDB"/>
        <w:docPartObj>
          <w:docPartGallery w:val="Table of Contents"/>
          <w:docPartUnique/>
        </w:docPartObj>
      </w:sdtPr>
      <w:sdtEndPr>
        <w:rPr>
          <w:rFonts w:ascii="仿宋_GB2312" w:hAnsi="仿宋_GB2312" w:eastAsia="仿宋_GB2312" w:cs="仿宋_GB2312"/>
          <w:color w:val="auto"/>
          <w:kern w:val="2"/>
          <w:sz w:val="21"/>
          <w:szCs w:val="32"/>
          <w:highlight w:val="none"/>
          <w:lang w:val="en-US" w:eastAsia="zh-CN" w:bidi="ar-SA"/>
        </w:rPr>
      </w:sdtEndPr>
      <w:sdtContent>
        <w:p w14:paraId="056AD1C2">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目</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录</w:t>
          </w:r>
        </w:p>
        <w:p w14:paraId="6CE82D26">
          <w:pPr>
            <w:pStyle w:val="13"/>
            <w:keepNext w:val="0"/>
            <w:keepLines w:val="0"/>
            <w:pageBreakBefore w:val="0"/>
            <w:widowControl w:val="0"/>
            <w:tabs>
              <w:tab w:val="right" w:leader="dot" w:pos="8689"/>
            </w:tabs>
            <w:kinsoku/>
            <w:wordWrap/>
            <w:overflowPunct/>
            <w:topLinePunct w:val="0"/>
            <w:autoSpaceDE/>
            <w:autoSpaceDN/>
            <w:bidi w:val="0"/>
            <w:adjustRightInd/>
            <w:snapToGrid/>
            <w:spacing w:line="480" w:lineRule="auto"/>
            <w:textAlignment w:val="auto"/>
            <w:rPr>
              <w:rFonts w:ascii="仿宋_GB2312" w:hAnsi="仿宋_GB2312" w:eastAsia="仿宋_GB2312" w:cs="仿宋_GB2312"/>
              <w:color w:val="auto"/>
              <w:sz w:val="32"/>
              <w:szCs w:val="32"/>
              <w:highlight w:val="none"/>
            </w:rPr>
          </w:pPr>
        </w:p>
        <w:p w14:paraId="322CA400">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TOC \o "1-3" \h \u </w:instrText>
          </w:r>
          <w:r>
            <w:rPr>
              <w:rFonts w:ascii="仿宋_GB2312" w:hAnsi="仿宋_GB2312" w:eastAsia="仿宋_GB2312" w:cs="仿宋_GB2312"/>
              <w:color w:val="auto"/>
              <w:sz w:val="32"/>
              <w:szCs w:val="32"/>
              <w:highlight w:val="none"/>
            </w:rPr>
            <w:fldChar w:fldCharType="separate"/>
          </w: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_Toc20185 </w:instrText>
          </w:r>
          <w:r>
            <w:rPr>
              <w:rFonts w:ascii="仿宋_GB2312" w:hAnsi="仿宋_GB2312" w:eastAsia="仿宋_GB2312" w:cs="仿宋_GB2312"/>
              <w:sz w:val="30"/>
              <w:szCs w:val="30"/>
              <w:highlight w:val="none"/>
            </w:rPr>
            <w:fldChar w:fldCharType="separate"/>
          </w:r>
          <w:r>
            <w:rPr>
              <w:rFonts w:hint="eastAsia" w:ascii="黑体" w:hAnsi="黑体" w:eastAsia="黑体"/>
              <w:sz w:val="30"/>
              <w:szCs w:val="30"/>
              <w:highlight w:val="none"/>
            </w:rPr>
            <w:t>第一章  规划背景</w:t>
          </w:r>
          <w:r>
            <w:rPr>
              <w:sz w:val="30"/>
              <w:szCs w:val="30"/>
            </w:rPr>
            <w:tab/>
          </w:r>
          <w:r>
            <w:rPr>
              <w:sz w:val="30"/>
              <w:szCs w:val="30"/>
            </w:rPr>
            <w:fldChar w:fldCharType="begin"/>
          </w:r>
          <w:r>
            <w:rPr>
              <w:sz w:val="30"/>
              <w:szCs w:val="30"/>
            </w:rPr>
            <w:instrText xml:space="preserve"> PAGEREF _Toc20185 \h </w:instrText>
          </w:r>
          <w:r>
            <w:rPr>
              <w:sz w:val="30"/>
              <w:szCs w:val="30"/>
            </w:rPr>
            <w:fldChar w:fldCharType="separate"/>
          </w:r>
          <w:r>
            <w:rPr>
              <w:sz w:val="30"/>
              <w:szCs w:val="30"/>
            </w:rPr>
            <w:t>1</w:t>
          </w:r>
          <w:r>
            <w:rPr>
              <w:sz w:val="30"/>
              <w:szCs w:val="30"/>
            </w:rPr>
            <w:fldChar w:fldCharType="end"/>
          </w:r>
          <w:r>
            <w:rPr>
              <w:rFonts w:ascii="仿宋_GB2312" w:hAnsi="仿宋_GB2312" w:eastAsia="仿宋_GB2312" w:cs="仿宋_GB2312"/>
              <w:color w:val="auto"/>
              <w:sz w:val="30"/>
              <w:szCs w:val="30"/>
              <w:highlight w:val="none"/>
            </w:rPr>
            <w:fldChar w:fldCharType="end"/>
          </w:r>
        </w:p>
        <w:p w14:paraId="51D1DB6B">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_Toc779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一、发展基础</w:t>
          </w:r>
          <w:r>
            <w:rPr>
              <w:sz w:val="30"/>
              <w:szCs w:val="30"/>
            </w:rPr>
            <w:tab/>
          </w:r>
          <w:r>
            <w:rPr>
              <w:sz w:val="30"/>
              <w:szCs w:val="30"/>
            </w:rPr>
            <w:fldChar w:fldCharType="begin"/>
          </w:r>
          <w:r>
            <w:rPr>
              <w:sz w:val="30"/>
              <w:szCs w:val="30"/>
            </w:rPr>
            <w:instrText xml:space="preserve"> PAGEREF _Toc779 \h </w:instrText>
          </w:r>
          <w:r>
            <w:rPr>
              <w:sz w:val="30"/>
              <w:szCs w:val="30"/>
            </w:rPr>
            <w:fldChar w:fldCharType="separate"/>
          </w:r>
          <w:r>
            <w:rPr>
              <w:sz w:val="30"/>
              <w:szCs w:val="30"/>
            </w:rPr>
            <w:t>1</w:t>
          </w:r>
          <w:r>
            <w:rPr>
              <w:sz w:val="30"/>
              <w:szCs w:val="30"/>
            </w:rPr>
            <w:fldChar w:fldCharType="end"/>
          </w:r>
          <w:r>
            <w:rPr>
              <w:rFonts w:ascii="仿宋_GB2312" w:hAnsi="仿宋_GB2312" w:eastAsia="仿宋_GB2312" w:cs="仿宋_GB2312"/>
              <w:color w:val="auto"/>
              <w:sz w:val="30"/>
              <w:szCs w:val="30"/>
              <w:highlight w:val="none"/>
            </w:rPr>
            <w:fldChar w:fldCharType="end"/>
          </w:r>
        </w:p>
        <w:p w14:paraId="75C51DD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_Toc7217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（一）基本民生保障</w:t>
          </w:r>
          <w:r>
            <w:rPr>
              <w:rFonts w:hint="eastAsia" w:ascii="华文中宋" w:hAnsi="华文中宋" w:eastAsia="华文中宋" w:cs="华文中宋"/>
              <w:sz w:val="30"/>
              <w:szCs w:val="30"/>
              <w:highlight w:val="none"/>
              <w:lang w:eastAsia="zh-CN"/>
            </w:rPr>
            <w:t>水平显著提升</w:t>
          </w:r>
          <w:r>
            <w:rPr>
              <w:sz w:val="30"/>
              <w:szCs w:val="30"/>
            </w:rPr>
            <w:tab/>
          </w:r>
          <w:r>
            <w:rPr>
              <w:sz w:val="30"/>
              <w:szCs w:val="30"/>
            </w:rPr>
            <w:fldChar w:fldCharType="begin"/>
          </w:r>
          <w:r>
            <w:rPr>
              <w:sz w:val="30"/>
              <w:szCs w:val="30"/>
            </w:rPr>
            <w:instrText xml:space="preserve"> PAGEREF _Toc7217 \h </w:instrText>
          </w:r>
          <w:r>
            <w:rPr>
              <w:sz w:val="30"/>
              <w:szCs w:val="30"/>
            </w:rPr>
            <w:fldChar w:fldCharType="separate"/>
          </w:r>
          <w:r>
            <w:rPr>
              <w:sz w:val="30"/>
              <w:szCs w:val="30"/>
            </w:rPr>
            <w:t>1</w:t>
          </w:r>
          <w:r>
            <w:rPr>
              <w:sz w:val="30"/>
              <w:szCs w:val="30"/>
            </w:rPr>
            <w:fldChar w:fldCharType="end"/>
          </w:r>
          <w:r>
            <w:rPr>
              <w:rFonts w:ascii="仿宋_GB2312" w:hAnsi="仿宋_GB2312" w:eastAsia="仿宋_GB2312" w:cs="仿宋_GB2312"/>
              <w:color w:val="auto"/>
              <w:sz w:val="30"/>
              <w:szCs w:val="30"/>
              <w:highlight w:val="none"/>
            </w:rPr>
            <w:fldChar w:fldCharType="end"/>
          </w:r>
        </w:p>
        <w:p w14:paraId="398A502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_Toc1402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（二）</w:t>
          </w:r>
          <w:r>
            <w:rPr>
              <w:rFonts w:hint="eastAsia" w:ascii="华文中宋" w:hAnsi="华文中宋" w:eastAsia="华文中宋" w:cs="华文中宋"/>
              <w:sz w:val="30"/>
              <w:szCs w:val="30"/>
              <w:highlight w:val="none"/>
              <w:lang w:val="en-US" w:eastAsia="zh-CN"/>
            </w:rPr>
            <w:t>老龄工作和</w:t>
          </w:r>
          <w:r>
            <w:rPr>
              <w:rFonts w:hint="eastAsia" w:ascii="华文中宋" w:hAnsi="华文中宋" w:eastAsia="华文中宋" w:cs="华文中宋"/>
              <w:sz w:val="30"/>
              <w:szCs w:val="30"/>
              <w:highlight w:val="none"/>
            </w:rPr>
            <w:t>养老服务体系</w:t>
          </w:r>
          <w:r>
            <w:rPr>
              <w:rFonts w:hint="eastAsia" w:ascii="华文中宋" w:hAnsi="华文中宋" w:eastAsia="华文中宋" w:cs="华文中宋"/>
              <w:sz w:val="30"/>
              <w:szCs w:val="30"/>
              <w:highlight w:val="none"/>
              <w:lang w:val="en-US" w:eastAsia="zh-CN"/>
            </w:rPr>
            <w:t>逐步</w:t>
          </w:r>
          <w:r>
            <w:rPr>
              <w:rFonts w:hint="eastAsia" w:ascii="华文中宋" w:hAnsi="华文中宋" w:eastAsia="华文中宋" w:cs="华文中宋"/>
              <w:sz w:val="30"/>
              <w:szCs w:val="30"/>
              <w:highlight w:val="none"/>
            </w:rPr>
            <w:t>完善</w:t>
          </w:r>
          <w:r>
            <w:rPr>
              <w:sz w:val="30"/>
              <w:szCs w:val="30"/>
            </w:rPr>
            <w:tab/>
          </w:r>
          <w:r>
            <w:rPr>
              <w:sz w:val="30"/>
              <w:szCs w:val="30"/>
            </w:rPr>
            <w:fldChar w:fldCharType="begin"/>
          </w:r>
          <w:r>
            <w:rPr>
              <w:sz w:val="30"/>
              <w:szCs w:val="30"/>
            </w:rPr>
            <w:instrText xml:space="preserve"> PAGEREF _Toc1402 \h </w:instrText>
          </w:r>
          <w:r>
            <w:rPr>
              <w:sz w:val="30"/>
              <w:szCs w:val="30"/>
            </w:rPr>
            <w:fldChar w:fldCharType="separate"/>
          </w:r>
          <w:r>
            <w:rPr>
              <w:sz w:val="30"/>
              <w:szCs w:val="30"/>
            </w:rPr>
            <w:t>4</w:t>
          </w:r>
          <w:r>
            <w:rPr>
              <w:sz w:val="30"/>
              <w:szCs w:val="30"/>
            </w:rPr>
            <w:fldChar w:fldCharType="end"/>
          </w:r>
          <w:r>
            <w:rPr>
              <w:rFonts w:ascii="仿宋_GB2312" w:hAnsi="仿宋_GB2312" w:eastAsia="仿宋_GB2312" w:cs="仿宋_GB2312"/>
              <w:color w:val="auto"/>
              <w:sz w:val="30"/>
              <w:szCs w:val="30"/>
              <w:highlight w:val="none"/>
            </w:rPr>
            <w:fldChar w:fldCharType="end"/>
          </w:r>
        </w:p>
        <w:p w14:paraId="1BB23C2B">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_Toc27040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（三）基层社会治理创新推进</w:t>
          </w:r>
          <w:r>
            <w:rPr>
              <w:sz w:val="30"/>
              <w:szCs w:val="30"/>
            </w:rPr>
            <w:tab/>
          </w:r>
          <w:r>
            <w:rPr>
              <w:sz w:val="30"/>
              <w:szCs w:val="30"/>
            </w:rPr>
            <w:fldChar w:fldCharType="begin"/>
          </w:r>
          <w:r>
            <w:rPr>
              <w:sz w:val="30"/>
              <w:szCs w:val="30"/>
            </w:rPr>
            <w:instrText xml:space="preserve"> PAGEREF _Toc27040 \h </w:instrText>
          </w:r>
          <w:r>
            <w:rPr>
              <w:sz w:val="30"/>
              <w:szCs w:val="30"/>
            </w:rPr>
            <w:fldChar w:fldCharType="separate"/>
          </w:r>
          <w:r>
            <w:rPr>
              <w:sz w:val="30"/>
              <w:szCs w:val="30"/>
            </w:rPr>
            <w:t>6</w:t>
          </w:r>
          <w:r>
            <w:rPr>
              <w:sz w:val="30"/>
              <w:szCs w:val="30"/>
            </w:rPr>
            <w:fldChar w:fldCharType="end"/>
          </w:r>
          <w:r>
            <w:rPr>
              <w:rFonts w:ascii="仿宋_GB2312" w:hAnsi="仿宋_GB2312" w:eastAsia="仿宋_GB2312" w:cs="仿宋_GB2312"/>
              <w:color w:val="auto"/>
              <w:sz w:val="30"/>
              <w:szCs w:val="30"/>
              <w:highlight w:val="none"/>
            </w:rPr>
            <w:fldChar w:fldCharType="end"/>
          </w:r>
        </w:p>
        <w:p w14:paraId="7D026648">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_Toc25239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（四）基本社会事务优化升级</w:t>
          </w:r>
          <w:r>
            <w:rPr>
              <w:sz w:val="30"/>
              <w:szCs w:val="30"/>
            </w:rPr>
            <w:tab/>
          </w:r>
          <w:r>
            <w:rPr>
              <w:sz w:val="30"/>
              <w:szCs w:val="30"/>
            </w:rPr>
            <w:fldChar w:fldCharType="begin"/>
          </w:r>
          <w:r>
            <w:rPr>
              <w:sz w:val="30"/>
              <w:szCs w:val="30"/>
            </w:rPr>
            <w:instrText xml:space="preserve"> PAGEREF _Toc25239 \h </w:instrText>
          </w:r>
          <w:r>
            <w:rPr>
              <w:sz w:val="30"/>
              <w:szCs w:val="30"/>
            </w:rPr>
            <w:fldChar w:fldCharType="separate"/>
          </w:r>
          <w:r>
            <w:rPr>
              <w:sz w:val="30"/>
              <w:szCs w:val="30"/>
            </w:rPr>
            <w:t>7</w:t>
          </w:r>
          <w:r>
            <w:rPr>
              <w:sz w:val="30"/>
              <w:szCs w:val="30"/>
            </w:rPr>
            <w:fldChar w:fldCharType="end"/>
          </w:r>
          <w:r>
            <w:rPr>
              <w:rFonts w:ascii="仿宋_GB2312" w:hAnsi="仿宋_GB2312" w:eastAsia="仿宋_GB2312" w:cs="仿宋_GB2312"/>
              <w:color w:val="auto"/>
              <w:sz w:val="30"/>
              <w:szCs w:val="30"/>
              <w:highlight w:val="none"/>
            </w:rPr>
            <w:fldChar w:fldCharType="end"/>
          </w:r>
        </w:p>
        <w:p w14:paraId="13CDF50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_Toc14124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二、发展趋势</w:t>
          </w:r>
          <w:r>
            <w:rPr>
              <w:sz w:val="30"/>
              <w:szCs w:val="30"/>
            </w:rPr>
            <w:tab/>
          </w:r>
          <w:r>
            <w:rPr>
              <w:sz w:val="30"/>
              <w:szCs w:val="30"/>
            </w:rPr>
            <w:fldChar w:fldCharType="begin"/>
          </w:r>
          <w:r>
            <w:rPr>
              <w:sz w:val="30"/>
              <w:szCs w:val="30"/>
            </w:rPr>
            <w:instrText xml:space="preserve"> PAGEREF _Toc14124 \h </w:instrText>
          </w:r>
          <w:r>
            <w:rPr>
              <w:sz w:val="30"/>
              <w:szCs w:val="30"/>
            </w:rPr>
            <w:fldChar w:fldCharType="separate"/>
          </w:r>
          <w:r>
            <w:rPr>
              <w:sz w:val="30"/>
              <w:szCs w:val="30"/>
            </w:rPr>
            <w:t>8</w:t>
          </w:r>
          <w:r>
            <w:rPr>
              <w:sz w:val="30"/>
              <w:szCs w:val="30"/>
            </w:rPr>
            <w:fldChar w:fldCharType="end"/>
          </w:r>
          <w:r>
            <w:rPr>
              <w:rFonts w:ascii="仿宋_GB2312" w:hAnsi="仿宋_GB2312" w:eastAsia="仿宋_GB2312" w:cs="仿宋_GB2312"/>
              <w:color w:val="auto"/>
              <w:sz w:val="30"/>
              <w:szCs w:val="30"/>
              <w:highlight w:val="none"/>
            </w:rPr>
            <w:fldChar w:fldCharType="end"/>
          </w:r>
        </w:p>
        <w:p w14:paraId="68B48AD8">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_Toc11254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sz w:val="30"/>
              <w:szCs w:val="30"/>
              <w:highlight w:val="none"/>
            </w:rPr>
            <w:t>（一）主动顺应新形势</w:t>
          </w:r>
          <w:r>
            <w:rPr>
              <w:sz w:val="30"/>
              <w:szCs w:val="30"/>
            </w:rPr>
            <w:tab/>
          </w:r>
          <w:r>
            <w:rPr>
              <w:sz w:val="30"/>
              <w:szCs w:val="30"/>
            </w:rPr>
            <w:fldChar w:fldCharType="begin"/>
          </w:r>
          <w:r>
            <w:rPr>
              <w:sz w:val="30"/>
              <w:szCs w:val="30"/>
            </w:rPr>
            <w:instrText xml:space="preserve"> PAGEREF _Toc11254 \h </w:instrText>
          </w:r>
          <w:r>
            <w:rPr>
              <w:sz w:val="30"/>
              <w:szCs w:val="30"/>
            </w:rPr>
            <w:fldChar w:fldCharType="separate"/>
          </w:r>
          <w:r>
            <w:rPr>
              <w:sz w:val="30"/>
              <w:szCs w:val="30"/>
            </w:rPr>
            <w:t>8</w:t>
          </w:r>
          <w:r>
            <w:rPr>
              <w:sz w:val="30"/>
              <w:szCs w:val="30"/>
            </w:rPr>
            <w:fldChar w:fldCharType="end"/>
          </w:r>
          <w:r>
            <w:rPr>
              <w:rFonts w:ascii="仿宋_GB2312" w:hAnsi="仿宋_GB2312" w:eastAsia="仿宋_GB2312" w:cs="仿宋_GB2312"/>
              <w:color w:val="auto"/>
              <w:sz w:val="30"/>
              <w:szCs w:val="30"/>
              <w:highlight w:val="none"/>
            </w:rPr>
            <w:fldChar w:fldCharType="end"/>
          </w:r>
        </w:p>
        <w:p w14:paraId="227C77D7">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_Toc9003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（二）积极应对新变化</w:t>
          </w:r>
          <w:r>
            <w:rPr>
              <w:sz w:val="30"/>
              <w:szCs w:val="30"/>
            </w:rPr>
            <w:tab/>
          </w:r>
          <w:r>
            <w:rPr>
              <w:sz w:val="30"/>
              <w:szCs w:val="30"/>
            </w:rPr>
            <w:fldChar w:fldCharType="begin"/>
          </w:r>
          <w:r>
            <w:rPr>
              <w:sz w:val="30"/>
              <w:szCs w:val="30"/>
            </w:rPr>
            <w:instrText xml:space="preserve"> PAGEREF _Toc9003 \h </w:instrText>
          </w:r>
          <w:r>
            <w:rPr>
              <w:sz w:val="30"/>
              <w:szCs w:val="30"/>
            </w:rPr>
            <w:fldChar w:fldCharType="separate"/>
          </w:r>
          <w:r>
            <w:rPr>
              <w:sz w:val="30"/>
              <w:szCs w:val="30"/>
            </w:rPr>
            <w:t>10</w:t>
          </w:r>
          <w:r>
            <w:rPr>
              <w:sz w:val="30"/>
              <w:szCs w:val="30"/>
            </w:rPr>
            <w:fldChar w:fldCharType="end"/>
          </w:r>
          <w:r>
            <w:rPr>
              <w:rFonts w:ascii="仿宋_GB2312" w:hAnsi="仿宋_GB2312" w:eastAsia="仿宋_GB2312" w:cs="仿宋_GB2312"/>
              <w:color w:val="auto"/>
              <w:sz w:val="30"/>
              <w:szCs w:val="30"/>
              <w:highlight w:val="none"/>
            </w:rPr>
            <w:fldChar w:fldCharType="end"/>
          </w:r>
        </w:p>
        <w:p w14:paraId="2C6EB43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_Toc30018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（三）全面把握新机遇</w:t>
          </w:r>
          <w:r>
            <w:rPr>
              <w:sz w:val="30"/>
              <w:szCs w:val="30"/>
            </w:rPr>
            <w:tab/>
          </w:r>
          <w:r>
            <w:rPr>
              <w:sz w:val="30"/>
              <w:szCs w:val="30"/>
            </w:rPr>
            <w:fldChar w:fldCharType="begin"/>
          </w:r>
          <w:r>
            <w:rPr>
              <w:sz w:val="30"/>
              <w:szCs w:val="30"/>
            </w:rPr>
            <w:instrText xml:space="preserve"> PAGEREF _Toc30018 \h </w:instrText>
          </w:r>
          <w:r>
            <w:rPr>
              <w:sz w:val="30"/>
              <w:szCs w:val="30"/>
            </w:rPr>
            <w:fldChar w:fldCharType="separate"/>
          </w:r>
          <w:r>
            <w:rPr>
              <w:sz w:val="30"/>
              <w:szCs w:val="30"/>
            </w:rPr>
            <w:t>11</w:t>
          </w:r>
          <w:r>
            <w:rPr>
              <w:sz w:val="30"/>
              <w:szCs w:val="30"/>
            </w:rPr>
            <w:fldChar w:fldCharType="end"/>
          </w:r>
          <w:r>
            <w:rPr>
              <w:rFonts w:ascii="仿宋_GB2312" w:hAnsi="仿宋_GB2312" w:eastAsia="仿宋_GB2312" w:cs="仿宋_GB2312"/>
              <w:color w:val="auto"/>
              <w:sz w:val="30"/>
              <w:szCs w:val="30"/>
              <w:highlight w:val="none"/>
            </w:rPr>
            <w:fldChar w:fldCharType="end"/>
          </w:r>
        </w:p>
        <w:p w14:paraId="3113B15F">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_Toc28297 </w:instrText>
          </w:r>
          <w:r>
            <w:rPr>
              <w:rFonts w:ascii="仿宋_GB2312" w:hAnsi="仿宋_GB2312" w:eastAsia="仿宋_GB2312" w:cs="仿宋_GB2312"/>
              <w:sz w:val="30"/>
              <w:szCs w:val="30"/>
              <w:highlight w:val="none"/>
            </w:rPr>
            <w:fldChar w:fldCharType="separate"/>
          </w:r>
          <w:r>
            <w:rPr>
              <w:rFonts w:hint="eastAsia" w:ascii="黑体" w:hAnsi="黑体" w:eastAsia="黑体"/>
              <w:bCs/>
              <w:sz w:val="30"/>
              <w:szCs w:val="30"/>
              <w:highlight w:val="none"/>
            </w:rPr>
            <w:t xml:space="preserve">第二章  </w:t>
          </w:r>
          <w:r>
            <w:rPr>
              <w:rFonts w:hint="eastAsia" w:ascii="黑体" w:hAnsi="黑体" w:eastAsia="黑体"/>
              <w:bCs/>
              <w:sz w:val="30"/>
              <w:szCs w:val="30"/>
              <w:highlight w:val="none"/>
              <w:lang w:val="en-US" w:eastAsia="zh-CN"/>
            </w:rPr>
            <w:t>总体思路</w:t>
          </w:r>
          <w:r>
            <w:rPr>
              <w:sz w:val="30"/>
              <w:szCs w:val="30"/>
            </w:rPr>
            <w:tab/>
          </w:r>
          <w:r>
            <w:rPr>
              <w:sz w:val="30"/>
              <w:szCs w:val="30"/>
            </w:rPr>
            <w:fldChar w:fldCharType="begin"/>
          </w:r>
          <w:r>
            <w:rPr>
              <w:sz w:val="30"/>
              <w:szCs w:val="30"/>
            </w:rPr>
            <w:instrText xml:space="preserve"> PAGEREF _Toc28297 \h </w:instrText>
          </w:r>
          <w:r>
            <w:rPr>
              <w:sz w:val="30"/>
              <w:szCs w:val="30"/>
            </w:rPr>
            <w:fldChar w:fldCharType="separate"/>
          </w:r>
          <w:r>
            <w:rPr>
              <w:sz w:val="30"/>
              <w:szCs w:val="30"/>
            </w:rPr>
            <w:t>12</w:t>
          </w:r>
          <w:r>
            <w:rPr>
              <w:sz w:val="30"/>
              <w:szCs w:val="30"/>
            </w:rPr>
            <w:fldChar w:fldCharType="end"/>
          </w:r>
          <w:r>
            <w:rPr>
              <w:rFonts w:ascii="仿宋_GB2312" w:hAnsi="仿宋_GB2312" w:eastAsia="仿宋_GB2312" w:cs="仿宋_GB2312"/>
              <w:color w:val="auto"/>
              <w:sz w:val="30"/>
              <w:szCs w:val="30"/>
              <w:highlight w:val="none"/>
            </w:rPr>
            <w:fldChar w:fldCharType="end"/>
          </w:r>
        </w:p>
        <w:p w14:paraId="2C11E2E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_Toc12281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一、指导思想</w:t>
          </w:r>
          <w:r>
            <w:rPr>
              <w:sz w:val="30"/>
              <w:szCs w:val="30"/>
            </w:rPr>
            <w:tab/>
          </w:r>
          <w:r>
            <w:rPr>
              <w:sz w:val="30"/>
              <w:szCs w:val="30"/>
            </w:rPr>
            <w:fldChar w:fldCharType="begin"/>
          </w:r>
          <w:r>
            <w:rPr>
              <w:sz w:val="30"/>
              <w:szCs w:val="30"/>
            </w:rPr>
            <w:instrText xml:space="preserve"> PAGEREF _Toc12281 \h </w:instrText>
          </w:r>
          <w:r>
            <w:rPr>
              <w:sz w:val="30"/>
              <w:szCs w:val="30"/>
            </w:rPr>
            <w:fldChar w:fldCharType="separate"/>
          </w:r>
          <w:r>
            <w:rPr>
              <w:sz w:val="30"/>
              <w:szCs w:val="30"/>
            </w:rPr>
            <w:t>12</w:t>
          </w:r>
          <w:r>
            <w:rPr>
              <w:sz w:val="30"/>
              <w:szCs w:val="30"/>
            </w:rPr>
            <w:fldChar w:fldCharType="end"/>
          </w:r>
          <w:r>
            <w:rPr>
              <w:rFonts w:ascii="仿宋_GB2312" w:hAnsi="仿宋_GB2312" w:eastAsia="仿宋_GB2312" w:cs="仿宋_GB2312"/>
              <w:color w:val="auto"/>
              <w:sz w:val="30"/>
              <w:szCs w:val="30"/>
              <w:highlight w:val="none"/>
            </w:rPr>
            <w:fldChar w:fldCharType="end"/>
          </w:r>
        </w:p>
        <w:p w14:paraId="71A20AA0">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_Toc12298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二、基本原则</w:t>
          </w:r>
          <w:r>
            <w:rPr>
              <w:sz w:val="30"/>
              <w:szCs w:val="30"/>
            </w:rPr>
            <w:tab/>
          </w:r>
          <w:r>
            <w:rPr>
              <w:sz w:val="30"/>
              <w:szCs w:val="30"/>
            </w:rPr>
            <w:fldChar w:fldCharType="begin"/>
          </w:r>
          <w:r>
            <w:rPr>
              <w:sz w:val="30"/>
              <w:szCs w:val="30"/>
            </w:rPr>
            <w:instrText xml:space="preserve"> PAGEREF _Toc12298 \h </w:instrText>
          </w:r>
          <w:r>
            <w:rPr>
              <w:sz w:val="30"/>
              <w:szCs w:val="30"/>
            </w:rPr>
            <w:fldChar w:fldCharType="separate"/>
          </w:r>
          <w:r>
            <w:rPr>
              <w:sz w:val="30"/>
              <w:szCs w:val="30"/>
            </w:rPr>
            <w:t>13</w:t>
          </w:r>
          <w:r>
            <w:rPr>
              <w:sz w:val="30"/>
              <w:szCs w:val="30"/>
            </w:rPr>
            <w:fldChar w:fldCharType="end"/>
          </w:r>
          <w:r>
            <w:rPr>
              <w:rFonts w:ascii="仿宋_GB2312" w:hAnsi="仿宋_GB2312" w:eastAsia="仿宋_GB2312" w:cs="仿宋_GB2312"/>
              <w:color w:val="auto"/>
              <w:sz w:val="30"/>
              <w:szCs w:val="30"/>
              <w:highlight w:val="none"/>
            </w:rPr>
            <w:fldChar w:fldCharType="end"/>
          </w:r>
        </w:p>
        <w:p w14:paraId="5DE2302E">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_Toc15913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三、发展目标</w:t>
          </w:r>
          <w:r>
            <w:rPr>
              <w:sz w:val="30"/>
              <w:szCs w:val="30"/>
            </w:rPr>
            <w:tab/>
          </w:r>
          <w:r>
            <w:rPr>
              <w:sz w:val="30"/>
              <w:szCs w:val="30"/>
            </w:rPr>
            <w:fldChar w:fldCharType="begin"/>
          </w:r>
          <w:r>
            <w:rPr>
              <w:sz w:val="30"/>
              <w:szCs w:val="30"/>
            </w:rPr>
            <w:instrText xml:space="preserve"> PAGEREF _Toc15913 \h </w:instrText>
          </w:r>
          <w:r>
            <w:rPr>
              <w:sz w:val="30"/>
              <w:szCs w:val="30"/>
            </w:rPr>
            <w:fldChar w:fldCharType="separate"/>
          </w:r>
          <w:r>
            <w:rPr>
              <w:sz w:val="30"/>
              <w:szCs w:val="30"/>
            </w:rPr>
            <w:t>14</w:t>
          </w:r>
          <w:r>
            <w:rPr>
              <w:sz w:val="30"/>
              <w:szCs w:val="30"/>
            </w:rPr>
            <w:fldChar w:fldCharType="end"/>
          </w:r>
          <w:r>
            <w:rPr>
              <w:rFonts w:ascii="仿宋_GB2312" w:hAnsi="仿宋_GB2312" w:eastAsia="仿宋_GB2312" w:cs="仿宋_GB2312"/>
              <w:color w:val="auto"/>
              <w:sz w:val="30"/>
              <w:szCs w:val="30"/>
              <w:highlight w:val="none"/>
            </w:rPr>
            <w:fldChar w:fldCharType="end"/>
          </w:r>
        </w:p>
        <w:p w14:paraId="2665347E">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_Toc5772 </w:instrText>
          </w:r>
          <w:r>
            <w:rPr>
              <w:rFonts w:ascii="仿宋_GB2312" w:hAnsi="仿宋_GB2312" w:eastAsia="仿宋_GB2312" w:cs="仿宋_GB2312"/>
              <w:sz w:val="30"/>
              <w:szCs w:val="30"/>
              <w:highlight w:val="none"/>
            </w:rPr>
            <w:fldChar w:fldCharType="separate"/>
          </w:r>
          <w:r>
            <w:rPr>
              <w:rFonts w:hint="eastAsia" w:ascii="黑体" w:hAnsi="黑体" w:eastAsia="黑体"/>
              <w:sz w:val="30"/>
              <w:szCs w:val="30"/>
              <w:highlight w:val="none"/>
            </w:rPr>
            <w:t xml:space="preserve">第三章  </w:t>
          </w:r>
          <w:r>
            <w:rPr>
              <w:rFonts w:hint="eastAsia" w:ascii="黑体" w:hAnsi="黑体" w:eastAsia="黑体"/>
              <w:sz w:val="30"/>
              <w:szCs w:val="30"/>
              <w:highlight w:val="none"/>
              <w:lang w:val="en-US" w:eastAsia="zh-CN"/>
            </w:rPr>
            <w:t>主要</w:t>
          </w:r>
          <w:r>
            <w:rPr>
              <w:rFonts w:hint="eastAsia" w:ascii="黑体" w:hAnsi="黑体" w:eastAsia="黑体"/>
              <w:sz w:val="30"/>
              <w:szCs w:val="30"/>
              <w:highlight w:val="none"/>
            </w:rPr>
            <w:t>任务</w:t>
          </w:r>
          <w:r>
            <w:rPr>
              <w:sz w:val="30"/>
              <w:szCs w:val="30"/>
            </w:rPr>
            <w:tab/>
          </w:r>
          <w:r>
            <w:rPr>
              <w:sz w:val="30"/>
              <w:szCs w:val="30"/>
            </w:rPr>
            <w:fldChar w:fldCharType="begin"/>
          </w:r>
          <w:r>
            <w:rPr>
              <w:sz w:val="30"/>
              <w:szCs w:val="30"/>
            </w:rPr>
            <w:instrText xml:space="preserve"> PAGEREF _Toc5772 \h </w:instrText>
          </w:r>
          <w:r>
            <w:rPr>
              <w:sz w:val="30"/>
              <w:szCs w:val="30"/>
            </w:rPr>
            <w:fldChar w:fldCharType="separate"/>
          </w:r>
          <w:r>
            <w:rPr>
              <w:sz w:val="30"/>
              <w:szCs w:val="30"/>
            </w:rPr>
            <w:t>18</w:t>
          </w:r>
          <w:r>
            <w:rPr>
              <w:sz w:val="30"/>
              <w:szCs w:val="30"/>
            </w:rPr>
            <w:fldChar w:fldCharType="end"/>
          </w:r>
          <w:r>
            <w:rPr>
              <w:rFonts w:ascii="仿宋_GB2312" w:hAnsi="仿宋_GB2312" w:eastAsia="仿宋_GB2312" w:cs="仿宋_GB2312"/>
              <w:color w:val="auto"/>
              <w:sz w:val="30"/>
              <w:szCs w:val="30"/>
              <w:highlight w:val="none"/>
            </w:rPr>
            <w:fldChar w:fldCharType="end"/>
          </w:r>
        </w:p>
        <w:p w14:paraId="13025406">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_Toc15376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w:t>
          </w:r>
          <w:r>
            <w:rPr>
              <w:rFonts w:hint="eastAsia" w:ascii="黑体" w:hAnsi="黑体" w:eastAsia="黑体" w:cs="黑体"/>
              <w:sz w:val="30"/>
              <w:szCs w:val="30"/>
              <w:highlight w:val="none"/>
              <w:lang w:val="en-US" w:eastAsia="zh-CN"/>
            </w:rPr>
            <w:t>积极应对人口老龄化，</w:t>
          </w:r>
          <w:r>
            <w:rPr>
              <w:rFonts w:hint="eastAsia" w:ascii="黑体" w:hAnsi="黑体" w:eastAsia="黑体" w:cs="黑体"/>
              <w:sz w:val="30"/>
              <w:szCs w:val="30"/>
              <w:highlight w:val="none"/>
            </w:rPr>
            <w:t>构建普惠多元老年服务体系</w:t>
          </w:r>
          <w:r>
            <w:rPr>
              <w:sz w:val="30"/>
              <w:szCs w:val="30"/>
            </w:rPr>
            <w:tab/>
          </w:r>
          <w:r>
            <w:rPr>
              <w:sz w:val="30"/>
              <w:szCs w:val="30"/>
            </w:rPr>
            <w:fldChar w:fldCharType="begin"/>
          </w:r>
          <w:r>
            <w:rPr>
              <w:sz w:val="30"/>
              <w:szCs w:val="30"/>
            </w:rPr>
            <w:instrText xml:space="preserve"> PAGEREF _Toc15376 \h </w:instrText>
          </w:r>
          <w:r>
            <w:rPr>
              <w:sz w:val="30"/>
              <w:szCs w:val="30"/>
            </w:rPr>
            <w:fldChar w:fldCharType="separate"/>
          </w:r>
          <w:r>
            <w:rPr>
              <w:sz w:val="30"/>
              <w:szCs w:val="30"/>
            </w:rPr>
            <w:t>18</w:t>
          </w:r>
          <w:r>
            <w:rPr>
              <w:sz w:val="30"/>
              <w:szCs w:val="30"/>
            </w:rPr>
            <w:fldChar w:fldCharType="end"/>
          </w:r>
          <w:r>
            <w:rPr>
              <w:rFonts w:ascii="仿宋_GB2312" w:hAnsi="仿宋_GB2312" w:eastAsia="仿宋_GB2312" w:cs="仿宋_GB2312"/>
              <w:color w:val="auto"/>
              <w:sz w:val="30"/>
              <w:szCs w:val="30"/>
              <w:highlight w:val="none"/>
            </w:rPr>
            <w:fldChar w:fldCharType="end"/>
          </w:r>
        </w:p>
        <w:p w14:paraId="23A75969">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_Toc23211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sz w:val="30"/>
              <w:szCs w:val="30"/>
              <w:highlight w:val="none"/>
            </w:rPr>
            <w:t>（一）打造共建共治共享的老年友好型社会</w:t>
          </w:r>
          <w:r>
            <w:rPr>
              <w:sz w:val="30"/>
              <w:szCs w:val="30"/>
            </w:rPr>
            <w:tab/>
          </w:r>
          <w:r>
            <w:rPr>
              <w:sz w:val="30"/>
              <w:szCs w:val="30"/>
            </w:rPr>
            <w:fldChar w:fldCharType="begin"/>
          </w:r>
          <w:r>
            <w:rPr>
              <w:sz w:val="30"/>
              <w:szCs w:val="30"/>
            </w:rPr>
            <w:instrText xml:space="preserve"> PAGEREF _Toc23211 \h </w:instrText>
          </w:r>
          <w:r>
            <w:rPr>
              <w:sz w:val="30"/>
              <w:szCs w:val="30"/>
            </w:rPr>
            <w:fldChar w:fldCharType="separate"/>
          </w:r>
          <w:r>
            <w:rPr>
              <w:sz w:val="30"/>
              <w:szCs w:val="30"/>
            </w:rPr>
            <w:t>18</w:t>
          </w:r>
          <w:r>
            <w:rPr>
              <w:sz w:val="30"/>
              <w:szCs w:val="30"/>
            </w:rPr>
            <w:fldChar w:fldCharType="end"/>
          </w:r>
          <w:r>
            <w:rPr>
              <w:rFonts w:ascii="仿宋_GB2312" w:hAnsi="仿宋_GB2312" w:eastAsia="仿宋_GB2312" w:cs="仿宋_GB2312"/>
              <w:color w:val="auto"/>
              <w:sz w:val="30"/>
              <w:szCs w:val="30"/>
              <w:highlight w:val="none"/>
            </w:rPr>
            <w:fldChar w:fldCharType="end"/>
          </w:r>
        </w:p>
        <w:p w14:paraId="7F98C281">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_Toc16336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kern w:val="2"/>
              <w:sz w:val="30"/>
              <w:szCs w:val="30"/>
              <w:highlight w:val="none"/>
              <w:lang w:val="en-US" w:eastAsia="zh-CN" w:bidi="ar-SA"/>
            </w:rPr>
            <w:t>（二）健全三级养老服务网络</w:t>
          </w:r>
          <w:r>
            <w:rPr>
              <w:sz w:val="30"/>
              <w:szCs w:val="30"/>
            </w:rPr>
            <w:tab/>
          </w:r>
          <w:r>
            <w:rPr>
              <w:sz w:val="30"/>
              <w:szCs w:val="30"/>
            </w:rPr>
            <w:fldChar w:fldCharType="begin"/>
          </w:r>
          <w:r>
            <w:rPr>
              <w:sz w:val="30"/>
              <w:szCs w:val="30"/>
            </w:rPr>
            <w:instrText xml:space="preserve"> PAGEREF _Toc16336 \h </w:instrText>
          </w:r>
          <w:r>
            <w:rPr>
              <w:sz w:val="30"/>
              <w:szCs w:val="30"/>
            </w:rPr>
            <w:fldChar w:fldCharType="separate"/>
          </w:r>
          <w:r>
            <w:rPr>
              <w:sz w:val="30"/>
              <w:szCs w:val="30"/>
            </w:rPr>
            <w:t>20</w:t>
          </w:r>
          <w:r>
            <w:rPr>
              <w:sz w:val="30"/>
              <w:szCs w:val="30"/>
            </w:rPr>
            <w:fldChar w:fldCharType="end"/>
          </w:r>
          <w:r>
            <w:rPr>
              <w:rFonts w:ascii="仿宋_GB2312" w:hAnsi="仿宋_GB2312" w:eastAsia="仿宋_GB2312" w:cs="仿宋_GB2312"/>
              <w:color w:val="auto"/>
              <w:sz w:val="30"/>
              <w:szCs w:val="30"/>
              <w:highlight w:val="none"/>
            </w:rPr>
            <w:fldChar w:fldCharType="end"/>
          </w:r>
        </w:p>
        <w:p w14:paraId="450A4877">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_Toc16946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kern w:val="2"/>
              <w:sz w:val="30"/>
              <w:szCs w:val="30"/>
              <w:highlight w:val="none"/>
              <w:lang w:val="en-US" w:eastAsia="zh-CN" w:bidi="ar-SA"/>
            </w:rPr>
            <w:t>（三）完善机构养老发展格局</w:t>
          </w:r>
          <w:r>
            <w:rPr>
              <w:sz w:val="30"/>
              <w:szCs w:val="30"/>
            </w:rPr>
            <w:tab/>
          </w:r>
          <w:r>
            <w:rPr>
              <w:sz w:val="30"/>
              <w:szCs w:val="30"/>
            </w:rPr>
            <w:fldChar w:fldCharType="begin"/>
          </w:r>
          <w:r>
            <w:rPr>
              <w:sz w:val="30"/>
              <w:szCs w:val="30"/>
            </w:rPr>
            <w:instrText xml:space="preserve"> PAGEREF _Toc16946 \h </w:instrText>
          </w:r>
          <w:r>
            <w:rPr>
              <w:sz w:val="30"/>
              <w:szCs w:val="30"/>
            </w:rPr>
            <w:fldChar w:fldCharType="separate"/>
          </w:r>
          <w:r>
            <w:rPr>
              <w:sz w:val="30"/>
              <w:szCs w:val="30"/>
            </w:rPr>
            <w:t>21</w:t>
          </w:r>
          <w:r>
            <w:rPr>
              <w:sz w:val="30"/>
              <w:szCs w:val="30"/>
            </w:rPr>
            <w:fldChar w:fldCharType="end"/>
          </w:r>
          <w:r>
            <w:rPr>
              <w:rFonts w:ascii="仿宋_GB2312" w:hAnsi="仿宋_GB2312" w:eastAsia="仿宋_GB2312" w:cs="仿宋_GB2312"/>
              <w:color w:val="auto"/>
              <w:sz w:val="30"/>
              <w:szCs w:val="30"/>
              <w:highlight w:val="none"/>
            </w:rPr>
            <w:fldChar w:fldCharType="end"/>
          </w:r>
        </w:p>
        <w:p w14:paraId="39356FDC">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_Toc1931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kern w:val="2"/>
              <w:sz w:val="30"/>
              <w:szCs w:val="30"/>
              <w:highlight w:val="none"/>
              <w:lang w:val="en-US" w:eastAsia="zh-CN" w:bidi="ar-SA"/>
            </w:rPr>
            <w:t>（四）</w:t>
          </w:r>
          <w:r>
            <w:rPr>
              <w:rFonts w:hint="default" w:ascii="华文中宋" w:hAnsi="华文中宋" w:eastAsia="华文中宋" w:cs="华文中宋"/>
              <w:bCs w:val="0"/>
              <w:kern w:val="2"/>
              <w:sz w:val="30"/>
              <w:szCs w:val="30"/>
              <w:highlight w:val="none"/>
              <w:lang w:val="en-US" w:eastAsia="zh-CN" w:bidi="ar-SA"/>
            </w:rPr>
            <w:t>优化社区养老服务供给</w:t>
          </w:r>
          <w:r>
            <w:rPr>
              <w:sz w:val="30"/>
              <w:szCs w:val="30"/>
            </w:rPr>
            <w:tab/>
          </w:r>
          <w:r>
            <w:rPr>
              <w:sz w:val="30"/>
              <w:szCs w:val="30"/>
            </w:rPr>
            <w:fldChar w:fldCharType="begin"/>
          </w:r>
          <w:r>
            <w:rPr>
              <w:sz w:val="30"/>
              <w:szCs w:val="30"/>
            </w:rPr>
            <w:instrText xml:space="preserve"> PAGEREF _Toc1931 \h </w:instrText>
          </w:r>
          <w:r>
            <w:rPr>
              <w:sz w:val="30"/>
              <w:szCs w:val="30"/>
            </w:rPr>
            <w:fldChar w:fldCharType="separate"/>
          </w:r>
          <w:r>
            <w:rPr>
              <w:sz w:val="30"/>
              <w:szCs w:val="30"/>
            </w:rPr>
            <w:t>21</w:t>
          </w:r>
          <w:r>
            <w:rPr>
              <w:sz w:val="30"/>
              <w:szCs w:val="30"/>
            </w:rPr>
            <w:fldChar w:fldCharType="end"/>
          </w:r>
          <w:r>
            <w:rPr>
              <w:rFonts w:ascii="仿宋_GB2312" w:hAnsi="仿宋_GB2312" w:eastAsia="仿宋_GB2312" w:cs="仿宋_GB2312"/>
              <w:color w:val="auto"/>
              <w:sz w:val="30"/>
              <w:szCs w:val="30"/>
              <w:highlight w:val="none"/>
            </w:rPr>
            <w:fldChar w:fldCharType="end"/>
          </w:r>
        </w:p>
        <w:p w14:paraId="4745DA96">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_Toc27695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kern w:val="2"/>
              <w:sz w:val="30"/>
              <w:szCs w:val="30"/>
              <w:highlight w:val="none"/>
              <w:lang w:val="en-US" w:eastAsia="zh-CN" w:bidi="ar-SA"/>
            </w:rPr>
            <w:t>（五）提升居家养老服务水平</w:t>
          </w:r>
          <w:r>
            <w:rPr>
              <w:sz w:val="30"/>
              <w:szCs w:val="30"/>
            </w:rPr>
            <w:tab/>
          </w:r>
          <w:r>
            <w:rPr>
              <w:sz w:val="30"/>
              <w:szCs w:val="30"/>
            </w:rPr>
            <w:fldChar w:fldCharType="begin"/>
          </w:r>
          <w:r>
            <w:rPr>
              <w:sz w:val="30"/>
              <w:szCs w:val="30"/>
            </w:rPr>
            <w:instrText xml:space="preserve"> PAGEREF _Toc27695 \h </w:instrText>
          </w:r>
          <w:r>
            <w:rPr>
              <w:sz w:val="30"/>
              <w:szCs w:val="30"/>
            </w:rPr>
            <w:fldChar w:fldCharType="separate"/>
          </w:r>
          <w:r>
            <w:rPr>
              <w:sz w:val="30"/>
              <w:szCs w:val="30"/>
            </w:rPr>
            <w:t>22</w:t>
          </w:r>
          <w:r>
            <w:rPr>
              <w:sz w:val="30"/>
              <w:szCs w:val="30"/>
            </w:rPr>
            <w:fldChar w:fldCharType="end"/>
          </w:r>
          <w:r>
            <w:rPr>
              <w:rFonts w:ascii="仿宋_GB2312" w:hAnsi="仿宋_GB2312" w:eastAsia="仿宋_GB2312" w:cs="仿宋_GB2312"/>
              <w:color w:val="auto"/>
              <w:sz w:val="30"/>
              <w:szCs w:val="30"/>
              <w:highlight w:val="none"/>
            </w:rPr>
            <w:fldChar w:fldCharType="end"/>
          </w:r>
        </w:p>
        <w:p w14:paraId="25BC4861">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_Toc4523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（六）加快补齐农村养老服务短板</w:t>
          </w:r>
          <w:r>
            <w:rPr>
              <w:sz w:val="30"/>
              <w:szCs w:val="30"/>
            </w:rPr>
            <w:tab/>
          </w:r>
          <w:r>
            <w:rPr>
              <w:sz w:val="30"/>
              <w:szCs w:val="30"/>
            </w:rPr>
            <w:fldChar w:fldCharType="begin"/>
          </w:r>
          <w:r>
            <w:rPr>
              <w:sz w:val="30"/>
              <w:szCs w:val="30"/>
            </w:rPr>
            <w:instrText xml:space="preserve"> PAGEREF _Toc4523 \h </w:instrText>
          </w:r>
          <w:r>
            <w:rPr>
              <w:sz w:val="30"/>
              <w:szCs w:val="30"/>
            </w:rPr>
            <w:fldChar w:fldCharType="separate"/>
          </w:r>
          <w:r>
            <w:rPr>
              <w:sz w:val="30"/>
              <w:szCs w:val="30"/>
            </w:rPr>
            <w:t>24</w:t>
          </w:r>
          <w:r>
            <w:rPr>
              <w:sz w:val="30"/>
              <w:szCs w:val="30"/>
            </w:rPr>
            <w:fldChar w:fldCharType="end"/>
          </w:r>
          <w:r>
            <w:rPr>
              <w:rFonts w:ascii="仿宋_GB2312" w:hAnsi="仿宋_GB2312" w:eastAsia="仿宋_GB2312" w:cs="仿宋_GB2312"/>
              <w:color w:val="auto"/>
              <w:sz w:val="30"/>
              <w:szCs w:val="30"/>
              <w:highlight w:val="none"/>
            </w:rPr>
            <w:fldChar w:fldCharType="end"/>
          </w:r>
        </w:p>
        <w:p w14:paraId="7516BA12">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_Toc4784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（七）促进医养融合发展</w:t>
          </w:r>
          <w:r>
            <w:rPr>
              <w:sz w:val="30"/>
              <w:szCs w:val="30"/>
            </w:rPr>
            <w:tab/>
          </w:r>
          <w:r>
            <w:rPr>
              <w:sz w:val="30"/>
              <w:szCs w:val="30"/>
            </w:rPr>
            <w:fldChar w:fldCharType="begin"/>
          </w:r>
          <w:r>
            <w:rPr>
              <w:sz w:val="30"/>
              <w:szCs w:val="30"/>
            </w:rPr>
            <w:instrText xml:space="preserve"> PAGEREF _Toc4784 \h </w:instrText>
          </w:r>
          <w:r>
            <w:rPr>
              <w:sz w:val="30"/>
              <w:szCs w:val="30"/>
            </w:rPr>
            <w:fldChar w:fldCharType="separate"/>
          </w:r>
          <w:r>
            <w:rPr>
              <w:sz w:val="30"/>
              <w:szCs w:val="30"/>
            </w:rPr>
            <w:t>24</w:t>
          </w:r>
          <w:r>
            <w:rPr>
              <w:sz w:val="30"/>
              <w:szCs w:val="30"/>
            </w:rPr>
            <w:fldChar w:fldCharType="end"/>
          </w:r>
          <w:r>
            <w:rPr>
              <w:rFonts w:ascii="仿宋_GB2312" w:hAnsi="仿宋_GB2312" w:eastAsia="仿宋_GB2312" w:cs="仿宋_GB2312"/>
              <w:color w:val="auto"/>
              <w:sz w:val="30"/>
              <w:szCs w:val="30"/>
              <w:highlight w:val="none"/>
            </w:rPr>
            <w:fldChar w:fldCharType="end"/>
          </w:r>
        </w:p>
        <w:p w14:paraId="382DE09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_Toc14372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kern w:val="2"/>
              <w:sz w:val="30"/>
              <w:szCs w:val="30"/>
              <w:highlight w:val="none"/>
              <w:lang w:val="en-US" w:eastAsia="zh-CN" w:bidi="ar-SA"/>
            </w:rPr>
            <w:t>（八）强化养老服务要素支持</w:t>
          </w:r>
          <w:r>
            <w:rPr>
              <w:sz w:val="30"/>
              <w:szCs w:val="30"/>
            </w:rPr>
            <w:tab/>
          </w:r>
          <w:r>
            <w:rPr>
              <w:sz w:val="30"/>
              <w:szCs w:val="30"/>
            </w:rPr>
            <w:fldChar w:fldCharType="begin"/>
          </w:r>
          <w:r>
            <w:rPr>
              <w:sz w:val="30"/>
              <w:szCs w:val="30"/>
            </w:rPr>
            <w:instrText xml:space="preserve"> PAGEREF _Toc14372 \h </w:instrText>
          </w:r>
          <w:r>
            <w:rPr>
              <w:sz w:val="30"/>
              <w:szCs w:val="30"/>
            </w:rPr>
            <w:fldChar w:fldCharType="separate"/>
          </w:r>
          <w:r>
            <w:rPr>
              <w:sz w:val="30"/>
              <w:szCs w:val="30"/>
            </w:rPr>
            <w:t>25</w:t>
          </w:r>
          <w:r>
            <w:rPr>
              <w:sz w:val="30"/>
              <w:szCs w:val="30"/>
            </w:rPr>
            <w:fldChar w:fldCharType="end"/>
          </w:r>
          <w:r>
            <w:rPr>
              <w:rFonts w:ascii="仿宋_GB2312" w:hAnsi="仿宋_GB2312" w:eastAsia="仿宋_GB2312" w:cs="仿宋_GB2312"/>
              <w:color w:val="auto"/>
              <w:sz w:val="30"/>
              <w:szCs w:val="30"/>
              <w:highlight w:val="none"/>
            </w:rPr>
            <w:fldChar w:fldCharType="end"/>
          </w:r>
        </w:p>
        <w:p w14:paraId="3973080F">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_Toc6006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（九）打造银发经济发展新动能</w:t>
          </w:r>
          <w:r>
            <w:rPr>
              <w:sz w:val="30"/>
              <w:szCs w:val="30"/>
            </w:rPr>
            <w:tab/>
          </w:r>
          <w:r>
            <w:rPr>
              <w:sz w:val="30"/>
              <w:szCs w:val="30"/>
            </w:rPr>
            <w:fldChar w:fldCharType="begin"/>
          </w:r>
          <w:r>
            <w:rPr>
              <w:sz w:val="30"/>
              <w:szCs w:val="30"/>
            </w:rPr>
            <w:instrText xml:space="preserve"> PAGEREF _Toc6006 \h </w:instrText>
          </w:r>
          <w:r>
            <w:rPr>
              <w:sz w:val="30"/>
              <w:szCs w:val="30"/>
            </w:rPr>
            <w:fldChar w:fldCharType="separate"/>
          </w:r>
          <w:r>
            <w:rPr>
              <w:sz w:val="30"/>
              <w:szCs w:val="30"/>
            </w:rPr>
            <w:t>26</w:t>
          </w:r>
          <w:r>
            <w:rPr>
              <w:sz w:val="30"/>
              <w:szCs w:val="30"/>
            </w:rPr>
            <w:fldChar w:fldCharType="end"/>
          </w:r>
          <w:r>
            <w:rPr>
              <w:rFonts w:ascii="仿宋_GB2312" w:hAnsi="仿宋_GB2312" w:eastAsia="仿宋_GB2312" w:cs="仿宋_GB2312"/>
              <w:color w:val="auto"/>
              <w:sz w:val="30"/>
              <w:szCs w:val="30"/>
              <w:highlight w:val="none"/>
            </w:rPr>
            <w:fldChar w:fldCharType="end"/>
          </w:r>
        </w:p>
        <w:p w14:paraId="476AC96B">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_Toc28388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rPr>
            <w:t>、聚焦扶弱济困，织牢民生兜底保障网</w:t>
          </w:r>
          <w:r>
            <w:rPr>
              <w:sz w:val="30"/>
              <w:szCs w:val="30"/>
            </w:rPr>
            <w:tab/>
          </w:r>
          <w:r>
            <w:rPr>
              <w:sz w:val="30"/>
              <w:szCs w:val="30"/>
            </w:rPr>
            <w:fldChar w:fldCharType="begin"/>
          </w:r>
          <w:r>
            <w:rPr>
              <w:sz w:val="30"/>
              <w:szCs w:val="30"/>
            </w:rPr>
            <w:instrText xml:space="preserve"> PAGEREF _Toc28388 \h </w:instrText>
          </w:r>
          <w:r>
            <w:rPr>
              <w:sz w:val="30"/>
              <w:szCs w:val="30"/>
            </w:rPr>
            <w:fldChar w:fldCharType="separate"/>
          </w:r>
          <w:r>
            <w:rPr>
              <w:sz w:val="30"/>
              <w:szCs w:val="30"/>
            </w:rPr>
            <w:t>29</w:t>
          </w:r>
          <w:r>
            <w:rPr>
              <w:sz w:val="30"/>
              <w:szCs w:val="30"/>
            </w:rPr>
            <w:fldChar w:fldCharType="end"/>
          </w:r>
          <w:r>
            <w:rPr>
              <w:rFonts w:ascii="仿宋_GB2312" w:hAnsi="仿宋_GB2312" w:eastAsia="仿宋_GB2312" w:cs="仿宋_GB2312"/>
              <w:color w:val="auto"/>
              <w:sz w:val="30"/>
              <w:szCs w:val="30"/>
              <w:highlight w:val="none"/>
            </w:rPr>
            <w:fldChar w:fldCharType="end"/>
          </w:r>
        </w:p>
        <w:p w14:paraId="671FDF6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_Toc6939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（一）打造精准高效的“大救助”体系</w:t>
          </w:r>
          <w:r>
            <w:rPr>
              <w:sz w:val="30"/>
              <w:szCs w:val="30"/>
            </w:rPr>
            <w:tab/>
          </w:r>
          <w:r>
            <w:rPr>
              <w:sz w:val="30"/>
              <w:szCs w:val="30"/>
            </w:rPr>
            <w:fldChar w:fldCharType="begin"/>
          </w:r>
          <w:r>
            <w:rPr>
              <w:sz w:val="30"/>
              <w:szCs w:val="30"/>
            </w:rPr>
            <w:instrText xml:space="preserve"> PAGEREF _Toc6939 \h </w:instrText>
          </w:r>
          <w:r>
            <w:rPr>
              <w:sz w:val="30"/>
              <w:szCs w:val="30"/>
            </w:rPr>
            <w:fldChar w:fldCharType="separate"/>
          </w:r>
          <w:r>
            <w:rPr>
              <w:sz w:val="30"/>
              <w:szCs w:val="30"/>
            </w:rPr>
            <w:t>29</w:t>
          </w:r>
          <w:r>
            <w:rPr>
              <w:sz w:val="30"/>
              <w:szCs w:val="30"/>
            </w:rPr>
            <w:fldChar w:fldCharType="end"/>
          </w:r>
          <w:r>
            <w:rPr>
              <w:rFonts w:ascii="仿宋_GB2312" w:hAnsi="仿宋_GB2312" w:eastAsia="仿宋_GB2312" w:cs="仿宋_GB2312"/>
              <w:color w:val="auto"/>
              <w:sz w:val="30"/>
              <w:szCs w:val="30"/>
              <w:highlight w:val="none"/>
            </w:rPr>
            <w:fldChar w:fldCharType="end"/>
          </w:r>
        </w:p>
        <w:p w14:paraId="39C14D27">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_Toc1761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（二）优化社会救助服务</w:t>
          </w:r>
          <w:r>
            <w:rPr>
              <w:sz w:val="30"/>
              <w:szCs w:val="30"/>
            </w:rPr>
            <w:tab/>
          </w:r>
          <w:r>
            <w:rPr>
              <w:sz w:val="30"/>
              <w:szCs w:val="30"/>
            </w:rPr>
            <w:fldChar w:fldCharType="begin"/>
          </w:r>
          <w:r>
            <w:rPr>
              <w:sz w:val="30"/>
              <w:szCs w:val="30"/>
            </w:rPr>
            <w:instrText xml:space="preserve"> PAGEREF _Toc1761 \h </w:instrText>
          </w:r>
          <w:r>
            <w:rPr>
              <w:sz w:val="30"/>
              <w:szCs w:val="30"/>
            </w:rPr>
            <w:fldChar w:fldCharType="separate"/>
          </w:r>
          <w:r>
            <w:rPr>
              <w:sz w:val="30"/>
              <w:szCs w:val="30"/>
            </w:rPr>
            <w:t>30</w:t>
          </w:r>
          <w:r>
            <w:rPr>
              <w:sz w:val="30"/>
              <w:szCs w:val="30"/>
            </w:rPr>
            <w:fldChar w:fldCharType="end"/>
          </w:r>
          <w:r>
            <w:rPr>
              <w:rFonts w:ascii="仿宋_GB2312" w:hAnsi="仿宋_GB2312" w:eastAsia="仿宋_GB2312" w:cs="仿宋_GB2312"/>
              <w:color w:val="auto"/>
              <w:sz w:val="30"/>
              <w:szCs w:val="30"/>
              <w:highlight w:val="none"/>
            </w:rPr>
            <w:fldChar w:fldCharType="end"/>
          </w:r>
        </w:p>
        <w:p w14:paraId="132AC0D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_Toc6780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（三）动态监测救助对象</w:t>
          </w:r>
          <w:r>
            <w:rPr>
              <w:sz w:val="30"/>
              <w:szCs w:val="30"/>
            </w:rPr>
            <w:tab/>
          </w:r>
          <w:r>
            <w:rPr>
              <w:sz w:val="30"/>
              <w:szCs w:val="30"/>
            </w:rPr>
            <w:fldChar w:fldCharType="begin"/>
          </w:r>
          <w:r>
            <w:rPr>
              <w:sz w:val="30"/>
              <w:szCs w:val="30"/>
            </w:rPr>
            <w:instrText xml:space="preserve"> PAGEREF _Toc6780 \h </w:instrText>
          </w:r>
          <w:r>
            <w:rPr>
              <w:sz w:val="30"/>
              <w:szCs w:val="30"/>
            </w:rPr>
            <w:fldChar w:fldCharType="separate"/>
          </w:r>
          <w:r>
            <w:rPr>
              <w:sz w:val="30"/>
              <w:szCs w:val="30"/>
            </w:rPr>
            <w:t>31</w:t>
          </w:r>
          <w:r>
            <w:rPr>
              <w:sz w:val="30"/>
              <w:szCs w:val="30"/>
            </w:rPr>
            <w:fldChar w:fldCharType="end"/>
          </w:r>
          <w:r>
            <w:rPr>
              <w:rFonts w:ascii="仿宋_GB2312" w:hAnsi="仿宋_GB2312" w:eastAsia="仿宋_GB2312" w:cs="仿宋_GB2312"/>
              <w:color w:val="auto"/>
              <w:sz w:val="30"/>
              <w:szCs w:val="30"/>
              <w:highlight w:val="none"/>
            </w:rPr>
            <w:fldChar w:fldCharType="end"/>
          </w:r>
        </w:p>
        <w:p w14:paraId="795D922A">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_Toc8792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（四）推动儿童福利工作提质增效</w:t>
          </w:r>
          <w:r>
            <w:rPr>
              <w:sz w:val="30"/>
              <w:szCs w:val="30"/>
            </w:rPr>
            <w:tab/>
          </w:r>
          <w:r>
            <w:rPr>
              <w:sz w:val="30"/>
              <w:szCs w:val="30"/>
            </w:rPr>
            <w:fldChar w:fldCharType="begin"/>
          </w:r>
          <w:r>
            <w:rPr>
              <w:sz w:val="30"/>
              <w:szCs w:val="30"/>
            </w:rPr>
            <w:instrText xml:space="preserve"> PAGEREF _Toc8792 \h </w:instrText>
          </w:r>
          <w:r>
            <w:rPr>
              <w:sz w:val="30"/>
              <w:szCs w:val="30"/>
            </w:rPr>
            <w:fldChar w:fldCharType="separate"/>
          </w:r>
          <w:r>
            <w:rPr>
              <w:sz w:val="30"/>
              <w:szCs w:val="30"/>
            </w:rPr>
            <w:t>32</w:t>
          </w:r>
          <w:r>
            <w:rPr>
              <w:sz w:val="30"/>
              <w:szCs w:val="30"/>
            </w:rPr>
            <w:fldChar w:fldCharType="end"/>
          </w:r>
          <w:r>
            <w:rPr>
              <w:rFonts w:ascii="仿宋_GB2312" w:hAnsi="仿宋_GB2312" w:eastAsia="仿宋_GB2312" w:cs="仿宋_GB2312"/>
              <w:color w:val="auto"/>
              <w:sz w:val="30"/>
              <w:szCs w:val="30"/>
              <w:highlight w:val="none"/>
            </w:rPr>
            <w:fldChar w:fldCharType="end"/>
          </w:r>
        </w:p>
        <w:p w14:paraId="44BC7A14">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_Toc11369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w:t>
          </w:r>
          <w:r>
            <w:rPr>
              <w:rFonts w:hint="eastAsia" w:ascii="华文中宋" w:hAnsi="华文中宋" w:eastAsia="华文中宋" w:cs="华文中宋"/>
              <w:sz w:val="30"/>
              <w:szCs w:val="30"/>
              <w:highlight w:val="none"/>
              <w:lang w:val="en-US" w:eastAsia="zh-CN"/>
            </w:rPr>
            <w:t>五</w:t>
          </w:r>
          <w:r>
            <w:rPr>
              <w:rFonts w:hint="eastAsia" w:ascii="华文中宋" w:hAnsi="华文中宋" w:eastAsia="华文中宋" w:cs="华文中宋"/>
              <w:sz w:val="30"/>
              <w:szCs w:val="30"/>
              <w:highlight w:val="none"/>
            </w:rPr>
            <w:t>）完善残疾人社会保障制度</w:t>
          </w:r>
          <w:r>
            <w:rPr>
              <w:sz w:val="30"/>
              <w:szCs w:val="30"/>
            </w:rPr>
            <w:tab/>
          </w:r>
          <w:r>
            <w:rPr>
              <w:sz w:val="30"/>
              <w:szCs w:val="30"/>
            </w:rPr>
            <w:fldChar w:fldCharType="begin"/>
          </w:r>
          <w:r>
            <w:rPr>
              <w:sz w:val="30"/>
              <w:szCs w:val="30"/>
            </w:rPr>
            <w:instrText xml:space="preserve"> PAGEREF _Toc11369 \h </w:instrText>
          </w:r>
          <w:r>
            <w:rPr>
              <w:sz w:val="30"/>
              <w:szCs w:val="30"/>
            </w:rPr>
            <w:fldChar w:fldCharType="separate"/>
          </w:r>
          <w:r>
            <w:rPr>
              <w:sz w:val="30"/>
              <w:szCs w:val="30"/>
            </w:rPr>
            <w:t>34</w:t>
          </w:r>
          <w:r>
            <w:rPr>
              <w:sz w:val="30"/>
              <w:szCs w:val="30"/>
            </w:rPr>
            <w:fldChar w:fldCharType="end"/>
          </w:r>
          <w:r>
            <w:rPr>
              <w:rFonts w:ascii="仿宋_GB2312" w:hAnsi="仿宋_GB2312" w:eastAsia="仿宋_GB2312" w:cs="仿宋_GB2312"/>
              <w:color w:val="auto"/>
              <w:sz w:val="30"/>
              <w:szCs w:val="30"/>
              <w:highlight w:val="none"/>
            </w:rPr>
            <w:fldChar w:fldCharType="end"/>
          </w:r>
        </w:p>
        <w:p w14:paraId="3F0D5358">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_Toc11323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三、</w:t>
          </w:r>
          <w:r>
            <w:rPr>
              <w:rFonts w:hint="eastAsia" w:ascii="黑体" w:hAnsi="黑体" w:eastAsia="黑体" w:cs="黑体"/>
              <w:sz w:val="30"/>
              <w:szCs w:val="30"/>
              <w:highlight w:val="none"/>
              <w:lang w:val="en-US" w:eastAsia="zh-CN"/>
            </w:rPr>
            <w:t>坚持高质量发展，</w:t>
          </w:r>
          <w:r>
            <w:rPr>
              <w:rFonts w:hint="eastAsia" w:ascii="黑体" w:hAnsi="黑体" w:eastAsia="黑体" w:cs="黑体"/>
              <w:sz w:val="30"/>
              <w:szCs w:val="30"/>
              <w:highlight w:val="none"/>
            </w:rPr>
            <w:t>激活治理新动能</w:t>
          </w:r>
          <w:r>
            <w:rPr>
              <w:sz w:val="30"/>
              <w:szCs w:val="30"/>
            </w:rPr>
            <w:tab/>
          </w:r>
          <w:r>
            <w:rPr>
              <w:sz w:val="30"/>
              <w:szCs w:val="30"/>
            </w:rPr>
            <w:fldChar w:fldCharType="begin"/>
          </w:r>
          <w:r>
            <w:rPr>
              <w:sz w:val="30"/>
              <w:szCs w:val="30"/>
            </w:rPr>
            <w:instrText xml:space="preserve"> PAGEREF _Toc11323 \h </w:instrText>
          </w:r>
          <w:r>
            <w:rPr>
              <w:sz w:val="30"/>
              <w:szCs w:val="30"/>
            </w:rPr>
            <w:fldChar w:fldCharType="separate"/>
          </w:r>
          <w:r>
            <w:rPr>
              <w:sz w:val="30"/>
              <w:szCs w:val="30"/>
            </w:rPr>
            <w:t>35</w:t>
          </w:r>
          <w:r>
            <w:rPr>
              <w:sz w:val="30"/>
              <w:szCs w:val="30"/>
            </w:rPr>
            <w:fldChar w:fldCharType="end"/>
          </w:r>
          <w:r>
            <w:rPr>
              <w:rFonts w:ascii="仿宋_GB2312" w:hAnsi="仿宋_GB2312" w:eastAsia="仿宋_GB2312" w:cs="仿宋_GB2312"/>
              <w:color w:val="auto"/>
              <w:sz w:val="30"/>
              <w:szCs w:val="30"/>
              <w:highlight w:val="none"/>
            </w:rPr>
            <w:fldChar w:fldCharType="end"/>
          </w:r>
        </w:p>
        <w:p w14:paraId="2F40AD23">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_Toc2537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（一）</w:t>
          </w:r>
          <w:r>
            <w:rPr>
              <w:rFonts w:hint="eastAsia" w:ascii="华文中宋" w:hAnsi="华文中宋" w:eastAsia="华文中宋" w:cs="华文中宋"/>
              <w:sz w:val="30"/>
              <w:szCs w:val="30"/>
              <w:highlight w:val="none"/>
              <w:lang w:val="en-US" w:eastAsia="zh-CN"/>
            </w:rPr>
            <w:t>加强</w:t>
          </w:r>
          <w:r>
            <w:rPr>
              <w:rFonts w:hint="eastAsia" w:ascii="华文中宋" w:hAnsi="华文中宋" w:eastAsia="华文中宋" w:cs="华文中宋"/>
              <w:sz w:val="30"/>
              <w:szCs w:val="30"/>
              <w:highlight w:val="none"/>
            </w:rPr>
            <w:t>社会组织</w:t>
          </w:r>
          <w:r>
            <w:rPr>
              <w:rFonts w:hint="eastAsia" w:ascii="华文中宋" w:hAnsi="华文中宋" w:eastAsia="华文中宋" w:cs="华文中宋"/>
              <w:sz w:val="30"/>
              <w:szCs w:val="30"/>
              <w:highlight w:val="none"/>
              <w:lang w:val="en-US" w:eastAsia="zh-CN"/>
            </w:rPr>
            <w:t>培育管理</w:t>
          </w:r>
          <w:r>
            <w:rPr>
              <w:sz w:val="30"/>
              <w:szCs w:val="30"/>
            </w:rPr>
            <w:tab/>
          </w:r>
          <w:r>
            <w:rPr>
              <w:sz w:val="30"/>
              <w:szCs w:val="30"/>
            </w:rPr>
            <w:fldChar w:fldCharType="begin"/>
          </w:r>
          <w:r>
            <w:rPr>
              <w:sz w:val="30"/>
              <w:szCs w:val="30"/>
            </w:rPr>
            <w:instrText xml:space="preserve"> PAGEREF _Toc2537 \h </w:instrText>
          </w:r>
          <w:r>
            <w:rPr>
              <w:sz w:val="30"/>
              <w:szCs w:val="30"/>
            </w:rPr>
            <w:fldChar w:fldCharType="separate"/>
          </w:r>
          <w:r>
            <w:rPr>
              <w:sz w:val="30"/>
              <w:szCs w:val="30"/>
            </w:rPr>
            <w:t>35</w:t>
          </w:r>
          <w:r>
            <w:rPr>
              <w:sz w:val="30"/>
              <w:szCs w:val="30"/>
            </w:rPr>
            <w:fldChar w:fldCharType="end"/>
          </w:r>
          <w:r>
            <w:rPr>
              <w:rFonts w:ascii="仿宋_GB2312" w:hAnsi="仿宋_GB2312" w:eastAsia="仿宋_GB2312" w:cs="仿宋_GB2312"/>
              <w:color w:val="auto"/>
              <w:sz w:val="30"/>
              <w:szCs w:val="30"/>
              <w:highlight w:val="none"/>
            </w:rPr>
            <w:fldChar w:fldCharType="end"/>
          </w:r>
        </w:p>
        <w:p w14:paraId="0E9DFF68">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_Toc29667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（二）</w:t>
          </w:r>
          <w:r>
            <w:rPr>
              <w:rFonts w:hint="eastAsia" w:ascii="华文中宋" w:hAnsi="华文中宋" w:eastAsia="华文中宋" w:cs="华文中宋"/>
              <w:sz w:val="30"/>
              <w:szCs w:val="30"/>
              <w:highlight w:val="none"/>
              <w:lang w:eastAsia="zh-CN"/>
            </w:rPr>
            <w:t>推动</w:t>
          </w:r>
          <w:r>
            <w:rPr>
              <w:rFonts w:hint="eastAsia" w:ascii="华文中宋" w:hAnsi="华文中宋" w:eastAsia="华文中宋" w:cs="华文中宋"/>
              <w:sz w:val="30"/>
              <w:szCs w:val="30"/>
              <w:highlight w:val="none"/>
            </w:rPr>
            <w:t>慈善事业高质量发展</w:t>
          </w:r>
          <w:r>
            <w:rPr>
              <w:sz w:val="30"/>
              <w:szCs w:val="30"/>
            </w:rPr>
            <w:tab/>
          </w:r>
          <w:r>
            <w:rPr>
              <w:sz w:val="30"/>
              <w:szCs w:val="30"/>
            </w:rPr>
            <w:fldChar w:fldCharType="begin"/>
          </w:r>
          <w:r>
            <w:rPr>
              <w:sz w:val="30"/>
              <w:szCs w:val="30"/>
            </w:rPr>
            <w:instrText xml:space="preserve"> PAGEREF _Toc29667 \h </w:instrText>
          </w:r>
          <w:r>
            <w:rPr>
              <w:sz w:val="30"/>
              <w:szCs w:val="30"/>
            </w:rPr>
            <w:fldChar w:fldCharType="separate"/>
          </w:r>
          <w:r>
            <w:rPr>
              <w:sz w:val="30"/>
              <w:szCs w:val="30"/>
            </w:rPr>
            <w:t>35</w:t>
          </w:r>
          <w:r>
            <w:rPr>
              <w:sz w:val="30"/>
              <w:szCs w:val="30"/>
            </w:rPr>
            <w:fldChar w:fldCharType="end"/>
          </w:r>
          <w:r>
            <w:rPr>
              <w:rFonts w:ascii="仿宋_GB2312" w:hAnsi="仿宋_GB2312" w:eastAsia="仿宋_GB2312" w:cs="仿宋_GB2312"/>
              <w:color w:val="auto"/>
              <w:sz w:val="30"/>
              <w:szCs w:val="30"/>
              <w:highlight w:val="none"/>
            </w:rPr>
            <w:fldChar w:fldCharType="end"/>
          </w:r>
        </w:p>
        <w:p w14:paraId="645602C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_Toc7576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（三）提升区划地名管理水平</w:t>
          </w:r>
          <w:r>
            <w:rPr>
              <w:sz w:val="30"/>
              <w:szCs w:val="30"/>
            </w:rPr>
            <w:tab/>
          </w:r>
          <w:r>
            <w:rPr>
              <w:sz w:val="30"/>
              <w:szCs w:val="30"/>
            </w:rPr>
            <w:fldChar w:fldCharType="begin"/>
          </w:r>
          <w:r>
            <w:rPr>
              <w:sz w:val="30"/>
              <w:szCs w:val="30"/>
            </w:rPr>
            <w:instrText xml:space="preserve"> PAGEREF _Toc7576 \h </w:instrText>
          </w:r>
          <w:r>
            <w:rPr>
              <w:sz w:val="30"/>
              <w:szCs w:val="30"/>
            </w:rPr>
            <w:fldChar w:fldCharType="separate"/>
          </w:r>
          <w:r>
            <w:rPr>
              <w:sz w:val="30"/>
              <w:szCs w:val="30"/>
            </w:rPr>
            <w:t>36</w:t>
          </w:r>
          <w:r>
            <w:rPr>
              <w:sz w:val="30"/>
              <w:szCs w:val="30"/>
            </w:rPr>
            <w:fldChar w:fldCharType="end"/>
          </w:r>
          <w:r>
            <w:rPr>
              <w:rFonts w:ascii="仿宋_GB2312" w:hAnsi="仿宋_GB2312" w:eastAsia="仿宋_GB2312" w:cs="仿宋_GB2312"/>
              <w:color w:val="auto"/>
              <w:sz w:val="30"/>
              <w:szCs w:val="30"/>
              <w:highlight w:val="none"/>
            </w:rPr>
            <w:fldChar w:fldCharType="end"/>
          </w:r>
        </w:p>
        <w:p w14:paraId="3578FD6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_Toc22399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四、聚力便民惠民</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促进专项社会事务提质增效</w:t>
          </w:r>
          <w:r>
            <w:rPr>
              <w:sz w:val="30"/>
              <w:szCs w:val="30"/>
            </w:rPr>
            <w:tab/>
          </w:r>
          <w:r>
            <w:rPr>
              <w:sz w:val="30"/>
              <w:szCs w:val="30"/>
            </w:rPr>
            <w:fldChar w:fldCharType="begin"/>
          </w:r>
          <w:r>
            <w:rPr>
              <w:sz w:val="30"/>
              <w:szCs w:val="30"/>
            </w:rPr>
            <w:instrText xml:space="preserve"> PAGEREF _Toc22399 \h </w:instrText>
          </w:r>
          <w:r>
            <w:rPr>
              <w:sz w:val="30"/>
              <w:szCs w:val="30"/>
            </w:rPr>
            <w:fldChar w:fldCharType="separate"/>
          </w:r>
          <w:r>
            <w:rPr>
              <w:sz w:val="30"/>
              <w:szCs w:val="30"/>
            </w:rPr>
            <w:t>37</w:t>
          </w:r>
          <w:r>
            <w:rPr>
              <w:sz w:val="30"/>
              <w:szCs w:val="30"/>
            </w:rPr>
            <w:fldChar w:fldCharType="end"/>
          </w:r>
          <w:r>
            <w:rPr>
              <w:rFonts w:ascii="仿宋_GB2312" w:hAnsi="仿宋_GB2312" w:eastAsia="仿宋_GB2312" w:cs="仿宋_GB2312"/>
              <w:color w:val="auto"/>
              <w:sz w:val="30"/>
              <w:szCs w:val="30"/>
              <w:highlight w:val="none"/>
            </w:rPr>
            <w:fldChar w:fldCharType="end"/>
          </w:r>
        </w:p>
        <w:p w14:paraId="0C304E39">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_Toc31459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rPr>
            <w:t>（</w:t>
          </w:r>
          <w:r>
            <w:rPr>
              <w:rFonts w:hint="eastAsia" w:ascii="华文中宋" w:hAnsi="华文中宋" w:eastAsia="华文中宋" w:cs="华文中宋"/>
              <w:sz w:val="30"/>
              <w:szCs w:val="30"/>
              <w:highlight w:val="none"/>
              <w:lang w:val="en-US" w:eastAsia="zh-CN"/>
            </w:rPr>
            <w:t>一</w:t>
          </w:r>
          <w:r>
            <w:rPr>
              <w:rFonts w:hint="eastAsia" w:ascii="华文中宋" w:hAnsi="华文中宋" w:eastAsia="华文中宋" w:cs="华文中宋"/>
              <w:sz w:val="30"/>
              <w:szCs w:val="30"/>
              <w:highlight w:val="none"/>
            </w:rPr>
            <w:t>）</w:t>
          </w:r>
          <w:r>
            <w:rPr>
              <w:rFonts w:hint="eastAsia" w:ascii="华文中宋" w:hAnsi="华文中宋" w:eastAsia="华文中宋" w:cs="华文中宋"/>
              <w:sz w:val="30"/>
              <w:szCs w:val="30"/>
              <w:highlight w:val="none"/>
              <w:lang w:val="en-US" w:eastAsia="zh-CN"/>
            </w:rPr>
            <w:t>完善殡葬事务管理机制</w:t>
          </w:r>
          <w:r>
            <w:rPr>
              <w:sz w:val="30"/>
              <w:szCs w:val="30"/>
            </w:rPr>
            <w:tab/>
          </w:r>
          <w:r>
            <w:rPr>
              <w:sz w:val="30"/>
              <w:szCs w:val="30"/>
            </w:rPr>
            <w:fldChar w:fldCharType="begin"/>
          </w:r>
          <w:r>
            <w:rPr>
              <w:sz w:val="30"/>
              <w:szCs w:val="30"/>
            </w:rPr>
            <w:instrText xml:space="preserve"> PAGEREF _Toc31459 \h </w:instrText>
          </w:r>
          <w:r>
            <w:rPr>
              <w:sz w:val="30"/>
              <w:szCs w:val="30"/>
            </w:rPr>
            <w:fldChar w:fldCharType="separate"/>
          </w:r>
          <w:r>
            <w:rPr>
              <w:sz w:val="30"/>
              <w:szCs w:val="30"/>
            </w:rPr>
            <w:t>37</w:t>
          </w:r>
          <w:r>
            <w:rPr>
              <w:sz w:val="30"/>
              <w:szCs w:val="30"/>
            </w:rPr>
            <w:fldChar w:fldCharType="end"/>
          </w:r>
          <w:r>
            <w:rPr>
              <w:rFonts w:ascii="仿宋_GB2312" w:hAnsi="仿宋_GB2312" w:eastAsia="仿宋_GB2312" w:cs="仿宋_GB2312"/>
              <w:color w:val="auto"/>
              <w:sz w:val="30"/>
              <w:szCs w:val="30"/>
              <w:highlight w:val="none"/>
            </w:rPr>
            <w:fldChar w:fldCharType="end"/>
          </w:r>
        </w:p>
        <w:p w14:paraId="6D0A2CF4">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_Toc31453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bCs w:val="0"/>
              <w:sz w:val="30"/>
              <w:szCs w:val="30"/>
              <w:highlight w:val="none"/>
            </w:rPr>
            <w:t>（</w:t>
          </w:r>
          <w:r>
            <w:rPr>
              <w:rFonts w:hint="eastAsia" w:ascii="华文中宋" w:hAnsi="华文中宋" w:eastAsia="华文中宋" w:cs="华文中宋"/>
              <w:bCs w:val="0"/>
              <w:sz w:val="30"/>
              <w:szCs w:val="30"/>
              <w:highlight w:val="none"/>
              <w:lang w:val="en-US" w:eastAsia="zh-CN"/>
            </w:rPr>
            <w:t>二</w:t>
          </w:r>
          <w:r>
            <w:rPr>
              <w:rFonts w:hint="eastAsia" w:ascii="华文中宋" w:hAnsi="华文中宋" w:eastAsia="华文中宋" w:cs="华文中宋"/>
              <w:bCs w:val="0"/>
              <w:sz w:val="30"/>
              <w:szCs w:val="30"/>
              <w:highlight w:val="none"/>
            </w:rPr>
            <w:t>）加强婚姻管理服务</w:t>
          </w:r>
          <w:r>
            <w:rPr>
              <w:sz w:val="30"/>
              <w:szCs w:val="30"/>
            </w:rPr>
            <w:tab/>
          </w:r>
          <w:r>
            <w:rPr>
              <w:sz w:val="30"/>
              <w:szCs w:val="30"/>
            </w:rPr>
            <w:fldChar w:fldCharType="begin"/>
          </w:r>
          <w:r>
            <w:rPr>
              <w:sz w:val="30"/>
              <w:szCs w:val="30"/>
            </w:rPr>
            <w:instrText xml:space="preserve"> PAGEREF _Toc31453 \h </w:instrText>
          </w:r>
          <w:r>
            <w:rPr>
              <w:sz w:val="30"/>
              <w:szCs w:val="30"/>
            </w:rPr>
            <w:fldChar w:fldCharType="separate"/>
          </w:r>
          <w:r>
            <w:rPr>
              <w:sz w:val="30"/>
              <w:szCs w:val="30"/>
            </w:rPr>
            <w:t>38</w:t>
          </w:r>
          <w:r>
            <w:rPr>
              <w:sz w:val="30"/>
              <w:szCs w:val="30"/>
            </w:rPr>
            <w:fldChar w:fldCharType="end"/>
          </w:r>
          <w:r>
            <w:rPr>
              <w:rFonts w:ascii="仿宋_GB2312" w:hAnsi="仿宋_GB2312" w:eastAsia="仿宋_GB2312" w:cs="仿宋_GB2312"/>
              <w:color w:val="auto"/>
              <w:sz w:val="30"/>
              <w:szCs w:val="30"/>
              <w:highlight w:val="none"/>
            </w:rPr>
            <w:fldChar w:fldCharType="end"/>
          </w:r>
        </w:p>
        <w:p w14:paraId="24D99665">
          <w:pPr>
            <w:pStyle w:val="9"/>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_Toc25645 </w:instrText>
          </w:r>
          <w:r>
            <w:rPr>
              <w:rFonts w:ascii="仿宋_GB2312" w:hAnsi="仿宋_GB2312" w:eastAsia="仿宋_GB2312" w:cs="仿宋_GB2312"/>
              <w:sz w:val="30"/>
              <w:szCs w:val="30"/>
              <w:highlight w:val="none"/>
            </w:rPr>
            <w:fldChar w:fldCharType="separate"/>
          </w:r>
          <w:r>
            <w:rPr>
              <w:rFonts w:hint="eastAsia" w:ascii="华文中宋" w:hAnsi="华文中宋" w:eastAsia="华文中宋" w:cs="华文中宋"/>
              <w:sz w:val="30"/>
              <w:szCs w:val="30"/>
              <w:highlight w:val="none"/>
              <w:lang w:val="en-US" w:eastAsia="zh-CN"/>
            </w:rPr>
            <w:t>（三）推动救助管理服务转型升级</w:t>
          </w:r>
          <w:r>
            <w:rPr>
              <w:sz w:val="30"/>
              <w:szCs w:val="30"/>
            </w:rPr>
            <w:tab/>
          </w:r>
          <w:r>
            <w:rPr>
              <w:sz w:val="30"/>
              <w:szCs w:val="30"/>
            </w:rPr>
            <w:fldChar w:fldCharType="begin"/>
          </w:r>
          <w:r>
            <w:rPr>
              <w:sz w:val="30"/>
              <w:szCs w:val="30"/>
            </w:rPr>
            <w:instrText xml:space="preserve"> PAGEREF _Toc25645 \h </w:instrText>
          </w:r>
          <w:r>
            <w:rPr>
              <w:sz w:val="30"/>
              <w:szCs w:val="30"/>
            </w:rPr>
            <w:fldChar w:fldCharType="separate"/>
          </w:r>
          <w:r>
            <w:rPr>
              <w:sz w:val="30"/>
              <w:szCs w:val="30"/>
            </w:rPr>
            <w:t>40</w:t>
          </w:r>
          <w:r>
            <w:rPr>
              <w:sz w:val="30"/>
              <w:szCs w:val="30"/>
            </w:rPr>
            <w:fldChar w:fldCharType="end"/>
          </w:r>
          <w:r>
            <w:rPr>
              <w:rFonts w:ascii="仿宋_GB2312" w:hAnsi="仿宋_GB2312" w:eastAsia="仿宋_GB2312" w:cs="仿宋_GB2312"/>
              <w:color w:val="auto"/>
              <w:sz w:val="30"/>
              <w:szCs w:val="30"/>
              <w:highlight w:val="none"/>
            </w:rPr>
            <w:fldChar w:fldCharType="end"/>
          </w:r>
        </w:p>
        <w:p w14:paraId="7E4F7C1F">
          <w:pPr>
            <w:pStyle w:val="13"/>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_Toc13685 </w:instrText>
          </w:r>
          <w:r>
            <w:rPr>
              <w:rFonts w:ascii="仿宋_GB2312" w:hAnsi="仿宋_GB2312" w:eastAsia="仿宋_GB2312" w:cs="仿宋_GB2312"/>
              <w:sz w:val="30"/>
              <w:szCs w:val="30"/>
              <w:highlight w:val="none"/>
            </w:rPr>
            <w:fldChar w:fldCharType="separate"/>
          </w:r>
          <w:r>
            <w:rPr>
              <w:rFonts w:hint="eastAsia" w:ascii="黑体" w:hAnsi="黑体" w:eastAsia="黑体"/>
              <w:sz w:val="30"/>
              <w:szCs w:val="30"/>
              <w:highlight w:val="none"/>
            </w:rPr>
            <w:t>第</w:t>
          </w:r>
          <w:r>
            <w:rPr>
              <w:rFonts w:hint="eastAsia" w:ascii="黑体" w:hAnsi="黑体" w:eastAsia="黑体"/>
              <w:sz w:val="30"/>
              <w:szCs w:val="30"/>
              <w:highlight w:val="none"/>
              <w:lang w:val="en-US" w:eastAsia="zh-CN"/>
            </w:rPr>
            <w:t>四</w:t>
          </w:r>
          <w:r>
            <w:rPr>
              <w:rFonts w:hint="eastAsia" w:ascii="黑体" w:hAnsi="黑体" w:eastAsia="黑体"/>
              <w:sz w:val="30"/>
              <w:szCs w:val="30"/>
              <w:highlight w:val="none"/>
            </w:rPr>
            <w:t>章  保障措施</w:t>
          </w:r>
          <w:r>
            <w:rPr>
              <w:sz w:val="30"/>
              <w:szCs w:val="30"/>
            </w:rPr>
            <w:tab/>
          </w:r>
          <w:r>
            <w:rPr>
              <w:sz w:val="30"/>
              <w:szCs w:val="30"/>
            </w:rPr>
            <w:fldChar w:fldCharType="begin"/>
          </w:r>
          <w:r>
            <w:rPr>
              <w:sz w:val="30"/>
              <w:szCs w:val="30"/>
            </w:rPr>
            <w:instrText xml:space="preserve"> PAGEREF _Toc13685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6A639EBC">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_Toc32551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一、加强党建引领</w:t>
          </w:r>
          <w:r>
            <w:rPr>
              <w:sz w:val="30"/>
              <w:szCs w:val="30"/>
            </w:rPr>
            <w:tab/>
          </w:r>
          <w:r>
            <w:rPr>
              <w:sz w:val="30"/>
              <w:szCs w:val="30"/>
            </w:rPr>
            <w:fldChar w:fldCharType="begin"/>
          </w:r>
          <w:r>
            <w:rPr>
              <w:sz w:val="30"/>
              <w:szCs w:val="30"/>
            </w:rPr>
            <w:instrText xml:space="preserve"> PAGEREF _Toc32551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28D6B288">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_Toc31204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二、强化统筹布局</w:t>
          </w:r>
          <w:r>
            <w:rPr>
              <w:sz w:val="30"/>
              <w:szCs w:val="30"/>
            </w:rPr>
            <w:tab/>
          </w:r>
          <w:r>
            <w:rPr>
              <w:sz w:val="30"/>
              <w:szCs w:val="30"/>
            </w:rPr>
            <w:fldChar w:fldCharType="begin"/>
          </w:r>
          <w:r>
            <w:rPr>
              <w:sz w:val="30"/>
              <w:szCs w:val="30"/>
            </w:rPr>
            <w:instrText xml:space="preserve"> PAGEREF _Toc31204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252255A4">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_Toc4320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rPr>
            <w:t>三、</w:t>
          </w:r>
          <w:r>
            <w:rPr>
              <w:rFonts w:hint="eastAsia" w:ascii="黑体" w:hAnsi="黑体" w:eastAsia="黑体" w:cs="黑体"/>
              <w:sz w:val="30"/>
              <w:szCs w:val="30"/>
              <w:highlight w:val="none"/>
              <w:lang w:val="en-US" w:eastAsia="zh-CN"/>
            </w:rPr>
            <w:t>健全投入保障机制</w:t>
          </w:r>
          <w:r>
            <w:rPr>
              <w:sz w:val="30"/>
              <w:szCs w:val="30"/>
            </w:rPr>
            <w:tab/>
          </w:r>
          <w:r>
            <w:rPr>
              <w:sz w:val="30"/>
              <w:szCs w:val="30"/>
            </w:rPr>
            <w:fldChar w:fldCharType="begin"/>
          </w:r>
          <w:r>
            <w:rPr>
              <w:sz w:val="30"/>
              <w:szCs w:val="30"/>
            </w:rPr>
            <w:instrText xml:space="preserve"> PAGEREF _Toc4320 \h </w:instrText>
          </w:r>
          <w:r>
            <w:rPr>
              <w:sz w:val="30"/>
              <w:szCs w:val="30"/>
            </w:rPr>
            <w:fldChar w:fldCharType="separate"/>
          </w:r>
          <w:r>
            <w:rPr>
              <w:sz w:val="30"/>
              <w:szCs w:val="30"/>
            </w:rPr>
            <w:t>41</w:t>
          </w:r>
          <w:r>
            <w:rPr>
              <w:sz w:val="30"/>
              <w:szCs w:val="30"/>
            </w:rPr>
            <w:fldChar w:fldCharType="end"/>
          </w:r>
          <w:r>
            <w:rPr>
              <w:rFonts w:ascii="仿宋_GB2312" w:hAnsi="仿宋_GB2312" w:eastAsia="仿宋_GB2312" w:cs="仿宋_GB2312"/>
              <w:color w:val="auto"/>
              <w:sz w:val="30"/>
              <w:szCs w:val="30"/>
              <w:highlight w:val="none"/>
            </w:rPr>
            <w:fldChar w:fldCharType="end"/>
          </w:r>
        </w:p>
        <w:p w14:paraId="711DC933">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_Toc19008 </w:instrText>
          </w:r>
          <w:r>
            <w:rPr>
              <w:rFonts w:ascii="仿宋_GB2312" w:hAnsi="仿宋_GB2312" w:eastAsia="仿宋_GB2312" w:cs="仿宋_GB2312"/>
              <w:sz w:val="30"/>
              <w:szCs w:val="30"/>
              <w:highlight w:val="none"/>
            </w:rPr>
            <w:fldChar w:fldCharType="separate"/>
          </w:r>
          <w:r>
            <w:rPr>
              <w:rFonts w:hint="eastAsia" w:ascii="黑体" w:hAnsi="黑体" w:eastAsia="黑体" w:cs="黑体"/>
              <w:kern w:val="2"/>
              <w:sz w:val="30"/>
              <w:szCs w:val="30"/>
              <w:highlight w:val="none"/>
              <w:lang w:val="en-US" w:eastAsia="zh-CN" w:bidi="ar-SA"/>
            </w:rPr>
            <w:t>四、</w:t>
          </w:r>
          <w:r>
            <w:rPr>
              <w:rFonts w:hint="eastAsia" w:ascii="黑体" w:hAnsi="黑体" w:eastAsia="黑体" w:cs="黑体"/>
              <w:sz w:val="30"/>
              <w:szCs w:val="30"/>
              <w:highlight w:val="none"/>
              <w:lang w:val="en-US" w:eastAsia="zh-CN"/>
            </w:rPr>
            <w:t>加强民政人才队伍建设</w:t>
          </w:r>
          <w:r>
            <w:rPr>
              <w:sz w:val="30"/>
              <w:szCs w:val="30"/>
            </w:rPr>
            <w:tab/>
          </w:r>
          <w:r>
            <w:rPr>
              <w:sz w:val="30"/>
              <w:szCs w:val="30"/>
            </w:rPr>
            <w:fldChar w:fldCharType="begin"/>
          </w:r>
          <w:r>
            <w:rPr>
              <w:sz w:val="30"/>
              <w:szCs w:val="30"/>
            </w:rPr>
            <w:instrText xml:space="preserve"> PAGEREF _Toc19008 \h </w:instrText>
          </w:r>
          <w:r>
            <w:rPr>
              <w:sz w:val="30"/>
              <w:szCs w:val="30"/>
            </w:rPr>
            <w:fldChar w:fldCharType="separate"/>
          </w:r>
          <w:r>
            <w:rPr>
              <w:sz w:val="30"/>
              <w:szCs w:val="30"/>
            </w:rPr>
            <w:t>42</w:t>
          </w:r>
          <w:r>
            <w:rPr>
              <w:sz w:val="30"/>
              <w:szCs w:val="30"/>
            </w:rPr>
            <w:fldChar w:fldCharType="end"/>
          </w:r>
          <w:r>
            <w:rPr>
              <w:rFonts w:ascii="仿宋_GB2312" w:hAnsi="仿宋_GB2312" w:eastAsia="仿宋_GB2312" w:cs="仿宋_GB2312"/>
              <w:color w:val="auto"/>
              <w:sz w:val="30"/>
              <w:szCs w:val="30"/>
              <w:highlight w:val="none"/>
            </w:rPr>
            <w:fldChar w:fldCharType="end"/>
          </w:r>
        </w:p>
        <w:p w14:paraId="6384E941">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rPr>
              <w:sz w:val="30"/>
              <w:szCs w:val="30"/>
            </w:rPr>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_Toc10072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五</w:t>
          </w:r>
          <w:r>
            <w:rPr>
              <w:rFonts w:hint="eastAsia" w:ascii="黑体" w:hAnsi="黑体" w:eastAsia="黑体" w:cs="黑体"/>
              <w:sz w:val="30"/>
              <w:szCs w:val="30"/>
              <w:highlight w:val="none"/>
            </w:rPr>
            <w:t>、推进民政数字化转型</w:t>
          </w:r>
          <w:r>
            <w:rPr>
              <w:sz w:val="30"/>
              <w:szCs w:val="30"/>
            </w:rPr>
            <w:tab/>
          </w:r>
          <w:r>
            <w:rPr>
              <w:sz w:val="30"/>
              <w:szCs w:val="30"/>
            </w:rPr>
            <w:fldChar w:fldCharType="begin"/>
          </w:r>
          <w:r>
            <w:rPr>
              <w:sz w:val="30"/>
              <w:szCs w:val="30"/>
            </w:rPr>
            <w:instrText xml:space="preserve"> PAGEREF _Toc10072 \h </w:instrText>
          </w:r>
          <w:r>
            <w:rPr>
              <w:sz w:val="30"/>
              <w:szCs w:val="30"/>
            </w:rPr>
            <w:fldChar w:fldCharType="separate"/>
          </w:r>
          <w:r>
            <w:rPr>
              <w:sz w:val="30"/>
              <w:szCs w:val="30"/>
            </w:rPr>
            <w:t>42</w:t>
          </w:r>
          <w:r>
            <w:rPr>
              <w:sz w:val="30"/>
              <w:szCs w:val="30"/>
            </w:rPr>
            <w:fldChar w:fldCharType="end"/>
          </w:r>
          <w:r>
            <w:rPr>
              <w:rFonts w:ascii="仿宋_GB2312" w:hAnsi="仿宋_GB2312" w:eastAsia="仿宋_GB2312" w:cs="仿宋_GB2312"/>
              <w:color w:val="auto"/>
              <w:sz w:val="30"/>
              <w:szCs w:val="30"/>
              <w:highlight w:val="none"/>
            </w:rPr>
            <w:fldChar w:fldCharType="end"/>
          </w:r>
        </w:p>
        <w:p w14:paraId="5F7ECD53">
          <w:pPr>
            <w:pStyle w:val="16"/>
            <w:keepNext w:val="0"/>
            <w:keepLines w:val="0"/>
            <w:pageBreakBefore w:val="0"/>
            <w:widowControl w:val="0"/>
            <w:tabs>
              <w:tab w:val="right" w:leader="dot" w:pos="8689"/>
            </w:tabs>
            <w:kinsoku/>
            <w:wordWrap/>
            <w:overflowPunct/>
            <w:topLinePunct w:val="0"/>
            <w:autoSpaceDE/>
            <w:autoSpaceDN/>
            <w:bidi w:val="0"/>
            <w:adjustRightInd/>
            <w:snapToGrid/>
            <w:spacing w:before="157" w:beforeLines="50"/>
            <w:textAlignment w:val="auto"/>
          </w:pPr>
          <w:r>
            <w:rPr>
              <w:rFonts w:ascii="仿宋_GB2312" w:hAnsi="仿宋_GB2312" w:eastAsia="仿宋_GB2312" w:cs="仿宋_GB2312"/>
              <w:color w:val="auto"/>
              <w:sz w:val="30"/>
              <w:szCs w:val="30"/>
              <w:highlight w:val="none"/>
            </w:rPr>
            <w:fldChar w:fldCharType="begin"/>
          </w:r>
          <w:r>
            <w:rPr>
              <w:rFonts w:ascii="仿宋_GB2312" w:hAnsi="仿宋_GB2312" w:eastAsia="仿宋_GB2312" w:cs="仿宋_GB2312"/>
              <w:sz w:val="30"/>
              <w:szCs w:val="30"/>
              <w:highlight w:val="none"/>
            </w:rPr>
            <w:instrText xml:space="preserve"> HYPERLINK \l _Toc10204 </w:instrText>
          </w:r>
          <w:r>
            <w:rPr>
              <w:rFonts w:ascii="仿宋_GB2312" w:hAnsi="仿宋_GB2312" w:eastAsia="仿宋_GB2312" w:cs="仿宋_GB2312"/>
              <w:sz w:val="30"/>
              <w:szCs w:val="30"/>
              <w:highlight w:val="none"/>
            </w:rPr>
            <w:fldChar w:fldCharType="separate"/>
          </w:r>
          <w:r>
            <w:rPr>
              <w:rFonts w:hint="eastAsia" w:ascii="黑体" w:hAnsi="黑体" w:eastAsia="黑体" w:cs="黑体"/>
              <w:sz w:val="30"/>
              <w:szCs w:val="30"/>
              <w:highlight w:val="none"/>
              <w:lang w:val="en-US" w:eastAsia="zh-CN"/>
            </w:rPr>
            <w:t>六</w:t>
          </w:r>
          <w:r>
            <w:rPr>
              <w:rFonts w:hint="eastAsia" w:ascii="黑体" w:hAnsi="黑体" w:eastAsia="黑体" w:cs="黑体"/>
              <w:sz w:val="30"/>
              <w:szCs w:val="30"/>
              <w:highlight w:val="none"/>
            </w:rPr>
            <w:t>、加强监测评估</w:t>
          </w:r>
          <w:r>
            <w:rPr>
              <w:sz w:val="30"/>
              <w:szCs w:val="30"/>
            </w:rPr>
            <w:tab/>
          </w:r>
          <w:r>
            <w:rPr>
              <w:sz w:val="30"/>
              <w:szCs w:val="30"/>
            </w:rPr>
            <w:fldChar w:fldCharType="begin"/>
          </w:r>
          <w:r>
            <w:rPr>
              <w:sz w:val="30"/>
              <w:szCs w:val="30"/>
            </w:rPr>
            <w:instrText xml:space="preserve"> PAGEREF _Toc10204 \h </w:instrText>
          </w:r>
          <w:r>
            <w:rPr>
              <w:sz w:val="30"/>
              <w:szCs w:val="30"/>
            </w:rPr>
            <w:fldChar w:fldCharType="separate"/>
          </w:r>
          <w:r>
            <w:rPr>
              <w:sz w:val="30"/>
              <w:szCs w:val="30"/>
            </w:rPr>
            <w:t>43</w:t>
          </w:r>
          <w:r>
            <w:rPr>
              <w:sz w:val="30"/>
              <w:szCs w:val="30"/>
            </w:rPr>
            <w:fldChar w:fldCharType="end"/>
          </w:r>
          <w:r>
            <w:rPr>
              <w:rFonts w:ascii="仿宋_GB2312" w:hAnsi="仿宋_GB2312" w:eastAsia="仿宋_GB2312" w:cs="仿宋_GB2312"/>
              <w:color w:val="auto"/>
              <w:sz w:val="30"/>
              <w:szCs w:val="30"/>
              <w:highlight w:val="none"/>
            </w:rPr>
            <w:fldChar w:fldCharType="end"/>
          </w:r>
        </w:p>
        <w:p w14:paraId="104BB9A7">
          <w:pPr>
            <w:keepNext w:val="0"/>
            <w:keepLines w:val="0"/>
            <w:pageBreakBefore w:val="0"/>
            <w:widowControl w:val="0"/>
            <w:kinsoku/>
            <w:wordWrap/>
            <w:overflowPunct/>
            <w:topLinePunct w:val="0"/>
            <w:autoSpaceDE/>
            <w:autoSpaceDN/>
            <w:bidi w:val="0"/>
            <w:adjustRightInd/>
            <w:snapToGrid/>
            <w:spacing w:before="63" w:beforeLines="20" w:line="480" w:lineRule="auto"/>
            <w:ind w:firstLine="420" w:firstLineChars="200"/>
            <w:textAlignment w:val="auto"/>
            <w:rPr>
              <w:rFonts w:ascii="仿宋_GB2312" w:hAnsi="仿宋_GB2312" w:eastAsia="仿宋_GB2312" w:cs="仿宋_GB2312"/>
              <w:color w:val="auto"/>
              <w:kern w:val="2"/>
              <w:sz w:val="21"/>
              <w:szCs w:val="32"/>
              <w:highlight w:val="none"/>
              <w:lang w:val="en-US" w:eastAsia="zh-CN" w:bidi="ar-SA"/>
            </w:rPr>
          </w:pPr>
          <w:r>
            <w:rPr>
              <w:rFonts w:ascii="仿宋_GB2312" w:hAnsi="仿宋_GB2312" w:eastAsia="仿宋_GB2312" w:cs="仿宋_GB2312"/>
              <w:color w:val="auto"/>
              <w:szCs w:val="32"/>
              <w:highlight w:val="none"/>
            </w:rPr>
            <w:fldChar w:fldCharType="end"/>
          </w:r>
        </w:p>
      </w:sdtContent>
    </w:sdt>
    <w:p w14:paraId="207AFD35">
      <w:pPr>
        <w:ind w:firstLine="420" w:firstLineChars="200"/>
        <w:rPr>
          <w:rFonts w:ascii="仿宋_GB2312" w:hAnsi="仿宋_GB2312" w:eastAsia="仿宋_GB2312" w:cs="仿宋_GB2312"/>
          <w:color w:val="auto"/>
          <w:kern w:val="2"/>
          <w:sz w:val="21"/>
          <w:szCs w:val="32"/>
          <w:highlight w:val="none"/>
          <w:lang w:val="en-US" w:eastAsia="zh-CN" w:bidi="ar-SA"/>
        </w:rPr>
      </w:pPr>
    </w:p>
    <w:p w14:paraId="6BD22572">
      <w:pPr>
        <w:ind w:firstLine="420" w:firstLineChars="200"/>
        <w:rPr>
          <w:rFonts w:ascii="仿宋_GB2312" w:hAnsi="仿宋_GB2312" w:eastAsia="仿宋_GB2312" w:cs="仿宋_GB2312"/>
          <w:color w:val="auto"/>
          <w:kern w:val="2"/>
          <w:sz w:val="21"/>
          <w:szCs w:val="32"/>
          <w:highlight w:val="none"/>
          <w:lang w:val="en-US" w:eastAsia="zh-CN" w:bidi="ar-SA"/>
        </w:rPr>
        <w:sectPr>
          <w:footerReference r:id="rId3" w:type="default"/>
          <w:pgSz w:w="11906" w:h="16838"/>
          <w:pgMar w:top="1440" w:right="1800" w:bottom="1440" w:left="1417" w:header="851" w:footer="992" w:gutter="0"/>
          <w:pgNumType w:fmt="decimal"/>
          <w:cols w:space="425" w:num="1"/>
          <w:docGrid w:type="lines" w:linePitch="312" w:charSpace="0"/>
        </w:sectPr>
      </w:pPr>
    </w:p>
    <w:p w14:paraId="31EB33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华文中宋" w:cs="仿宋_GB2312"/>
          <w:color w:val="auto"/>
          <w:sz w:val="32"/>
          <w:szCs w:val="32"/>
          <w:highlight w:val="none"/>
          <w:lang w:eastAsia="zh-CN"/>
        </w:rPr>
      </w:pPr>
      <w:r>
        <w:rPr>
          <w:rFonts w:hint="eastAsia" w:ascii="华文中宋" w:hAnsi="华文中宋" w:eastAsia="华文中宋" w:cs="华文中宋"/>
          <w:b/>
          <w:bCs/>
          <w:color w:val="auto"/>
          <w:spacing w:val="-6"/>
          <w:sz w:val="44"/>
          <w:szCs w:val="44"/>
          <w:highlight w:val="none"/>
          <w:lang w:val="en-US" w:eastAsia="zh-CN"/>
        </w:rPr>
        <w:t>潜江市</w:t>
      </w:r>
      <w:r>
        <w:rPr>
          <w:rFonts w:hint="eastAsia" w:ascii="华文中宋" w:hAnsi="华文中宋" w:eastAsia="华文中宋" w:cs="华文中宋"/>
          <w:b/>
          <w:bCs/>
          <w:color w:val="auto"/>
          <w:spacing w:val="-6"/>
          <w:sz w:val="44"/>
          <w:szCs w:val="44"/>
          <w:highlight w:val="none"/>
        </w:rPr>
        <w:t>民政事业发展“十五五”规划</w:t>
      </w:r>
    </w:p>
    <w:p w14:paraId="4B32F994">
      <w:pPr>
        <w:ind w:firstLine="640" w:firstLineChars="200"/>
        <w:rPr>
          <w:rFonts w:hint="eastAsia" w:ascii="仿宋_GB2312" w:hAnsi="仿宋_GB2312" w:eastAsia="仿宋_GB2312" w:cs="仿宋_GB2312"/>
          <w:color w:val="auto"/>
          <w:sz w:val="32"/>
          <w:szCs w:val="32"/>
          <w:highlight w:val="none"/>
        </w:rPr>
      </w:pPr>
    </w:p>
    <w:p w14:paraId="3B73F02C">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民政系统更好履行基本民生保障、基本社会服务和专项事务管理等职责，</w:t>
      </w:r>
      <w:r>
        <w:rPr>
          <w:rFonts w:hint="eastAsia" w:ascii="仿宋_GB2312" w:hAnsi="仿宋_GB2312" w:eastAsia="仿宋_GB2312" w:cs="仿宋_GB2312"/>
          <w:color w:val="auto"/>
          <w:sz w:val="32"/>
          <w:szCs w:val="32"/>
          <w:highlight w:val="none"/>
          <w:lang w:eastAsia="zh-CN"/>
        </w:rPr>
        <w:t>明确“十五五”时期潜江民政事业发展目标，</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《湖北省民政事业发展“十五五”规划》、</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潜江市</w:t>
      </w:r>
      <w:r>
        <w:rPr>
          <w:rFonts w:hint="eastAsia" w:ascii="仿宋_GB2312" w:hAnsi="仿宋_GB2312" w:eastAsia="仿宋_GB2312" w:cs="仿宋_GB2312"/>
          <w:color w:val="auto"/>
          <w:sz w:val="32"/>
          <w:szCs w:val="32"/>
          <w:highlight w:val="none"/>
        </w:rPr>
        <w:t>国民经济和社会发展第十五个五年规划》，制定本规划。</w:t>
      </w:r>
    </w:p>
    <w:p w14:paraId="3BD17509">
      <w:pPr>
        <w:snapToGrid w:val="0"/>
        <w:spacing w:before="312" w:beforeLines="100" w:after="312" w:afterLines="100" w:line="360" w:lineRule="auto"/>
        <w:ind w:firstLine="320" w:firstLineChars="100"/>
        <w:jc w:val="center"/>
        <w:outlineLvl w:val="0"/>
        <w:rPr>
          <w:rFonts w:hint="eastAsia" w:ascii="黑体" w:hAnsi="黑体" w:eastAsia="黑体"/>
          <w:color w:val="auto"/>
          <w:sz w:val="32"/>
          <w:szCs w:val="32"/>
          <w:highlight w:val="none"/>
          <w:lang w:eastAsia="zh-CN"/>
        </w:rPr>
      </w:pPr>
      <w:bookmarkStart w:id="0" w:name="_Toc20185"/>
      <w:bookmarkStart w:id="1" w:name="_Toc8770"/>
      <w:r>
        <w:rPr>
          <w:rFonts w:hint="eastAsia" w:ascii="黑体" w:hAnsi="黑体" w:eastAsia="黑体"/>
          <w:color w:val="auto"/>
          <w:sz w:val="32"/>
          <w:szCs w:val="32"/>
          <w:highlight w:val="none"/>
        </w:rPr>
        <w:t>第一章  规划背景</w:t>
      </w:r>
      <w:bookmarkEnd w:id="0"/>
      <w:bookmarkEnd w:id="1"/>
    </w:p>
    <w:p w14:paraId="05884788">
      <w:pPr>
        <w:spacing w:before="156" w:beforeLines="50" w:line="360" w:lineRule="auto"/>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近年来，</w:t>
      </w:r>
      <w:r>
        <w:rPr>
          <w:rFonts w:hint="eastAsia" w:ascii="仿宋_GB2312" w:hAnsi="仿宋_GB2312" w:eastAsia="仿宋_GB2312" w:cs="仿宋_GB2312"/>
          <w:color w:val="auto"/>
          <w:sz w:val="32"/>
          <w:szCs w:val="32"/>
          <w:highlight w:val="none"/>
          <w:lang w:eastAsia="zh-CN"/>
        </w:rPr>
        <w:t>潜江</w:t>
      </w:r>
      <w:r>
        <w:rPr>
          <w:rFonts w:hint="eastAsia" w:ascii="仿宋_GB2312" w:hAnsi="仿宋_GB2312" w:eastAsia="仿宋_GB2312" w:cs="仿宋_GB2312"/>
          <w:color w:val="auto"/>
          <w:sz w:val="32"/>
          <w:szCs w:val="32"/>
          <w:highlight w:val="none"/>
        </w:rPr>
        <w:t>民政系统</w:t>
      </w:r>
      <w:r>
        <w:rPr>
          <w:rFonts w:hint="eastAsia" w:ascii="仿宋_GB2312" w:hAnsi="仿宋_GB2312" w:eastAsia="仿宋_GB2312" w:cs="仿宋_GB2312"/>
          <w:color w:val="auto"/>
          <w:sz w:val="32"/>
          <w:szCs w:val="32"/>
          <w:highlight w:val="none"/>
          <w:lang w:eastAsia="zh-CN"/>
        </w:rPr>
        <w:t>坚持以习近平新时代中国特色社会主义思想为指导，深入</w:t>
      </w:r>
      <w:r>
        <w:rPr>
          <w:rFonts w:hint="eastAsia" w:ascii="仿宋_GB2312" w:hAnsi="仿宋_GB2312" w:eastAsia="仿宋_GB2312" w:cs="仿宋_GB2312"/>
          <w:color w:val="auto"/>
          <w:sz w:val="32"/>
          <w:szCs w:val="32"/>
          <w:highlight w:val="none"/>
        </w:rPr>
        <w:t>贯彻习近平总书记关于民政工作重要论述</w:t>
      </w:r>
      <w:r>
        <w:rPr>
          <w:rFonts w:hint="eastAsia" w:ascii="仿宋_GB2312" w:hAnsi="仿宋_GB2312" w:eastAsia="仿宋_GB2312" w:cs="仿宋_GB2312"/>
          <w:color w:val="auto"/>
          <w:sz w:val="32"/>
          <w:szCs w:val="32"/>
          <w:highlight w:val="none"/>
          <w:lang w:eastAsia="zh-CN"/>
        </w:rPr>
        <w:t>和重要指示批示精神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认真</w:t>
      </w:r>
      <w:r>
        <w:rPr>
          <w:rFonts w:hint="eastAsia"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lang w:eastAsia="zh-CN"/>
        </w:rPr>
        <w:t>省、市各级</w:t>
      </w:r>
      <w:r>
        <w:rPr>
          <w:rFonts w:hint="eastAsia" w:ascii="仿宋_GB2312" w:hAnsi="仿宋_GB2312" w:eastAsia="仿宋_GB2312" w:cs="仿宋_GB2312"/>
          <w:color w:val="auto"/>
          <w:sz w:val="32"/>
          <w:szCs w:val="32"/>
          <w:highlight w:val="none"/>
        </w:rPr>
        <w:t>决策部署，凝心聚力兜底线、保</w:t>
      </w:r>
      <w:r>
        <w:rPr>
          <w:rFonts w:hint="eastAsia" w:ascii="仿宋_GB2312" w:hAnsi="仿宋_GB2312" w:eastAsia="仿宋_GB2312" w:cs="仿宋_GB2312"/>
          <w:color w:val="auto"/>
          <w:sz w:val="32"/>
          <w:szCs w:val="32"/>
          <w:highlight w:val="none"/>
          <w:lang w:eastAsia="zh-CN"/>
        </w:rPr>
        <w:t>民生</w:t>
      </w:r>
      <w:r>
        <w:rPr>
          <w:rFonts w:hint="eastAsia" w:ascii="仿宋_GB2312" w:hAnsi="仿宋_GB2312" w:eastAsia="仿宋_GB2312" w:cs="仿宋_GB2312"/>
          <w:color w:val="auto"/>
          <w:sz w:val="32"/>
          <w:szCs w:val="32"/>
          <w:highlight w:val="none"/>
        </w:rPr>
        <w:t>、促发展，为</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val="en-US" w:eastAsia="zh-CN"/>
        </w:rPr>
        <w:t>市经济</w:t>
      </w:r>
      <w:r>
        <w:rPr>
          <w:rFonts w:hint="eastAsia" w:ascii="仿宋_GB2312" w:hAnsi="仿宋_GB2312" w:eastAsia="仿宋_GB2312" w:cs="仿宋_GB2312"/>
          <w:color w:val="auto"/>
          <w:sz w:val="32"/>
          <w:szCs w:val="32"/>
          <w:highlight w:val="none"/>
        </w:rPr>
        <w:t>社会高质量发展提供了有力</w:t>
      </w:r>
      <w:r>
        <w:rPr>
          <w:rFonts w:hint="eastAsia" w:ascii="仿宋_GB2312" w:hAnsi="仿宋_GB2312" w:eastAsia="仿宋_GB2312" w:cs="仿宋_GB2312"/>
          <w:color w:val="auto"/>
          <w:sz w:val="32"/>
          <w:szCs w:val="32"/>
          <w:highlight w:val="none"/>
          <w:lang w:eastAsia="zh-CN"/>
        </w:rPr>
        <w:t>支撑</w:t>
      </w:r>
      <w:r>
        <w:rPr>
          <w:rFonts w:hint="eastAsia" w:ascii="仿宋_GB2312" w:hAnsi="仿宋_GB2312" w:eastAsia="仿宋_GB2312" w:cs="仿宋_GB2312"/>
          <w:color w:val="auto"/>
          <w:sz w:val="32"/>
          <w:szCs w:val="32"/>
          <w:highlight w:val="none"/>
        </w:rPr>
        <w:t>。</w:t>
      </w:r>
    </w:p>
    <w:p w14:paraId="3E859CC1">
      <w:pPr>
        <w:snapToGrid w:val="0"/>
        <w:spacing w:before="312" w:beforeLines="100" w:line="360" w:lineRule="auto"/>
        <w:ind w:firstLine="640" w:firstLineChars="200"/>
        <w:outlineLvl w:val="1"/>
        <w:rPr>
          <w:rFonts w:hint="eastAsia" w:ascii="黑体" w:hAnsi="黑体" w:eastAsia="黑体" w:cs="黑体"/>
          <w:color w:val="auto"/>
          <w:sz w:val="32"/>
          <w:szCs w:val="32"/>
          <w:highlight w:val="none"/>
          <w:lang w:eastAsia="zh-CN"/>
        </w:rPr>
      </w:pPr>
      <w:bookmarkStart w:id="2" w:name="_Toc30583"/>
      <w:bookmarkStart w:id="3" w:name="_Toc779"/>
      <w:r>
        <w:rPr>
          <w:rFonts w:hint="eastAsia" w:ascii="黑体" w:hAnsi="黑体" w:eastAsia="黑体" w:cs="黑体"/>
          <w:color w:val="auto"/>
          <w:sz w:val="32"/>
          <w:szCs w:val="32"/>
          <w:highlight w:val="none"/>
        </w:rPr>
        <w:t>一、发展基础</w:t>
      </w:r>
      <w:bookmarkEnd w:id="2"/>
      <w:bookmarkEnd w:id="3"/>
      <w:bookmarkStart w:id="4" w:name="_Toc9513"/>
    </w:p>
    <w:bookmarkEnd w:id="4"/>
    <w:p w14:paraId="2E5CB5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rPr>
      </w:pPr>
      <w:r>
        <w:rPr>
          <w:rFonts w:hint="eastAsia" w:eastAsia="仿宋_GB2312" w:cs="仿宋_GB2312" w:asciiTheme="minorEastAsia" w:hAnsiTheme="minorEastAsia"/>
          <w:color w:val="auto"/>
          <w:sz w:val="32"/>
          <w:szCs w:val="32"/>
          <w:highlight w:val="none"/>
        </w:rPr>
        <w:t>“十四五”时期，</w:t>
      </w:r>
      <w:r>
        <w:rPr>
          <w:rFonts w:hint="eastAsia" w:eastAsia="仿宋_GB2312" w:cs="仿宋_GB2312" w:asciiTheme="minorEastAsia" w:hAnsiTheme="minorEastAsia"/>
          <w:color w:val="auto"/>
          <w:sz w:val="32"/>
          <w:szCs w:val="32"/>
          <w:highlight w:val="none"/>
          <w:lang w:val="en-US" w:eastAsia="zh-CN"/>
        </w:rPr>
        <w:t>全</w:t>
      </w:r>
      <w:r>
        <w:rPr>
          <w:rFonts w:hint="eastAsia" w:eastAsia="仿宋_GB2312" w:cs="仿宋_GB2312" w:asciiTheme="minorEastAsia" w:hAnsiTheme="minorEastAsia"/>
          <w:color w:val="auto"/>
          <w:sz w:val="32"/>
          <w:szCs w:val="32"/>
          <w:highlight w:val="none"/>
        </w:rPr>
        <w:t>市民政系统牢固树立“民政为民、民政爱民”工作理念，</w:t>
      </w:r>
      <w:r>
        <w:rPr>
          <w:rFonts w:hint="eastAsia" w:ascii="仿宋" w:hAnsi="仿宋" w:eastAsia="仿宋" w:cs="仿宋"/>
          <w:color w:val="auto"/>
          <w:sz w:val="32"/>
          <w:szCs w:val="32"/>
          <w:highlight w:val="none"/>
        </w:rPr>
        <w:t>履行“三基职责”，不断夯实</w:t>
      </w:r>
      <w:r>
        <w:rPr>
          <w:rFonts w:hint="eastAsia" w:ascii="仿宋" w:hAnsi="仿宋" w:eastAsia="仿宋" w:cs="仿宋"/>
          <w:color w:val="auto"/>
          <w:sz w:val="32"/>
          <w:szCs w:val="32"/>
          <w:highlight w:val="none"/>
          <w:lang w:eastAsia="zh-CN"/>
        </w:rPr>
        <w:t>工作</w:t>
      </w:r>
      <w:r>
        <w:rPr>
          <w:rFonts w:hint="eastAsia" w:ascii="仿宋" w:hAnsi="仿宋" w:eastAsia="仿宋" w:cs="仿宋"/>
          <w:color w:val="auto"/>
          <w:sz w:val="32"/>
          <w:szCs w:val="32"/>
          <w:highlight w:val="none"/>
        </w:rPr>
        <w:t>基础，稳步提升服务质量，加速改善民生福祉</w:t>
      </w:r>
      <w:r>
        <w:rPr>
          <w:rFonts w:hint="eastAsia" w:ascii="仿宋" w:hAnsi="仿宋" w:eastAsia="仿宋" w:cs="仿宋"/>
          <w:color w:val="auto"/>
          <w:sz w:val="32"/>
          <w:szCs w:val="32"/>
          <w:highlight w:val="none"/>
          <w:lang w:eastAsia="zh-CN"/>
        </w:rPr>
        <w:t>，开拓创新、扎实工作</w:t>
      </w:r>
      <w:r>
        <w:rPr>
          <w:rFonts w:hint="eastAsia" w:ascii="仿宋" w:hAnsi="仿宋" w:eastAsia="仿宋" w:cs="仿宋"/>
          <w:color w:val="auto"/>
          <w:sz w:val="32"/>
          <w:szCs w:val="32"/>
          <w:highlight w:val="none"/>
        </w:rPr>
        <w:t>，</w:t>
      </w:r>
      <w:r>
        <w:rPr>
          <w:rFonts w:hint="eastAsia" w:eastAsia="仿宋_GB2312" w:cs="仿宋_GB2312" w:asciiTheme="minorEastAsia" w:hAnsiTheme="minorEastAsia"/>
          <w:color w:val="auto"/>
          <w:sz w:val="32"/>
          <w:szCs w:val="32"/>
          <w:highlight w:val="none"/>
        </w:rPr>
        <w:t>各项事业取得显著成效</w:t>
      </w:r>
      <w:r>
        <w:rPr>
          <w:rFonts w:hint="eastAsia" w:eastAsia="仿宋_GB2312" w:cs="仿宋_GB2312" w:asciiTheme="minorEastAsia" w:hAnsiTheme="minorEastAsia"/>
          <w:color w:val="auto"/>
          <w:sz w:val="32"/>
          <w:szCs w:val="32"/>
          <w:highlight w:val="none"/>
          <w:lang w:eastAsia="zh-CN"/>
        </w:rPr>
        <w:t>，</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十五五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时期</w:t>
      </w:r>
      <w:r>
        <w:rPr>
          <w:rFonts w:hint="eastAsia" w:ascii="仿宋" w:hAnsi="仿宋" w:eastAsia="仿宋" w:cs="仿宋"/>
          <w:color w:val="auto"/>
          <w:sz w:val="32"/>
          <w:szCs w:val="32"/>
          <w:highlight w:val="none"/>
        </w:rPr>
        <w:t>民政事业高质量发展奠定了坚实基础。</w:t>
      </w:r>
    </w:p>
    <w:p w14:paraId="2632C1E6">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lang w:eastAsia="zh-CN"/>
        </w:rPr>
      </w:pPr>
      <w:bookmarkStart w:id="5" w:name="_Toc7217"/>
      <w:r>
        <w:rPr>
          <w:rFonts w:hint="eastAsia" w:ascii="华文中宋" w:hAnsi="华文中宋" w:eastAsia="华文中宋" w:cs="华文中宋"/>
          <w:color w:val="auto"/>
          <w:sz w:val="32"/>
          <w:szCs w:val="32"/>
          <w:highlight w:val="none"/>
        </w:rPr>
        <w:t>（一）基本民生保障</w:t>
      </w:r>
      <w:r>
        <w:rPr>
          <w:rFonts w:hint="eastAsia" w:ascii="华文中宋" w:hAnsi="华文中宋" w:eastAsia="华文中宋" w:cs="华文中宋"/>
          <w:color w:val="auto"/>
          <w:sz w:val="32"/>
          <w:szCs w:val="32"/>
          <w:highlight w:val="none"/>
          <w:lang w:eastAsia="zh-CN"/>
        </w:rPr>
        <w:t>水平显著提升</w:t>
      </w:r>
      <w:bookmarkEnd w:id="5"/>
    </w:p>
    <w:p w14:paraId="3F70C8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eastAsia="仿宋_GB2312" w:cs="仿宋_GB2312" w:asciiTheme="minorEastAsia" w:hAnsiTheme="minorEastAsia"/>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社会救助标准持续提</w:t>
      </w:r>
      <w:r>
        <w:rPr>
          <w:rFonts w:hint="eastAsia" w:ascii="华文楷体" w:hAnsi="华文楷体" w:eastAsia="华文楷体" w:cs="华文楷体"/>
          <w:b/>
          <w:bCs/>
          <w:color w:val="auto"/>
          <w:sz w:val="32"/>
          <w:szCs w:val="32"/>
          <w:highlight w:val="none"/>
          <w:lang w:eastAsia="zh-CN"/>
        </w:rPr>
        <w:t>档</w:t>
      </w:r>
      <w:r>
        <w:rPr>
          <w:rFonts w:hint="eastAsia" w:ascii="华文楷体" w:hAnsi="华文楷体" w:eastAsia="华文楷体" w:cs="华文楷体"/>
          <w:b/>
          <w:bCs/>
          <w:color w:val="auto"/>
          <w:sz w:val="32"/>
          <w:szCs w:val="32"/>
          <w:highlight w:val="none"/>
        </w:rPr>
        <w:t>。</w:t>
      </w:r>
      <w:r>
        <w:rPr>
          <w:rFonts w:hint="eastAsia" w:eastAsia="仿宋_GB2312" w:cs="仿宋_GB2312" w:asciiTheme="minorEastAsia" w:hAnsiTheme="minorEastAsia"/>
          <w:color w:val="auto"/>
          <w:sz w:val="32"/>
          <w:szCs w:val="32"/>
          <w:highlight w:val="none"/>
          <w:lang w:val="en-US" w:eastAsia="zh-CN"/>
        </w:rPr>
        <w:t>建立健全</w:t>
      </w:r>
      <w:r>
        <w:rPr>
          <w:rFonts w:hint="eastAsia" w:eastAsia="仿宋_GB2312" w:cs="仿宋_GB2312" w:asciiTheme="minorEastAsia" w:hAnsiTheme="minorEastAsia"/>
          <w:color w:val="auto"/>
          <w:sz w:val="32"/>
          <w:szCs w:val="32"/>
          <w:highlight w:val="none"/>
        </w:rPr>
        <w:t>城乡低保、特困人员救助供养标准动态调整机制</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城市低保标准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758</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9.9</w:t>
      </w:r>
      <w:r>
        <w:rPr>
          <w:rFonts w:hint="eastAsia" w:eastAsia="仿宋_GB2312" w:cs="仿宋_GB2312" w:asciiTheme="minorEastAsia" w:hAnsiTheme="minorEastAsia"/>
          <w:color w:val="auto"/>
          <w:sz w:val="32"/>
          <w:szCs w:val="32"/>
          <w:highlight w:val="none"/>
        </w:rPr>
        <w:t>%；农村低保标准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666</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26.6</w:t>
      </w:r>
      <w:r>
        <w:rPr>
          <w:rFonts w:hint="eastAsia" w:eastAsia="仿宋_GB2312" w:cs="仿宋_GB2312" w:asciiTheme="minorEastAsia" w:hAnsiTheme="minorEastAsia"/>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eastAsia="仿宋_GB2312" w:cs="仿宋_GB2312" w:asciiTheme="minorEastAsia" w:hAnsiTheme="minorEastAsia"/>
          <w:color w:val="auto"/>
          <w:sz w:val="32"/>
          <w:szCs w:val="32"/>
          <w:highlight w:val="none"/>
        </w:rPr>
        <w:t>城市特困人员供养标准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1516</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9.9</w:t>
      </w:r>
      <w:r>
        <w:rPr>
          <w:rFonts w:hint="eastAsia" w:eastAsia="仿宋_GB2312" w:cs="仿宋_GB2312" w:asciiTheme="minorEastAsia" w:hAnsiTheme="minorEastAsia"/>
          <w:color w:val="auto"/>
          <w:sz w:val="32"/>
          <w:szCs w:val="32"/>
          <w:highlight w:val="none"/>
        </w:rPr>
        <w:t>%；农村特困人员供养标准</w:t>
      </w:r>
      <w:r>
        <w:rPr>
          <w:rFonts w:hint="eastAsia" w:eastAsia="仿宋_GB2312" w:cs="仿宋_GB2312" w:asciiTheme="minorEastAsia" w:hAnsiTheme="minorEastAsia"/>
          <w:color w:val="auto"/>
          <w:sz w:val="32"/>
          <w:szCs w:val="32"/>
          <w:highlight w:val="none"/>
          <w:lang w:eastAsia="zh-CN"/>
        </w:rPr>
        <w:t>达到</w:t>
      </w:r>
      <w:r>
        <w:rPr>
          <w:rFonts w:hint="eastAsia" w:eastAsia="仿宋_GB2312" w:cs="仿宋_GB2312" w:asciiTheme="minorEastAsia" w:hAnsiTheme="minorEastAsia"/>
          <w:color w:val="auto"/>
          <w:sz w:val="32"/>
          <w:szCs w:val="32"/>
          <w:highlight w:val="none"/>
          <w:lang w:val="en-US" w:eastAsia="zh-CN"/>
        </w:rPr>
        <w:t>1332</w:t>
      </w:r>
      <w:r>
        <w:rPr>
          <w:rFonts w:hint="eastAsia" w:eastAsia="仿宋_GB2312" w:cs="仿宋_GB2312" w:asciiTheme="minorEastAsia" w:hAnsiTheme="minorEastAsia"/>
          <w:color w:val="auto"/>
          <w:sz w:val="32"/>
          <w:szCs w:val="32"/>
          <w:highlight w:val="none"/>
        </w:rPr>
        <w:t>元/人·</w:t>
      </w:r>
      <w:r>
        <w:rPr>
          <w:rFonts w:hint="eastAsia" w:eastAsia="仿宋_GB2312" w:cs="仿宋_GB2312" w:asciiTheme="minorEastAsia" w:hAnsiTheme="minorEastAsia"/>
          <w:color w:val="auto"/>
          <w:sz w:val="32"/>
          <w:szCs w:val="32"/>
          <w:highlight w:val="none"/>
          <w:lang w:eastAsia="zh-CN"/>
        </w:rPr>
        <w:t>月</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十三五</w:t>
      </w:r>
      <w:r>
        <w:rPr>
          <w:rFonts w:hint="eastAsia" w:ascii="仿宋" w:hAnsi="仿宋" w:eastAsia="仿宋" w:cs="仿宋"/>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eastAsia="zh-CN"/>
        </w:rPr>
        <w:t>末</w:t>
      </w:r>
      <w:r>
        <w:rPr>
          <w:rFonts w:hint="eastAsia" w:eastAsia="仿宋_GB2312" w:cs="仿宋_GB2312" w:asciiTheme="minorEastAsia" w:hAnsiTheme="minorEastAsia"/>
          <w:color w:val="auto"/>
          <w:sz w:val="32"/>
          <w:szCs w:val="32"/>
          <w:highlight w:val="none"/>
        </w:rPr>
        <w:t>增长</w:t>
      </w:r>
      <w:r>
        <w:rPr>
          <w:rFonts w:hint="eastAsia" w:eastAsia="仿宋_GB2312" w:cs="仿宋_GB2312" w:asciiTheme="minorEastAsia" w:hAnsiTheme="minorEastAsia"/>
          <w:color w:val="auto"/>
          <w:sz w:val="32"/>
          <w:szCs w:val="32"/>
          <w:highlight w:val="none"/>
          <w:lang w:val="en-US" w:eastAsia="zh-CN"/>
        </w:rPr>
        <w:t>42.3</w:t>
      </w:r>
      <w:r>
        <w:rPr>
          <w:rFonts w:hint="eastAsia" w:eastAsia="仿宋_GB2312" w:cs="仿宋_GB2312" w:asciiTheme="minorEastAsia" w:hAnsiTheme="minorEastAsia"/>
          <w:color w:val="auto"/>
          <w:sz w:val="32"/>
          <w:szCs w:val="32"/>
          <w:highlight w:val="none"/>
        </w:rPr>
        <w:t>%。</w:t>
      </w:r>
    </w:p>
    <w:p w14:paraId="704124CE">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lang w:val="en-US" w:eastAsia="zh-CN"/>
        </w:rPr>
        <w:t>构建综合救助新格局。</w:t>
      </w:r>
      <w:r>
        <w:rPr>
          <w:rFonts w:hint="eastAsia" w:eastAsia="仿宋_GB2312" w:cs="仿宋_GB2312" w:asciiTheme="minorEastAsia" w:hAnsiTheme="minorEastAsia"/>
          <w:color w:val="auto"/>
          <w:sz w:val="32"/>
          <w:szCs w:val="32"/>
          <w:highlight w:val="none"/>
          <w:lang w:val="en-US" w:eastAsia="zh-CN"/>
        </w:rPr>
        <w:t>建立主动发现救助机制、农村低收入人口监测预警机制、政府救助与慈善帮扶衔接机制、“一门受理，协同办理”机制，打造“物质救助+服务救助”综合模式，签订“四方协议”，做到分散供养特困人员重新签订率100%。“十四五”期间，累计实施临时救助22484人次，发放救助资金4876.87万元。编制线上版“基层经办人员应知应会社会救助政策服务清单”，实现政策文件即调即查、即时研学。社会救助事项实现“多门申请”到“一门受理、协同办理”迭代升级</w:t>
      </w:r>
      <w:r>
        <w:rPr>
          <w:rFonts w:hint="eastAsia" w:eastAsia="仿宋_GB2312" w:cs="仿宋_GB2312" w:asciiTheme="minorEastAsia" w:hAnsiTheme="minorEastAsia"/>
          <w:color w:val="auto"/>
          <w:sz w:val="32"/>
          <w:szCs w:val="32"/>
          <w:highlight w:val="none"/>
        </w:rPr>
        <w:t>，便民服务持续优化。</w:t>
      </w:r>
    </w:p>
    <w:p w14:paraId="59B0D884">
      <w:pPr>
        <w:tabs>
          <w:tab w:val="left" w:pos="720"/>
        </w:tabs>
        <w:spacing w:before="156" w:beforeLines="50" w:line="360" w:lineRule="auto"/>
        <w:ind w:firstLine="643" w:firstLineChars="200"/>
        <w:rPr>
          <w:rFonts w:hint="eastAsia" w:eastAsia="仿宋_GB2312" w:cs="仿宋_GB2312" w:asciiTheme="minorEastAsia" w:hAnsiTheme="minorEastAsia"/>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儿童福利保障政策不断完善。</w:t>
      </w:r>
      <w:r>
        <w:rPr>
          <w:rFonts w:hint="eastAsia" w:eastAsia="仿宋_GB2312" w:cs="仿宋_GB2312" w:asciiTheme="minorEastAsia" w:hAnsiTheme="minorEastAsia"/>
          <w:color w:val="auto"/>
          <w:sz w:val="32"/>
          <w:szCs w:val="32"/>
          <w:highlight w:val="none"/>
          <w:lang w:val="en-US" w:eastAsia="zh-CN"/>
        </w:rPr>
        <w:t>“十四五”以来，相继出台《潜江市未成年人保护工作个案会商制度》、《潜江市留守儿童和困境儿童关爱服务质量提升三年行动实施方案》、《关于进一步加强儿童福利和权益保障高质量发展的实施意见》等系列政策文件，逐步实现儿童福利从兜底保障向分类保障及适度普惠型转变，为儿童福利事业发展提供政策支撑。</w:t>
      </w:r>
    </w:p>
    <w:p w14:paraId="354DDDAB">
      <w:pPr>
        <w:tabs>
          <w:tab w:val="left" w:pos="720"/>
        </w:tabs>
        <w:spacing w:before="156" w:beforeLines="50" w:line="360" w:lineRule="auto"/>
        <w:ind w:firstLine="643" w:firstLineChars="200"/>
        <w:rPr>
          <w:rFonts w:hint="eastAsia" w:eastAsia="仿宋_GB2312" w:cs="仿宋_GB2312" w:asciiTheme="minorEastAsia" w:hAnsiTheme="minorEastAsia"/>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儿童福利保障水平持续上升。</w:t>
      </w:r>
      <w:r>
        <w:rPr>
          <w:rFonts w:hint="eastAsia" w:eastAsia="仿宋_GB2312" w:cs="仿宋_GB2312" w:asciiTheme="minorEastAsia" w:hAnsiTheme="minorEastAsia"/>
          <w:color w:val="auto"/>
          <w:sz w:val="32"/>
          <w:szCs w:val="32"/>
          <w:highlight w:val="none"/>
        </w:rPr>
        <w:t>孤儿、事实无人抚养儿童基本生活保障标准稳步增长，</w:t>
      </w:r>
      <w:r>
        <w:rPr>
          <w:rFonts w:hint="eastAsia" w:eastAsia="仿宋_GB2312" w:cs="仿宋_GB2312" w:asciiTheme="minorEastAsia" w:hAnsiTheme="minorEastAsia"/>
          <w:color w:val="auto"/>
          <w:sz w:val="32"/>
          <w:szCs w:val="32"/>
          <w:highlight w:val="none"/>
          <w:lang w:val="en-US" w:eastAsia="zh-CN"/>
        </w:rPr>
        <w:t>社会散居孤儿供养标准1516元/月/人，较“十三五”末增长9.86%；机构集中供养标准2426元/月/人，较“十三五”末增长9.87%。“十四五”期间，累计发放孤儿养育费及事实无人抚养儿童生活补贴1582.45万元。</w:t>
      </w:r>
    </w:p>
    <w:p w14:paraId="0DE43150">
      <w:pPr>
        <w:tabs>
          <w:tab w:val="left" w:pos="720"/>
        </w:tabs>
        <w:spacing w:before="156" w:beforeLines="50" w:line="360" w:lineRule="auto"/>
        <w:ind w:firstLine="643" w:firstLineChars="200"/>
        <w:rPr>
          <w:rFonts w:hint="eastAsia" w:ascii="仿宋" w:hAnsi="仿宋" w:eastAsia="仿宋" w:cs="仿宋"/>
          <w:color w:val="auto"/>
          <w:sz w:val="32"/>
          <w:szCs w:val="32"/>
          <w:highlight w:val="none"/>
        </w:rPr>
      </w:pPr>
      <w:r>
        <w:rPr>
          <w:rFonts w:hint="eastAsia" w:ascii="华文楷体" w:hAnsi="华文楷体" w:eastAsia="华文楷体" w:cs="华文楷体"/>
          <w:b/>
          <w:bCs/>
          <w:color w:val="auto"/>
          <w:sz w:val="32"/>
          <w:szCs w:val="32"/>
          <w:highlight w:val="none"/>
        </w:rPr>
        <w:t>未成年人保护阵地建设稳步推进。</w:t>
      </w:r>
      <w:r>
        <w:rPr>
          <w:rFonts w:hint="eastAsia" w:ascii="仿宋" w:hAnsi="仿宋" w:eastAsia="仿宋" w:cs="仿宋"/>
          <w:color w:val="auto"/>
          <w:sz w:val="32"/>
          <w:szCs w:val="32"/>
          <w:highlight w:val="none"/>
        </w:rPr>
        <w:t>构建市、镇、村三级全覆盖的组织网络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配备乡镇儿童督导员23名、村级儿童主任440名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投入1180万元资金，新建集养育、教育、培训、康复于一体的市儿童福利院和市未成年人保护中心，新增床位32张。投入95万元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设25个村级儿童服务站，乡镇（街道）覆盖率达到65%。构建“民政推动+高校联动+专家行动”的未成年人心理健康服务基地，累计开展困境儿童心理个案服务1000余例。打造“高校专家专题讲、本土专家面对面”模式，累计培训儿童主任近3000余人次。</w:t>
      </w:r>
    </w:p>
    <w:p w14:paraId="7B2384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afterLines="0" w:line="360" w:lineRule="auto"/>
        <w:ind w:left="0" w:leftChars="0" w:right="0" w:rightChars="0" w:firstLine="643" w:firstLineChars="200"/>
        <w:textAlignment w:val="auto"/>
        <w:outlineLvl w:val="9"/>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残疾人福利</w:t>
      </w:r>
      <w:r>
        <w:rPr>
          <w:rFonts w:hint="eastAsia" w:ascii="华文楷体" w:hAnsi="华文楷体" w:eastAsia="华文楷体" w:cs="华文楷体"/>
          <w:b/>
          <w:bCs/>
          <w:color w:val="auto"/>
          <w:sz w:val="32"/>
          <w:szCs w:val="32"/>
          <w:highlight w:val="none"/>
          <w:lang w:val="en-US" w:eastAsia="zh-CN"/>
        </w:rPr>
        <w:t>保障不断优化</w:t>
      </w:r>
      <w:r>
        <w:rPr>
          <w:rFonts w:hint="eastAsia" w:ascii="华文楷体" w:hAnsi="华文楷体" w:eastAsia="华文楷体" w:cs="华文楷体"/>
          <w:b/>
          <w:bCs/>
          <w:color w:val="auto"/>
          <w:sz w:val="32"/>
          <w:szCs w:val="32"/>
          <w:highlight w:val="none"/>
        </w:rPr>
        <w:t>。</w:t>
      </w:r>
      <w:r>
        <w:rPr>
          <w:rFonts w:hint="eastAsia" w:ascii="仿宋" w:hAnsi="仿宋" w:eastAsia="仿宋" w:cs="仿宋"/>
          <w:color w:val="auto"/>
          <w:sz w:val="32"/>
          <w:szCs w:val="32"/>
          <w:highlight w:val="none"/>
          <w:lang w:val="en-US" w:eastAsia="zh-CN"/>
        </w:rPr>
        <w:t>残疾人两项补贴发放权限实现全程网办。实现资格认定“跨省通办”、“马上办、就近办、一地办”。“十四五”期间，将市社会救助管理站和福雅精神卫生院改造成精神障碍社区康复服务试点。</w:t>
      </w:r>
    </w:p>
    <w:p w14:paraId="0490185B">
      <w:pPr>
        <w:tabs>
          <w:tab w:val="left" w:pos="720"/>
        </w:tabs>
        <w:spacing w:before="156" w:beforeLines="50" w:line="360" w:lineRule="auto"/>
        <w:ind w:firstLine="643"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流浪乞讨人员救助</w:t>
      </w:r>
      <w:r>
        <w:rPr>
          <w:rFonts w:hint="eastAsia" w:ascii="华文楷体" w:hAnsi="华文楷体" w:eastAsia="华文楷体" w:cs="华文楷体"/>
          <w:b/>
          <w:bCs/>
          <w:color w:val="auto"/>
          <w:sz w:val="32"/>
          <w:szCs w:val="32"/>
          <w:highlight w:val="none"/>
          <w:lang w:val="en-US" w:eastAsia="zh-CN"/>
        </w:rPr>
        <w:t>成效明显</w:t>
      </w:r>
      <w:r>
        <w:rPr>
          <w:rFonts w:hint="eastAsia" w:ascii="华文楷体" w:hAnsi="华文楷体" w:eastAsia="华文楷体" w:cs="华文楷体"/>
          <w:b/>
          <w:bCs/>
          <w:color w:val="auto"/>
          <w:sz w:val="32"/>
          <w:szCs w:val="32"/>
          <w:highlight w:val="none"/>
        </w:rPr>
        <w:t>。</w:t>
      </w:r>
      <w:r>
        <w:rPr>
          <w:rFonts w:hint="eastAsia" w:ascii="仿宋" w:hAnsi="仿宋" w:eastAsia="仿宋" w:cs="仿宋"/>
          <w:color w:val="auto"/>
          <w:sz w:val="32"/>
          <w:szCs w:val="32"/>
          <w:highlight w:val="none"/>
          <w:lang w:val="en-US" w:eastAsia="zh-CN"/>
        </w:rPr>
        <w:t>以市救助管理站为核心，依托各区（镇、街道）党群服务中心、便民服务大厅等公共资源建设临时救助点6个，全市救助服务网络实现全覆盖。依托公安技术开展人脸识别、DNA和指纹比对加强流浪乞讨人员信息核查，不断提高寻亲成功率，累计救助1531人次，寻亲成功护送返乡率100%。</w:t>
      </w:r>
    </w:p>
    <w:p w14:paraId="37EA93CE">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rPr>
      </w:pPr>
      <w:bookmarkStart w:id="6" w:name="_Toc1402"/>
      <w:r>
        <w:rPr>
          <w:rFonts w:hint="eastAsia" w:ascii="华文中宋" w:hAnsi="华文中宋" w:eastAsia="华文中宋" w:cs="华文中宋"/>
          <w:color w:val="auto"/>
          <w:sz w:val="32"/>
          <w:szCs w:val="32"/>
          <w:highlight w:val="none"/>
        </w:rPr>
        <w:t>（二）</w:t>
      </w:r>
      <w:r>
        <w:rPr>
          <w:rFonts w:hint="eastAsia" w:ascii="华文中宋" w:hAnsi="华文中宋" w:eastAsia="华文中宋" w:cs="华文中宋"/>
          <w:color w:val="auto"/>
          <w:sz w:val="32"/>
          <w:szCs w:val="32"/>
          <w:highlight w:val="none"/>
          <w:lang w:val="en-US" w:eastAsia="zh-CN"/>
        </w:rPr>
        <w:t>老龄工作和</w:t>
      </w:r>
      <w:r>
        <w:rPr>
          <w:rFonts w:hint="eastAsia" w:ascii="华文中宋" w:hAnsi="华文中宋" w:eastAsia="华文中宋" w:cs="华文中宋"/>
          <w:color w:val="auto"/>
          <w:sz w:val="32"/>
          <w:szCs w:val="32"/>
          <w:highlight w:val="none"/>
        </w:rPr>
        <w:t>养老服务体系</w:t>
      </w:r>
      <w:r>
        <w:rPr>
          <w:rFonts w:hint="eastAsia" w:ascii="华文中宋" w:hAnsi="华文中宋" w:eastAsia="华文中宋" w:cs="华文中宋"/>
          <w:color w:val="auto"/>
          <w:sz w:val="32"/>
          <w:szCs w:val="32"/>
          <w:highlight w:val="none"/>
          <w:lang w:val="en-US" w:eastAsia="zh-CN"/>
        </w:rPr>
        <w:t>逐步</w:t>
      </w:r>
      <w:r>
        <w:rPr>
          <w:rFonts w:hint="eastAsia" w:ascii="华文中宋" w:hAnsi="华文中宋" w:eastAsia="华文中宋" w:cs="华文中宋"/>
          <w:color w:val="auto"/>
          <w:sz w:val="32"/>
          <w:szCs w:val="32"/>
          <w:highlight w:val="none"/>
        </w:rPr>
        <w:t>完善</w:t>
      </w:r>
      <w:bookmarkEnd w:id="6"/>
    </w:p>
    <w:p w14:paraId="469A059B">
      <w:pPr>
        <w:tabs>
          <w:tab w:val="left" w:pos="720"/>
        </w:tabs>
        <w:spacing w:before="156" w:beforeLines="50" w:line="360" w:lineRule="auto"/>
        <w:ind w:firstLine="643"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养老服务保障水平不断提升。</w:t>
      </w:r>
      <w:r>
        <w:rPr>
          <w:rFonts w:hint="eastAsia" w:ascii="仿宋" w:hAnsi="仿宋" w:eastAsia="仿宋" w:cs="仿宋"/>
          <w:color w:val="auto"/>
          <w:sz w:val="32"/>
          <w:szCs w:val="32"/>
          <w:highlight w:val="none"/>
          <w:lang w:val="en-US" w:eastAsia="zh-CN"/>
        </w:rPr>
        <w:t>目前，全市共有养老机构15所，总床位2654张，护理型床位占比超过70%，其中公办5家（含1家社会福利院、4家区域性农村福利院）、民办10家；3级养老机构5家、2级养老机构7家。“十四五”期间，各地持续推动养老机构提质改造，优化床位结构，服务标准化、规范化水平不断提升，安全管理、质量评价、行业监管体系日趋完善；公办养老机构改革稳妥推进，公建民营、医养结合等模式加快推广。全市全面实施高龄津贴制度，累计发放8500余万元，建立特困供养数据库及民办养老机构预收费三方监管机制，有效防范诈骗及非法集资风险。人才队伍建设方面，组织参加技能大赛及培训班，培训养老护理员98人，其中96人获初级证书；组织17所机构消防责任人考取资格证书。通过上述举措，机构养老服务更加安全、便捷、普惠，有效满足了失能、半失能老年人的专业照护需求，老年人的获得感、幸福感、安全感持续增强。</w:t>
      </w:r>
    </w:p>
    <w:p w14:paraId="2DA11A62">
      <w:pPr>
        <w:tabs>
          <w:tab w:val="left" w:pos="720"/>
        </w:tabs>
        <w:spacing w:before="156" w:beforeLines="50" w:line="360" w:lineRule="auto"/>
        <w:ind w:firstLine="643"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社区居家养老服务创新发展。</w:t>
      </w:r>
      <w:r>
        <w:rPr>
          <w:rFonts w:hint="eastAsia" w:ascii="仿宋" w:hAnsi="仿宋" w:eastAsia="仿宋" w:cs="仿宋"/>
          <w:color w:val="auto"/>
          <w:sz w:val="32"/>
          <w:szCs w:val="32"/>
          <w:highlight w:val="none"/>
          <w:lang w:val="en-US" w:eastAsia="zh-CN"/>
        </w:rPr>
        <w:t>投资950万元建成8个街道养老服务综合体（平均800㎡以上），提供休闲、康复、助餐等“六助”服务。投资130万元升级12处农村互助照料中心（平均300㎡以上），增强农村养老可及性。完成944户特殊困难老年人家庭适老化改造，试点“智能+居家养老”，建成230张家庭照护床位。健全特殊困难老年人探访关爱机制，创新打造“中央厨房+助餐点+送餐上门”模式，建成18个社区助餐点，中心城区覆盖率达70%以上。华美社区“专业机构+社区养老+居家养老”可持续养老服务模式为全市推广“15分钟养老服务圈”提供经验。</w:t>
      </w:r>
    </w:p>
    <w:p w14:paraId="47FC0E84">
      <w:pPr>
        <w:tabs>
          <w:tab w:val="left" w:pos="720"/>
        </w:tabs>
        <w:spacing w:before="156" w:beforeLines="50" w:line="360" w:lineRule="auto"/>
        <w:ind w:firstLine="643"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完成老龄工作体制机制改革。</w:t>
      </w:r>
      <w:r>
        <w:rPr>
          <w:rFonts w:hint="eastAsia" w:ascii="仿宋" w:hAnsi="仿宋" w:eastAsia="仿宋" w:cs="仿宋"/>
          <w:color w:val="auto"/>
          <w:sz w:val="32"/>
          <w:szCs w:val="32"/>
          <w:highlight w:val="none"/>
          <w:lang w:val="en-US" w:eastAsia="zh-CN"/>
        </w:rPr>
        <w:t>全面落实党和国家机构改革调整要求，完成老龄工作职能划入，设置老龄工作科。建立全市老龄工作联席会议机制，切实发挥民政部门综合协调、督促指导、组织推进老龄事业发展的职责作用，推动老龄工作各成员单位积极履职尽责，形成齐抓共管、协同推进的良好局面。</w:t>
      </w:r>
    </w:p>
    <w:p w14:paraId="04A8090E">
      <w:pPr>
        <w:tabs>
          <w:tab w:val="left" w:pos="720"/>
        </w:tabs>
        <w:spacing w:before="156" w:beforeLines="50" w:line="360" w:lineRule="auto"/>
        <w:ind w:firstLine="643"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老年友好型社会建设加快。</w:t>
      </w:r>
      <w:r>
        <w:rPr>
          <w:rFonts w:hint="eastAsia" w:ascii="仿宋" w:hAnsi="仿宋" w:eastAsia="仿宋" w:cs="仿宋"/>
          <w:color w:val="auto"/>
          <w:sz w:val="32"/>
          <w:szCs w:val="32"/>
          <w:highlight w:val="none"/>
          <w:lang w:val="en-US" w:eastAsia="zh-CN"/>
        </w:rPr>
        <w:t>老年宜居环境持续改善，已创成2家全国示范性老年友好型社区，分别为园林街道雅苑社区和广华寺街道广北社区。聚焦老年群体多元需求，持续完善交通出行、景区游览、健康医疗等普惠优待政策，稳步提升公共场所、公共交通设施适老化建设水平。有效破解老年人政务办理、就医办事等智能应用难题。同时，深化老年法治关爱服务，常态化开展 “法治护航夕阳红” 普法宣传活动，覆盖社区、养老机构及老年家庭，开通老年人法律援助绿色通道，切实守护老年人合法权益。</w:t>
      </w:r>
    </w:p>
    <w:p w14:paraId="7DC4A1F3">
      <w:pPr>
        <w:tabs>
          <w:tab w:val="left" w:pos="720"/>
        </w:tabs>
        <w:spacing w:before="156" w:beforeLines="50" w:line="360" w:lineRule="auto"/>
        <w:ind w:firstLine="643" w:firstLineChars="200"/>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老年人社会参与更为广泛。</w:t>
      </w:r>
      <w:r>
        <w:rPr>
          <w:rFonts w:hint="eastAsia" w:ascii="仿宋" w:hAnsi="仿宋" w:eastAsia="仿宋" w:cs="仿宋"/>
          <w:color w:val="auto"/>
          <w:sz w:val="32"/>
          <w:szCs w:val="32"/>
          <w:highlight w:val="none"/>
          <w:lang w:val="en-US" w:eastAsia="zh-CN"/>
        </w:rPr>
        <w:t>市-区镇（街道）-村（社区）三级老年协会网络建设持续完善，基层老年协会数量达到385个。实施“银龄行动”，打造“银龄展艺铸和谐·志愿传能促振兴”、“银龄和事佬-社区矛盾纠纷调解”、“芦洑河畔·红心向党”、“老吾老·心连心”等多个品牌项目，在引导老年群体发挥余热、助力社会发展方面取得一定成效。践行积极老龄观，组织发动全市老年群体参加全省中老年人才艺大赛，老年人精神文化生活日益丰富。</w:t>
      </w:r>
    </w:p>
    <w:p w14:paraId="3ABF60CC">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rPr>
      </w:pPr>
      <w:bookmarkStart w:id="7" w:name="_Toc27040"/>
      <w:r>
        <w:rPr>
          <w:rFonts w:hint="eastAsia" w:ascii="华文中宋" w:hAnsi="华文中宋" w:eastAsia="华文中宋" w:cs="华文中宋"/>
          <w:color w:val="auto"/>
          <w:sz w:val="32"/>
          <w:szCs w:val="32"/>
          <w:highlight w:val="none"/>
        </w:rPr>
        <w:t>（三）基层社会治理创新推进</w:t>
      </w:r>
      <w:bookmarkEnd w:id="7"/>
    </w:p>
    <w:p w14:paraId="247FE333">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地名命名与管理流程不断规范。</w:t>
      </w:r>
      <w:r>
        <w:rPr>
          <w:rFonts w:hint="eastAsia" w:ascii="仿宋" w:hAnsi="仿宋" w:eastAsia="仿宋" w:cs="仿宋"/>
          <w:color w:val="auto"/>
          <w:sz w:val="32"/>
          <w:szCs w:val="32"/>
          <w:highlight w:val="none"/>
          <w:lang w:val="en-US" w:eastAsia="zh-CN"/>
        </w:rPr>
        <w:t>全市已形成“基层申报、实地调研、专家论证、部门会商、社会公示、政府审批、社会公告、信息备案”的标准化地名命名更名流程，高质量推进街路巷命名工作。“十四五”期间，完成103条无名道路和5处实体命名，对10条道路和1条河流进行更名；累计安装路牌280余块，修复路牌450余块，维护路牌3000余次。扎实开展“乡村著名行动”，推动地名文化与乡村建设深度融合。</w:t>
      </w:r>
    </w:p>
    <w:p w14:paraId="39D6F396">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界线勘定与地名文化保护不断深化。</w:t>
      </w:r>
      <w:r>
        <w:rPr>
          <w:rFonts w:hint="eastAsia" w:ascii="仿宋" w:hAnsi="仿宋" w:eastAsia="仿宋" w:cs="仿宋"/>
          <w:color w:val="auto"/>
          <w:sz w:val="32"/>
          <w:szCs w:val="32"/>
          <w:highlight w:val="none"/>
          <w:lang w:val="en-US" w:eastAsia="zh-CN"/>
        </w:rPr>
        <w:t>系统完成行政区域界线勘定，实地踏勘431个村（社区），勘定乡级界线51条，妥善处理16处争议。深化勘界成果应用，编纂出版新版《潜江市地名文化遗产保护名录》，加强地名文化的系统性保护，不断提升区划地名管理服务水平。</w:t>
      </w:r>
    </w:p>
    <w:p w14:paraId="5D02B78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3" w:firstLineChars="200"/>
        <w:jc w:val="left"/>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社会组织健康发展。</w:t>
      </w:r>
      <w:r>
        <w:rPr>
          <w:rFonts w:hint="eastAsia" w:ascii="宋体" w:hAnsi="宋体" w:eastAsia="仿宋_GB2312" w:cs="仿宋_GB2312"/>
          <w:color w:val="auto"/>
          <w:sz w:val="32"/>
          <w:szCs w:val="32"/>
          <w:highlight w:val="none"/>
        </w:rPr>
        <w:t>全市共有注册登记社会组织</w:t>
      </w:r>
      <w:r>
        <w:rPr>
          <w:rFonts w:hint="eastAsia" w:ascii="宋体" w:hAnsi="宋体" w:eastAsia="仿宋_GB2312" w:cs="仿宋_GB2312"/>
          <w:color w:val="auto"/>
          <w:sz w:val="32"/>
          <w:szCs w:val="32"/>
          <w:highlight w:val="none"/>
          <w:lang w:val="en-US" w:eastAsia="zh-CN"/>
        </w:rPr>
        <w:t>358</w:t>
      </w:r>
      <w:r>
        <w:rPr>
          <w:rFonts w:hint="eastAsia" w:ascii="仿宋" w:hAnsi="仿宋" w:eastAsia="仿宋" w:cs="仿宋"/>
          <w:color w:val="auto"/>
          <w:sz w:val="32"/>
          <w:szCs w:val="32"/>
          <w:highlight w:val="none"/>
          <w:lang w:val="en-US" w:eastAsia="zh-CN"/>
        </w:rPr>
        <w:t>家。强化社会组织党建引领，社会组织党组织覆盖率</w:t>
      </w:r>
      <w:r>
        <w:rPr>
          <w:rFonts w:hint="eastAsia" w:ascii="国标仿宋" w:hAnsi="国标仿宋" w:eastAsia="国标仿宋" w:cs="国标仿宋"/>
          <w:color w:val="auto"/>
          <w:sz w:val="32"/>
          <w:szCs w:val="32"/>
          <w:highlight w:val="none"/>
        </w:rPr>
        <w:t>93.3%</w:t>
      </w:r>
      <w:r>
        <w:rPr>
          <w:rFonts w:hint="eastAsia" w:ascii="国标仿宋" w:hAnsi="国标仿宋" w:eastAsia="国标仿宋" w:cs="国标仿宋"/>
          <w:color w:val="auto"/>
          <w:sz w:val="32"/>
          <w:szCs w:val="32"/>
          <w:highlight w:val="none"/>
          <w:lang w:eastAsia="zh-CN"/>
        </w:rPr>
        <w:t>。</w:t>
      </w:r>
      <w:r>
        <w:rPr>
          <w:rFonts w:hint="eastAsia" w:ascii="仿宋" w:hAnsi="仿宋" w:eastAsia="仿宋" w:cs="仿宋"/>
          <w:color w:val="auto"/>
          <w:sz w:val="32"/>
          <w:szCs w:val="32"/>
          <w:highlight w:val="none"/>
          <w:lang w:val="en-US" w:eastAsia="zh-CN"/>
        </w:rPr>
        <w:t>依法依规登记，建立信用承诺制度。严格依法监管，持续开展行业协会商会涉企乱收费和打击非法社会组织工作，社会组织健康有序发展。</w:t>
      </w:r>
    </w:p>
    <w:p w14:paraId="60D3223F">
      <w:pPr>
        <w:keepNext w:val="0"/>
        <w:keepLines w:val="0"/>
        <w:pageBreakBefore w:val="0"/>
        <w:widowControl w:val="0"/>
        <w:tabs>
          <w:tab w:val="left" w:pos="720"/>
        </w:tabs>
        <w:kinsoku/>
        <w:wordWrap/>
        <w:overflowPunct/>
        <w:topLinePunct w:val="0"/>
        <w:autoSpaceDE/>
        <w:autoSpaceDN/>
        <w:bidi w:val="0"/>
        <w:spacing w:before="157" w:beforeLines="50" w:line="36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慈善事业蓬勃发展。</w:t>
      </w:r>
      <w:r>
        <w:rPr>
          <w:rFonts w:hint="eastAsia" w:eastAsia="仿宋_GB2312" w:cs="仿宋_GB2312" w:asciiTheme="minorEastAsia" w:hAnsiTheme="minorEastAsia"/>
          <w:color w:val="auto"/>
          <w:sz w:val="32"/>
          <w:szCs w:val="32"/>
          <w:highlight w:val="none"/>
          <w:lang w:val="en-US" w:eastAsia="zh-CN"/>
        </w:rPr>
        <w:t>实施</w:t>
      </w:r>
      <w:r>
        <w:rPr>
          <w:rFonts w:hint="eastAsia" w:ascii="仿宋" w:hAnsi="仿宋" w:eastAsia="仿宋" w:cs="仿宋"/>
          <w:color w:val="auto"/>
          <w:sz w:val="32"/>
          <w:szCs w:val="32"/>
          <w:highlight w:val="none"/>
          <w:lang w:val="en-US" w:eastAsia="zh-CN"/>
        </w:rPr>
        <w:t>“幸福家园”村社互助、“医路同行”、“慈善阳光班”等慈善项目，指导全市23个区镇街道，431个村（社区）设立社区公益基金，实现社区公益基金全覆盖。开展线上线下慈善宣传活动248次，培训慈善相关人员950人次。</w:t>
      </w:r>
    </w:p>
    <w:p w14:paraId="395A8A4E">
      <w:pPr>
        <w:keepNext/>
        <w:keepLines/>
        <w:spacing w:before="156" w:beforeLines="50" w:line="413" w:lineRule="auto"/>
        <w:ind w:firstLine="640" w:firstLineChars="200"/>
        <w:outlineLvl w:val="2"/>
        <w:rPr>
          <w:rFonts w:hint="eastAsia" w:ascii="华文中宋" w:hAnsi="华文中宋" w:eastAsia="华文中宋" w:cs="华文中宋"/>
          <w:color w:val="auto"/>
          <w:sz w:val="32"/>
          <w:szCs w:val="32"/>
          <w:highlight w:val="none"/>
          <w:lang w:val="en-US" w:eastAsia="zh-CN"/>
        </w:rPr>
      </w:pPr>
      <w:bookmarkStart w:id="8" w:name="_Toc25239"/>
      <w:r>
        <w:rPr>
          <w:rFonts w:hint="eastAsia" w:ascii="华文中宋" w:hAnsi="华文中宋" w:eastAsia="华文中宋" w:cs="华文中宋"/>
          <w:color w:val="auto"/>
          <w:sz w:val="32"/>
          <w:szCs w:val="32"/>
          <w:highlight w:val="none"/>
          <w:lang w:val="en-US" w:eastAsia="zh-CN"/>
        </w:rPr>
        <w:t>（四）基本社会事务优化升级</w:t>
      </w:r>
      <w:bookmarkEnd w:id="8"/>
    </w:p>
    <w:p w14:paraId="18275468">
      <w:pPr>
        <w:keepNext w:val="0"/>
        <w:keepLines w:val="0"/>
        <w:pageBreakBefore w:val="0"/>
        <w:widowControl w:val="0"/>
        <w:tabs>
          <w:tab w:val="left" w:pos="720"/>
        </w:tabs>
        <w:kinsoku/>
        <w:wordWrap/>
        <w:overflowPunct/>
        <w:topLinePunct w:val="0"/>
        <w:autoSpaceDE/>
        <w:autoSpaceDN/>
        <w:bidi w:val="0"/>
        <w:spacing w:before="157" w:beforeLines="50" w:line="36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婚姻登记服务便捷规范。</w:t>
      </w:r>
      <w:r>
        <w:rPr>
          <w:rFonts w:hint="eastAsia" w:ascii="华文仿宋" w:hAnsi="华文仿宋" w:eastAsia="华文仿宋" w:cs="华文仿宋"/>
          <w:color w:val="auto"/>
          <w:sz w:val="32"/>
          <w:szCs w:val="32"/>
          <w:highlight w:val="none"/>
        </w:rPr>
        <w:t>推进服务标准化和婚俗改革</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lang w:val="en-US" w:eastAsia="zh-CN"/>
        </w:rPr>
        <w:t>实现婚姻登记档案数据全面采集和共享，开通结婚登记和补领结婚证网上预约功能，提供“一站式”办证服务，</w:t>
      </w:r>
      <w:r>
        <w:rPr>
          <w:rFonts w:hint="eastAsia" w:ascii="华文仿宋" w:hAnsi="华文仿宋" w:eastAsia="华文仿宋" w:cs="华文仿宋"/>
          <w:color w:val="auto"/>
          <w:sz w:val="32"/>
          <w:szCs w:val="32"/>
          <w:highlight w:val="none"/>
        </w:rPr>
        <w:t>婚姻登记</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rPr>
        <w:t>跨省通办</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rPr>
        <w:t>实施率100%</w:t>
      </w:r>
      <w:r>
        <w:rPr>
          <w:rFonts w:hint="eastAsia" w:ascii="华文仿宋" w:hAnsi="华文仿宋" w:eastAsia="华文仿宋" w:cs="华文仿宋"/>
          <w:color w:val="auto"/>
          <w:sz w:val="32"/>
          <w:szCs w:val="32"/>
          <w:highlight w:val="none"/>
          <w:lang w:eastAsia="zh-CN"/>
        </w:rPr>
        <w:t>，</w:t>
      </w:r>
      <w:r>
        <w:rPr>
          <w:rFonts w:hint="eastAsia" w:ascii="华文仿宋" w:hAnsi="华文仿宋" w:eastAsia="华文仿宋" w:cs="华文仿宋"/>
          <w:color w:val="auto"/>
          <w:sz w:val="32"/>
          <w:szCs w:val="32"/>
          <w:highlight w:val="none"/>
          <w:lang w:val="en-US" w:eastAsia="zh-CN"/>
        </w:rPr>
        <w:t>婚姻登记实施“全国通办”。开展婚姻家庭辅导、集体婚礼、婚俗文化宣传和颁证服务。主动协调相关单位化解历史遗留问题，为婚姻当事人提供便民服务渠道。</w:t>
      </w:r>
    </w:p>
    <w:p w14:paraId="42D87402">
      <w:pPr>
        <w:tabs>
          <w:tab w:val="left" w:pos="720"/>
        </w:tabs>
        <w:spacing w:before="156" w:beforeLines="50" w:line="360" w:lineRule="auto"/>
        <w:ind w:firstLine="643" w:firstLineChars="200"/>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sz w:val="32"/>
          <w:szCs w:val="32"/>
          <w:highlight w:val="none"/>
        </w:rPr>
        <w:t>殡葬改革深化推进。</w:t>
      </w:r>
      <w:r>
        <w:rPr>
          <w:rFonts w:hint="eastAsia" w:ascii="华文仿宋" w:hAnsi="华文仿宋" w:eastAsia="华文仿宋" w:cs="华文仿宋"/>
          <w:color w:val="auto"/>
          <w:sz w:val="32"/>
          <w:szCs w:val="32"/>
          <w:highlight w:val="none"/>
          <w:lang w:val="en-US" w:eastAsia="zh-CN"/>
        </w:rPr>
        <w:t>实施惠民殡葬，免除遗体接运费、3日内冷藏费、遗体火化费及1年骨灰寄存费四项基本殡葬费用。落实减项降费优服务，将原有3大类服务44个收费项目精简为3大类14项，将丧葬用品进销差严格控制在35%以内，经营性公墓售价控制在4万元以内，严格按照殡葬从业服务“十必须、十严禁”规定开展殡葬服务。规范遗体接运秩序，配置正规遗体接运车18辆，由市殡葬管理所免费接运市内遗体。实现智慧监管，成立殡葬指挥调度中心，开发殡葬信息管理系统，实现全市殡葬服务“一线通”和全流程信息化监管。</w:t>
      </w:r>
    </w:p>
    <w:p w14:paraId="6631C428">
      <w:pPr>
        <w:keepNext w:val="0"/>
        <w:keepLines w:val="0"/>
        <w:pageBreakBefore w:val="0"/>
        <w:widowControl w:val="0"/>
        <w:kinsoku/>
        <w:wordWrap/>
        <w:overflowPunct/>
        <w:topLinePunct w:val="0"/>
        <w:autoSpaceDE/>
        <w:autoSpaceDN/>
        <w:bidi w:val="0"/>
        <w:adjustRightInd/>
        <w:snapToGrid/>
        <w:spacing w:before="156" w:beforeLines="50" w:line="36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eastAsia="仿宋_GB2312" w:cs="仿宋_GB2312" w:asciiTheme="minorEastAsia" w:hAnsiTheme="minorEastAsia"/>
          <w:color w:val="auto"/>
          <w:sz w:val="32"/>
          <w:szCs w:val="32"/>
          <w:highlight w:val="none"/>
        </w:rPr>
        <w:t>“十四五”期间，</w:t>
      </w:r>
      <w:r>
        <w:rPr>
          <w:rFonts w:hint="eastAsia" w:eastAsia="仿宋_GB2312" w:cs="仿宋_GB2312" w:asciiTheme="minorEastAsia" w:hAnsiTheme="minorEastAsia"/>
          <w:color w:val="auto"/>
          <w:sz w:val="32"/>
          <w:szCs w:val="32"/>
          <w:highlight w:val="none"/>
          <w:lang w:eastAsia="zh-CN"/>
        </w:rPr>
        <w:t>潜江</w:t>
      </w:r>
      <w:r>
        <w:rPr>
          <w:rFonts w:hint="eastAsia" w:eastAsia="仿宋_GB2312" w:cs="仿宋_GB2312" w:asciiTheme="minorEastAsia" w:hAnsiTheme="minorEastAsia"/>
          <w:color w:val="auto"/>
          <w:sz w:val="32"/>
          <w:szCs w:val="32"/>
          <w:highlight w:val="none"/>
          <w:lang w:val="en-US" w:eastAsia="zh-CN"/>
        </w:rPr>
        <w:t>市</w:t>
      </w:r>
      <w:r>
        <w:rPr>
          <w:rFonts w:hint="eastAsia" w:eastAsia="仿宋_GB2312" w:cs="仿宋_GB2312" w:asciiTheme="minorEastAsia" w:hAnsiTheme="minorEastAsia"/>
          <w:color w:val="auto"/>
          <w:sz w:val="32"/>
          <w:szCs w:val="32"/>
          <w:highlight w:val="none"/>
        </w:rPr>
        <w:t>民政工作</w:t>
      </w:r>
      <w:r>
        <w:rPr>
          <w:rFonts w:hint="eastAsia" w:eastAsia="仿宋_GB2312" w:cs="仿宋_GB2312" w:asciiTheme="minorEastAsia" w:hAnsiTheme="minorEastAsia"/>
          <w:color w:val="auto"/>
          <w:sz w:val="32"/>
          <w:szCs w:val="32"/>
          <w:highlight w:val="none"/>
          <w:lang w:eastAsia="zh-CN"/>
        </w:rPr>
        <w:t>在</w:t>
      </w:r>
      <w:r>
        <w:rPr>
          <w:rFonts w:hint="eastAsia" w:eastAsia="仿宋_GB2312" w:cs="仿宋_GB2312" w:asciiTheme="minorEastAsia" w:hAnsiTheme="minorEastAsia"/>
          <w:color w:val="auto"/>
          <w:sz w:val="32"/>
          <w:szCs w:val="32"/>
          <w:highlight w:val="none"/>
        </w:rPr>
        <w:t>取得诸多成效</w:t>
      </w:r>
      <w:r>
        <w:rPr>
          <w:rFonts w:hint="eastAsia" w:eastAsia="仿宋_GB2312" w:cs="仿宋_GB2312" w:asciiTheme="minorEastAsia" w:hAnsiTheme="minorEastAsia"/>
          <w:color w:val="auto"/>
          <w:sz w:val="32"/>
          <w:szCs w:val="32"/>
          <w:highlight w:val="none"/>
          <w:lang w:eastAsia="zh-CN"/>
        </w:rPr>
        <w:t>的同时</w:t>
      </w:r>
      <w:r>
        <w:rPr>
          <w:rFonts w:hint="eastAsia" w:eastAsia="仿宋_GB2312" w:cs="仿宋_GB2312" w:asciiTheme="minorEastAsia" w:hAnsiTheme="minorEastAsia"/>
          <w:color w:val="auto"/>
          <w:sz w:val="32"/>
          <w:szCs w:val="32"/>
          <w:highlight w:val="none"/>
        </w:rPr>
        <w:t>也面临</w:t>
      </w:r>
      <w:r>
        <w:rPr>
          <w:rFonts w:hint="eastAsia" w:eastAsia="仿宋_GB2312" w:cs="仿宋_GB2312" w:asciiTheme="minorEastAsia" w:hAnsiTheme="minorEastAsia"/>
          <w:color w:val="auto"/>
          <w:sz w:val="32"/>
          <w:szCs w:val="32"/>
          <w:highlight w:val="none"/>
          <w:lang w:eastAsia="zh-CN"/>
        </w:rPr>
        <w:t>挑战，</w:t>
      </w:r>
      <w:r>
        <w:rPr>
          <w:rFonts w:hint="eastAsia" w:eastAsia="仿宋_GB2312" w:cs="仿宋_GB2312" w:asciiTheme="minorEastAsia" w:hAnsiTheme="minorEastAsia"/>
          <w:color w:val="auto"/>
          <w:sz w:val="32"/>
          <w:szCs w:val="32"/>
          <w:highlight w:val="none"/>
        </w:rPr>
        <w:t>区域之间发展不平衡，</w:t>
      </w:r>
      <w:r>
        <w:rPr>
          <w:rFonts w:hint="eastAsia" w:eastAsia="仿宋_GB2312" w:cs="仿宋_GB2312" w:asciiTheme="minorEastAsia" w:hAnsiTheme="minorEastAsia"/>
          <w:color w:val="auto"/>
          <w:sz w:val="32"/>
          <w:szCs w:val="32"/>
          <w:highlight w:val="none"/>
          <w:lang w:val="en-US" w:eastAsia="zh-CN"/>
        </w:rPr>
        <w:t>服务对象精准识别难</w:t>
      </w:r>
      <w:r>
        <w:rPr>
          <w:rFonts w:hint="eastAsia" w:eastAsia="仿宋_GB2312" w:cs="仿宋_GB2312" w:asciiTheme="minorEastAsia" w:hAnsiTheme="minorEastAsia"/>
          <w:color w:val="auto"/>
          <w:sz w:val="32"/>
          <w:szCs w:val="32"/>
          <w:highlight w:val="none"/>
        </w:rPr>
        <w:t>，</w:t>
      </w:r>
      <w:r>
        <w:rPr>
          <w:rFonts w:hint="eastAsia" w:eastAsia="仿宋_GB2312" w:cs="仿宋_GB2312" w:asciiTheme="minorEastAsia" w:hAnsiTheme="minorEastAsia"/>
          <w:color w:val="auto"/>
          <w:sz w:val="32"/>
          <w:szCs w:val="32"/>
          <w:highlight w:val="none"/>
          <w:lang w:eastAsia="zh-CN"/>
        </w:rPr>
        <w:t>专业人才储备不足，民生</w:t>
      </w:r>
      <w:r>
        <w:rPr>
          <w:rFonts w:hint="eastAsia" w:eastAsia="仿宋_GB2312" w:cs="仿宋_GB2312" w:asciiTheme="minorEastAsia" w:hAnsiTheme="minorEastAsia"/>
          <w:color w:val="auto"/>
          <w:sz w:val="32"/>
          <w:szCs w:val="32"/>
          <w:highlight w:val="none"/>
          <w:lang w:val="en-US" w:eastAsia="zh-CN"/>
        </w:rPr>
        <w:t>服务效能有待进一步提升</w:t>
      </w:r>
      <w:r>
        <w:rPr>
          <w:rFonts w:hint="eastAsia" w:eastAsia="仿宋_GB2312" w:cs="仿宋_GB2312" w:asciiTheme="minorEastAsia" w:hAnsiTheme="minorEastAsia"/>
          <w:color w:val="auto"/>
          <w:sz w:val="32"/>
          <w:szCs w:val="32"/>
          <w:highlight w:val="none"/>
        </w:rPr>
        <w:t>等问题依然</w:t>
      </w:r>
      <w:r>
        <w:rPr>
          <w:rFonts w:hint="eastAsia" w:eastAsia="仿宋_GB2312" w:cs="仿宋_GB2312" w:asciiTheme="minorEastAsia" w:hAnsiTheme="minorEastAsia"/>
          <w:color w:val="auto"/>
          <w:sz w:val="32"/>
          <w:szCs w:val="32"/>
          <w:highlight w:val="none"/>
          <w:lang w:val="en-US" w:eastAsia="zh-CN"/>
        </w:rPr>
        <w:t>存在</w:t>
      </w:r>
      <w:r>
        <w:rPr>
          <w:rFonts w:hint="eastAsia" w:eastAsia="仿宋_GB2312" w:cs="仿宋_GB2312" w:asciiTheme="minorEastAsia" w:hAnsiTheme="minorEastAsia"/>
          <w:color w:val="auto"/>
          <w:sz w:val="32"/>
          <w:szCs w:val="32"/>
          <w:highlight w:val="none"/>
        </w:rPr>
        <w:t>。</w:t>
      </w:r>
    </w:p>
    <w:p w14:paraId="79C584EF">
      <w:pPr>
        <w:tabs>
          <w:tab w:val="left" w:pos="2263"/>
        </w:tabs>
        <w:spacing w:before="312" w:beforeLines="100"/>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表1  “十四五”时期潜江民政事业发展主要指标完成情况</w:t>
      </w:r>
    </w:p>
    <w:tbl>
      <w:tblPr>
        <w:tblStyle w:val="19"/>
        <w:tblW w:w="4699" w:type="pct"/>
        <w:tblInd w:w="0" w:type="dxa"/>
        <w:tblLayout w:type="autofit"/>
        <w:tblCellMar>
          <w:top w:w="0" w:type="dxa"/>
          <w:left w:w="0" w:type="dxa"/>
          <w:bottom w:w="0" w:type="dxa"/>
          <w:right w:w="0" w:type="dxa"/>
        </w:tblCellMar>
      </w:tblPr>
      <w:tblGrid>
        <w:gridCol w:w="789"/>
        <w:gridCol w:w="3436"/>
        <w:gridCol w:w="474"/>
        <w:gridCol w:w="1481"/>
        <w:gridCol w:w="1344"/>
        <w:gridCol w:w="1021"/>
      </w:tblGrid>
      <w:tr w14:paraId="0765E620">
        <w:tblPrEx>
          <w:tblCellMar>
            <w:top w:w="0" w:type="dxa"/>
            <w:left w:w="0" w:type="dxa"/>
            <w:bottom w:w="0" w:type="dxa"/>
            <w:right w:w="0" w:type="dxa"/>
          </w:tblCellMar>
        </w:tblPrEx>
        <w:trPr>
          <w:trHeight w:val="808" w:hRule="atLeast"/>
        </w:trPr>
        <w:tc>
          <w:tcPr>
            <w:tcW w:w="46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01CA9E9E">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2010"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6029546">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指标</w:t>
            </w:r>
          </w:p>
        </w:tc>
        <w:tc>
          <w:tcPr>
            <w:tcW w:w="277"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565F928">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6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102CF674">
            <w:pPr>
              <w:widowControl w:val="0"/>
              <w:spacing w:line="300" w:lineRule="exact"/>
              <w:ind w:firstLine="0" w:firstLineChars="0"/>
              <w:jc w:val="center"/>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2025年</w:t>
            </w:r>
            <w:r>
              <w:rPr>
                <w:rFonts w:hint="eastAsia" w:ascii="宋体" w:hAnsi="宋体" w:eastAsia="宋体" w:cs="宋体"/>
                <w:b/>
                <w:bCs/>
                <w:color w:val="auto"/>
                <w:kern w:val="0"/>
                <w:sz w:val="21"/>
                <w:szCs w:val="21"/>
                <w:highlight w:val="none"/>
                <w:lang w:bidi="ar"/>
              </w:rPr>
              <w:t>目标值</w:t>
            </w:r>
          </w:p>
        </w:tc>
        <w:tc>
          <w:tcPr>
            <w:tcW w:w="78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433E82E5">
            <w:pPr>
              <w:widowControl w:val="0"/>
              <w:spacing w:line="300" w:lineRule="exact"/>
              <w:ind w:firstLine="0" w:firstLineChars="0"/>
              <w:jc w:val="center"/>
              <w:textAlignment w:val="bottom"/>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2025年实际值</w:t>
            </w:r>
          </w:p>
        </w:tc>
        <w:tc>
          <w:tcPr>
            <w:tcW w:w="597"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98D35DD">
            <w:pPr>
              <w:widowControl w:val="0"/>
              <w:spacing w:line="300" w:lineRule="exact"/>
              <w:ind w:firstLine="0" w:firstLineChars="0"/>
              <w:jc w:val="center"/>
              <w:textAlignment w:val="bottom"/>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完成情况</w:t>
            </w:r>
          </w:p>
        </w:tc>
      </w:tr>
      <w:tr w14:paraId="7522BF3A">
        <w:tblPrEx>
          <w:tblCellMar>
            <w:top w:w="0" w:type="dxa"/>
            <w:left w:w="0" w:type="dxa"/>
            <w:bottom w:w="0" w:type="dxa"/>
            <w:right w:w="0" w:type="dxa"/>
          </w:tblCellMar>
        </w:tblPrEx>
        <w:trPr>
          <w:trHeight w:val="1071"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CCAC4">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9B3EC">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城乡低保标准年度增速</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4DE308">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D8165C">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11"/>
                <w:kern w:val="0"/>
                <w:sz w:val="21"/>
                <w:szCs w:val="21"/>
                <w:highlight w:val="none"/>
                <w:lang w:bidi="ar"/>
              </w:rPr>
              <w:t>不低于居民上年度人均消费支出增速</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7E23BE">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低于</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57F4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符合预期</w:t>
            </w:r>
          </w:p>
        </w:tc>
      </w:tr>
      <w:tr w14:paraId="7DBCD0CF">
        <w:tblPrEx>
          <w:tblCellMar>
            <w:top w:w="0" w:type="dxa"/>
            <w:left w:w="0" w:type="dxa"/>
            <w:bottom w:w="0" w:type="dxa"/>
            <w:right w:w="0" w:type="dxa"/>
          </w:tblCellMar>
        </w:tblPrEx>
        <w:trPr>
          <w:trHeight w:val="6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98276A">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21922">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农村低保标准占城市低保标准比例</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52A08C">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8FDAF4">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≥75</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1C1776">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88</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EE70D9">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超预期</w:t>
            </w:r>
          </w:p>
        </w:tc>
      </w:tr>
      <w:tr w14:paraId="44BAD098">
        <w:tblPrEx>
          <w:tblCellMar>
            <w:top w:w="0" w:type="dxa"/>
            <w:left w:w="0" w:type="dxa"/>
            <w:bottom w:w="0" w:type="dxa"/>
            <w:right w:w="0" w:type="dxa"/>
          </w:tblCellMar>
        </w:tblPrEx>
        <w:trPr>
          <w:trHeight w:val="569"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107E74">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A1F5F7">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困难残疾人生活补贴覆盖率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18685">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9F9443">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2546CC">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10O</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0D2580">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41E16A34">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1F401C">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C53F28">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重度残疾人护理补贴覆盖率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9C266A">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262EAF">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C7EF6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E1DB4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1E6D62DA">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875F00">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6811D">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婚姻登记“跨省通办”实施率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67A16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510A3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F07F1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D62437">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6B35B605">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180B24">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973E5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查明身份信息流浪乞讨受助人员接送返回率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E8134E">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66B63">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7C6CF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5CC2F2">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2C393E2A">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FAE392">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E56BF">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公益性安葬（放）设施覆盖率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DA2C85">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3D3C86">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77F8CF">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DB4F9E">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符合预期</w:t>
            </w:r>
          </w:p>
        </w:tc>
      </w:tr>
      <w:tr w14:paraId="177F32E7">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25EDE9">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7E0077">
            <w:pPr>
              <w:widowControl w:val="0"/>
              <w:spacing w:line="300" w:lineRule="exact"/>
              <w:ind w:firstLine="0" w:firstLineChars="0"/>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养老机构</w:t>
            </w:r>
            <w:r>
              <w:rPr>
                <w:rStyle w:val="27"/>
                <w:rFonts w:hint="eastAsia" w:ascii="宋体" w:hAnsi="宋体" w:eastAsia="宋体" w:cs="宋体"/>
                <w:color w:val="auto"/>
                <w:sz w:val="21"/>
                <w:szCs w:val="21"/>
                <w:highlight w:val="none"/>
                <w:lang w:bidi="ar"/>
              </w:rPr>
              <w:t>护理型养老床位</w:t>
            </w:r>
            <w:r>
              <w:rPr>
                <w:rStyle w:val="28"/>
                <w:rFonts w:hint="eastAsia" w:ascii="宋体" w:hAnsi="宋体" w:eastAsia="宋体" w:cs="宋体"/>
                <w:color w:val="auto"/>
                <w:sz w:val="21"/>
                <w:szCs w:val="21"/>
                <w:highlight w:val="none"/>
                <w:lang w:bidi="ar"/>
              </w:rPr>
              <w:t>占比</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CAC9B3">
            <w:pPr>
              <w:widowControl w:val="0"/>
              <w:spacing w:line="300" w:lineRule="exact"/>
              <w:ind w:firstLine="0" w:firstLineChars="0"/>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E4B038">
            <w:pPr>
              <w:widowControl w:val="0"/>
              <w:spacing w:line="300" w:lineRule="exact"/>
              <w:ind w:firstLine="0" w:firstLineChars="0"/>
              <w:jc w:val="center"/>
              <w:textAlignment w:val="bottom"/>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bidi="ar"/>
              </w:rPr>
              <w:t>60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814733">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75</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7561F7">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eastAsia="zh-CN" w:bidi="ar"/>
              </w:rPr>
              <w:t>超预期</w:t>
            </w:r>
          </w:p>
        </w:tc>
      </w:tr>
      <w:tr w14:paraId="5EF5066A">
        <w:tblPrEx>
          <w:tblCellMar>
            <w:top w:w="0" w:type="dxa"/>
            <w:left w:w="0" w:type="dxa"/>
            <w:bottom w:w="0" w:type="dxa"/>
            <w:right w:w="0" w:type="dxa"/>
          </w:tblCellMar>
        </w:tblPrEx>
        <w:trPr>
          <w:trHeight w:val="72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7346A8">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3BCD9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乡镇（街道）范围具备综合功能的养老服务机构覆盖率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FB726B">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8B8048">
            <w:pPr>
              <w:widowControl w:val="0"/>
              <w:spacing w:line="300" w:lineRule="exact"/>
              <w:ind w:firstLine="0" w:firstLineChars="0"/>
              <w:jc w:val="center"/>
              <w:textAlignment w:val="bottom"/>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60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373C6B">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437032">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超预期</w:t>
            </w:r>
          </w:p>
        </w:tc>
      </w:tr>
      <w:tr w14:paraId="46E17505">
        <w:tblPrEx>
          <w:tblCellMar>
            <w:top w:w="0" w:type="dxa"/>
            <w:left w:w="0" w:type="dxa"/>
            <w:bottom w:w="0" w:type="dxa"/>
            <w:right w:w="0" w:type="dxa"/>
          </w:tblCellMar>
        </w:tblPrEx>
        <w:trPr>
          <w:trHeight w:val="582" w:hRule="exact"/>
        </w:trPr>
        <w:tc>
          <w:tcPr>
            <w:tcW w:w="462"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1790A5">
            <w:pPr>
              <w:widowControl w:val="0"/>
              <w:spacing w:line="3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201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2D7580">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乡镇（街道）未成年人保护工作站覆盖率</w:t>
            </w:r>
          </w:p>
        </w:tc>
        <w:tc>
          <w:tcPr>
            <w:tcW w:w="27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860F1">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6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ADFB9E">
            <w:pPr>
              <w:widowControl w:val="0"/>
              <w:spacing w:line="300" w:lineRule="exact"/>
              <w:ind w:firstLine="0" w:firstLineChars="0"/>
              <w:jc w:val="center"/>
              <w:textAlignment w:val="bottom"/>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50</w:t>
            </w:r>
          </w:p>
        </w:tc>
        <w:tc>
          <w:tcPr>
            <w:tcW w:w="786"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1B0AF3">
            <w:pPr>
              <w:widowControl w:val="0"/>
              <w:spacing w:line="300" w:lineRule="exact"/>
              <w:ind w:firstLine="0" w:firstLineChars="0"/>
              <w:jc w:val="center"/>
              <w:textAlignment w:val="bottom"/>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100</w:t>
            </w:r>
          </w:p>
        </w:tc>
        <w:tc>
          <w:tcPr>
            <w:tcW w:w="597"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B2233">
            <w:pPr>
              <w:widowControl w:val="0"/>
              <w:spacing w:line="300" w:lineRule="exact"/>
              <w:ind w:firstLine="0" w:firstLineChars="0"/>
              <w:jc w:val="center"/>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超预期</w:t>
            </w:r>
          </w:p>
        </w:tc>
      </w:tr>
    </w:tbl>
    <w:p w14:paraId="7557A1CA">
      <w:pPr>
        <w:tabs>
          <w:tab w:val="left" w:pos="951"/>
        </w:tabs>
        <w:bidi w:val="0"/>
        <w:jc w:val="left"/>
        <w:rPr>
          <w:rFonts w:hint="default"/>
          <w:color w:val="auto"/>
          <w:highlight w:val="none"/>
          <w:lang w:val="en-US" w:eastAsia="zh-CN"/>
        </w:rPr>
      </w:pPr>
    </w:p>
    <w:p w14:paraId="564C825C">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640" w:firstLineChars="200"/>
        <w:textAlignment w:val="auto"/>
        <w:outlineLvl w:val="1"/>
        <w:rPr>
          <w:rFonts w:ascii="黑体" w:hAnsi="黑体" w:eastAsia="黑体" w:cs="黑体"/>
          <w:color w:val="auto"/>
          <w:sz w:val="32"/>
          <w:szCs w:val="32"/>
          <w:highlight w:val="none"/>
        </w:rPr>
      </w:pPr>
      <w:bookmarkStart w:id="9" w:name="_Toc14124"/>
      <w:bookmarkStart w:id="10" w:name="_Toc7651"/>
      <w:r>
        <w:rPr>
          <w:rFonts w:hint="eastAsia" w:ascii="黑体" w:hAnsi="黑体" w:eastAsia="黑体" w:cs="黑体"/>
          <w:color w:val="auto"/>
          <w:sz w:val="32"/>
          <w:szCs w:val="32"/>
          <w:highlight w:val="none"/>
        </w:rPr>
        <w:t>二、发展趋势</w:t>
      </w:r>
      <w:bookmarkEnd w:id="9"/>
      <w:bookmarkEnd w:id="10"/>
    </w:p>
    <w:p w14:paraId="7D26BB01">
      <w:pPr>
        <w:keepNext/>
        <w:keepLines/>
        <w:pageBreakBefore w:val="0"/>
        <w:widowControl w:val="0"/>
        <w:kinsoku/>
        <w:wordWrap/>
        <w:overflowPunct/>
        <w:topLinePunct w:val="0"/>
        <w:autoSpaceDE/>
        <w:autoSpaceDN/>
        <w:bidi w:val="0"/>
        <w:adjustRightInd/>
        <w:snapToGrid/>
        <w:spacing w:before="157" w:beforeLines="50" w:after="0" w:afterLines="0" w:line="240" w:lineRule="auto"/>
        <w:ind w:firstLine="640" w:firstLineChars="200"/>
        <w:textAlignment w:val="auto"/>
        <w:outlineLvl w:val="2"/>
        <w:rPr>
          <w:rFonts w:ascii="华文中宋" w:hAnsi="华文中宋" w:eastAsia="华文中宋" w:cs="华文中宋"/>
          <w:b w:val="0"/>
          <w:bCs w:val="0"/>
          <w:color w:val="auto"/>
          <w:sz w:val="32"/>
          <w:szCs w:val="32"/>
          <w:highlight w:val="none"/>
        </w:rPr>
      </w:pPr>
      <w:bookmarkStart w:id="11" w:name="_Toc11254"/>
      <w:bookmarkStart w:id="12" w:name="_Toc228"/>
      <w:bookmarkStart w:id="13" w:name="_Toc11585"/>
      <w:r>
        <w:rPr>
          <w:rFonts w:hint="eastAsia" w:ascii="华文中宋" w:hAnsi="华文中宋" w:eastAsia="华文中宋" w:cs="华文中宋"/>
          <w:b w:val="0"/>
          <w:bCs w:val="0"/>
          <w:color w:val="auto"/>
          <w:sz w:val="32"/>
          <w:szCs w:val="32"/>
          <w:highlight w:val="none"/>
        </w:rPr>
        <w:t>（一）主动顺应新形势</w:t>
      </w:r>
      <w:bookmarkEnd w:id="11"/>
      <w:bookmarkEnd w:id="12"/>
    </w:p>
    <w:p w14:paraId="3D1B6FA4">
      <w:pPr>
        <w:spacing w:before="156" w:beforeLines="50" w:line="360" w:lineRule="auto"/>
        <w:ind w:firstLine="643"/>
        <w:rPr>
          <w:rFonts w:hint="eastAsia" w:eastAsia="仿宋_GB2312" w:cs="仿宋_GB2312" w:asciiTheme="minorEastAsia" w:hAnsiTheme="minorEastAsia"/>
          <w:color w:val="auto"/>
          <w:sz w:val="32"/>
          <w:szCs w:val="32"/>
          <w:highlight w:val="none"/>
          <w:lang w:eastAsia="zh-CN"/>
        </w:rPr>
      </w:pPr>
      <w:r>
        <w:rPr>
          <w:rFonts w:hint="eastAsia" w:ascii="华文楷体" w:hAnsi="华文楷体" w:eastAsia="华文楷体" w:cs="华文楷体"/>
          <w:b/>
          <w:bCs/>
          <w:color w:val="auto"/>
          <w:sz w:val="32"/>
          <w:szCs w:val="32"/>
          <w:highlight w:val="none"/>
        </w:rPr>
        <w:t>顺应实现共同富裕的新形势。</w:t>
      </w:r>
      <w:r>
        <w:rPr>
          <w:rFonts w:hint="eastAsia" w:eastAsia="仿宋_GB2312" w:cs="仿宋_GB2312" w:asciiTheme="minorEastAsia" w:hAnsiTheme="minorEastAsia"/>
          <w:color w:val="auto"/>
          <w:sz w:val="32"/>
          <w:szCs w:val="32"/>
          <w:highlight w:val="none"/>
        </w:rPr>
        <w:t>全体人民共同富裕是中国式现代化的显著特征。民政工作服务保障着社会上最困难、最特殊的群体，他们的生活水平关乎中国式现代化建设和共同富裕的成色质量。在实现共同富裕的进程中，全</w:t>
      </w:r>
      <w:r>
        <w:rPr>
          <w:rFonts w:hint="eastAsia" w:eastAsia="仿宋_GB2312" w:cs="仿宋_GB2312" w:asciiTheme="minorEastAsia" w:hAnsiTheme="minorEastAsia"/>
          <w:color w:val="auto"/>
          <w:sz w:val="32"/>
          <w:szCs w:val="32"/>
          <w:highlight w:val="none"/>
          <w:lang w:val="en-US" w:eastAsia="zh-CN"/>
        </w:rPr>
        <w:t>市</w:t>
      </w:r>
      <w:r>
        <w:rPr>
          <w:rFonts w:hint="eastAsia" w:eastAsia="仿宋_GB2312" w:cs="仿宋_GB2312" w:asciiTheme="minorEastAsia" w:hAnsiTheme="minorEastAsia"/>
          <w:color w:val="auto"/>
          <w:sz w:val="32"/>
          <w:szCs w:val="32"/>
          <w:highlight w:val="none"/>
        </w:rPr>
        <w:t>民众对民政服务的需求呈现多元化、多层次、高品质特点</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近年来，潜江市积极探索</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政府保基本、慈善补短板、社会广参与</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的分层分类救助帮扶格局</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val="en-US" w:eastAsia="zh-CN"/>
        </w:rPr>
        <w:t>十五五</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lang w:val="en-US" w:eastAsia="zh-CN"/>
        </w:rPr>
        <w:t>期间，</w:t>
      </w:r>
      <w:r>
        <w:rPr>
          <w:rFonts w:hint="eastAsia" w:eastAsia="仿宋_GB2312" w:cs="仿宋_GB2312" w:asciiTheme="minorEastAsia" w:hAnsiTheme="minorEastAsia"/>
          <w:color w:val="auto"/>
          <w:sz w:val="32"/>
          <w:szCs w:val="32"/>
          <w:highlight w:val="none"/>
        </w:rPr>
        <w:t>要求民政工作进一步实现质的有效提升和量的合理增长，不断完善社会救助和社会福利制度，发展慈善事业，让广大困难群众、特殊群体共享改革发展成果，确保共同富裕路上一个都不能少，当好民生保障的“安全网”</w:t>
      </w:r>
      <w:r>
        <w:rPr>
          <w:rFonts w:hint="eastAsia" w:eastAsia="仿宋_GB2312" w:cs="仿宋_GB2312" w:asciiTheme="minorEastAsia" w:hAnsiTheme="minorEastAsia"/>
          <w:color w:val="auto"/>
          <w:sz w:val="32"/>
          <w:szCs w:val="32"/>
          <w:highlight w:val="none"/>
          <w:lang w:eastAsia="zh-CN"/>
        </w:rPr>
        <w:t>。</w:t>
      </w:r>
    </w:p>
    <w:p w14:paraId="37D9B75D">
      <w:pPr>
        <w:pStyle w:val="17"/>
        <w:keepNext w:val="0"/>
        <w:keepLines w:val="0"/>
        <w:widowControl/>
        <w:suppressLineNumbers w:val="0"/>
        <w:spacing w:line="247" w:lineRule="auto"/>
        <w:ind w:left="0" w:firstLine="638"/>
        <w:jc w:val="left"/>
        <w:textAlignment w:val="center"/>
        <w:rPr>
          <w:rFonts w:hint="eastAsia" w:eastAsia="仿宋_GB2312" w:cs="仿宋_GB2312" w:asciiTheme="minorEastAsia" w:hAnsiTheme="minorEastAsia"/>
          <w:color w:val="auto"/>
          <w:sz w:val="32"/>
          <w:szCs w:val="32"/>
          <w:highlight w:val="none"/>
          <w:lang w:eastAsia="zh-CN"/>
        </w:rPr>
      </w:pPr>
      <w:r>
        <w:rPr>
          <w:rFonts w:hint="eastAsia" w:ascii="华文楷体" w:hAnsi="华文楷体" w:eastAsia="华文楷体" w:cs="华文楷体"/>
          <w:b/>
          <w:bCs/>
          <w:color w:val="auto"/>
          <w:sz w:val="32"/>
          <w:szCs w:val="32"/>
          <w:highlight w:val="none"/>
        </w:rPr>
        <w:t>顺应积极应对人口老龄化的新形势。</w:t>
      </w:r>
      <w:r>
        <w:rPr>
          <w:rFonts w:hint="eastAsia" w:eastAsia="仿宋_GB2312" w:cs="仿宋_GB2312" w:asciiTheme="minorEastAsia" w:hAnsiTheme="minorEastAsia"/>
          <w:color w:val="auto"/>
          <w:sz w:val="32"/>
          <w:szCs w:val="32"/>
          <w:highlight w:val="none"/>
        </w:rPr>
        <w:t>当前，</w:t>
      </w:r>
      <w:r>
        <w:rPr>
          <w:rFonts w:hint="eastAsia" w:eastAsia="仿宋_GB2312" w:cs="仿宋_GB2312" w:asciiTheme="minorEastAsia" w:hAnsiTheme="minorEastAsia"/>
          <w:color w:val="auto"/>
          <w:sz w:val="32"/>
          <w:szCs w:val="32"/>
          <w:highlight w:val="none"/>
          <w:lang w:val="en-US" w:eastAsia="zh-CN"/>
        </w:rPr>
        <w:t>潜江市人口老龄化率已接近27%，</w:t>
      </w:r>
      <w:r>
        <w:rPr>
          <w:rFonts w:hint="eastAsia" w:ascii="仿宋" w:hAnsi="仿宋" w:eastAsia="仿宋" w:cs="仿宋"/>
          <w:color w:val="auto"/>
          <w:spacing w:val="0"/>
          <w:position w:val="0"/>
          <w:sz w:val="30"/>
          <w:szCs w:val="30"/>
          <w:highlight w:val="none"/>
          <w:lang w:val="en-US" w:eastAsia="zh-CN"/>
        </w:rPr>
        <w:t>处于</w:t>
      </w:r>
      <w:r>
        <w:rPr>
          <w:rFonts w:ascii="仿宋" w:hAnsi="仿宋" w:eastAsia="仿宋" w:cs="仿宋"/>
          <w:color w:val="auto"/>
          <w:spacing w:val="0"/>
          <w:position w:val="0"/>
          <w:sz w:val="30"/>
          <w:szCs w:val="30"/>
          <w:highlight w:val="none"/>
        </w:rPr>
        <w:t>中度老龄化阶段</w:t>
      </w:r>
      <w:r>
        <w:rPr>
          <w:rFonts w:hint="eastAsia" w:ascii="仿宋" w:hAnsi="仿宋" w:eastAsia="仿宋" w:cs="仿宋"/>
          <w:color w:val="auto"/>
          <w:spacing w:val="0"/>
          <w:position w:val="0"/>
          <w:sz w:val="30"/>
          <w:szCs w:val="30"/>
          <w:highlight w:val="none"/>
          <w:lang w:eastAsia="zh-CN"/>
        </w:rPr>
        <w:t>，</w:t>
      </w:r>
      <w:r>
        <w:rPr>
          <w:rFonts w:hint="eastAsia" w:eastAsia="仿宋_GB2312" w:cs="仿宋_GB2312" w:asciiTheme="minorEastAsia" w:hAnsiTheme="minorEastAsia"/>
          <w:color w:val="auto"/>
          <w:sz w:val="32"/>
          <w:szCs w:val="32"/>
          <w:highlight w:val="none"/>
        </w:rPr>
        <w:t>积极应对人口老龄化的任务</w:t>
      </w:r>
      <w:r>
        <w:rPr>
          <w:rFonts w:hint="eastAsia" w:eastAsia="仿宋_GB2312" w:cs="仿宋_GB2312" w:asciiTheme="minorEastAsia" w:hAnsiTheme="minorEastAsia"/>
          <w:color w:val="auto"/>
          <w:sz w:val="32"/>
          <w:szCs w:val="32"/>
          <w:highlight w:val="none"/>
          <w:lang w:val="en-US" w:eastAsia="zh-CN"/>
        </w:rPr>
        <w:t>愈加</w:t>
      </w:r>
      <w:r>
        <w:rPr>
          <w:rFonts w:hint="eastAsia" w:eastAsia="仿宋_GB2312" w:cs="仿宋_GB2312" w:asciiTheme="minorEastAsia" w:hAnsiTheme="minorEastAsia"/>
          <w:color w:val="auto"/>
          <w:sz w:val="32"/>
          <w:szCs w:val="32"/>
          <w:highlight w:val="none"/>
        </w:rPr>
        <w:t>繁重。潜江市已初步搭建以居家为基础、社区为依托、机构为补充、医养相结合的养老服务体系框架。随着新增加的相当一部分低龄老年人口拥有更高的收入水平和受教育水平，养老服务特别是居家社区养老服务呈现需求量质双升的态势。为回应这一趋势，潜江市正探索推广“双龄共养”服务模式，加快推进广中社区养老服务综合体等项目建设。面对老龄人口的新变化，民政事业发展需将积极老龄观、健康老龄化理念融入经济社会发展全过程，积极探索具有潜江特色的应对人口老龄化道路</w:t>
      </w:r>
      <w:r>
        <w:rPr>
          <w:rFonts w:hint="eastAsia" w:eastAsia="仿宋_GB2312" w:cs="仿宋_GB2312" w:asciiTheme="minorEastAsia" w:hAnsiTheme="minorEastAsia"/>
          <w:color w:val="auto"/>
          <w:sz w:val="32"/>
          <w:szCs w:val="32"/>
          <w:highlight w:val="none"/>
          <w:lang w:eastAsia="zh-CN"/>
        </w:rPr>
        <w:t>。</w:t>
      </w:r>
    </w:p>
    <w:p w14:paraId="37C38F63">
      <w:pPr>
        <w:pStyle w:val="23"/>
        <w:spacing w:before="156" w:beforeLines="50" w:line="360" w:lineRule="auto"/>
        <w:ind w:firstLine="643" w:firstLineChars="200"/>
        <w:rPr>
          <w:rFonts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rPr>
        <w:t>顺应人与自然和谐共生现代化的新形势。</w:t>
      </w:r>
      <w:r>
        <w:rPr>
          <w:rFonts w:hint="eastAsia" w:eastAsia="仿宋_GB2312" w:cs="仿宋_GB2312" w:asciiTheme="minorEastAsia" w:hAnsiTheme="minorEastAsia"/>
          <w:color w:val="auto"/>
          <w:sz w:val="32"/>
          <w:szCs w:val="32"/>
          <w:highlight w:val="none"/>
        </w:rPr>
        <w:t>推动经济社会发展绿色化、低碳化，是实现高质量发展的关键环节，是建设人与自然和谐共生现代化的内在要求。在</w:t>
      </w:r>
      <w:r>
        <w:rPr>
          <w:rFonts w:hint="eastAsia" w:eastAsia="仿宋_GB2312" w:cs="仿宋_GB2312" w:asciiTheme="minorEastAsia" w:hAnsiTheme="minorEastAsia"/>
          <w:color w:val="auto"/>
          <w:sz w:val="32"/>
          <w:szCs w:val="32"/>
          <w:highlight w:val="none"/>
          <w:lang w:val="en-US" w:eastAsia="zh-CN"/>
        </w:rPr>
        <w:t>全市</w:t>
      </w:r>
      <w:r>
        <w:rPr>
          <w:rFonts w:hint="eastAsia" w:eastAsia="仿宋_GB2312" w:cs="仿宋_GB2312" w:asciiTheme="minorEastAsia" w:hAnsiTheme="minorEastAsia"/>
          <w:color w:val="auto"/>
          <w:sz w:val="32"/>
          <w:szCs w:val="32"/>
          <w:highlight w:val="none"/>
        </w:rPr>
        <w:t>范围内，要坚持促进人与自然和谐发展的方针，更多考虑地理条件、资源环境等因素，优化资源配置，提升空间治理效能，更好地激发发展活力，服务现代化建设大局。在殡葬服务领域，要更加深入地贯彻落实习近平生态文明思想，坚持人与自然可持续发展，坚持生态方向和公益属性，完善节俭节地节能举措，引导推动殡葬服务实现绿色化、低碳化发展。</w:t>
      </w:r>
    </w:p>
    <w:bookmarkEnd w:id="13"/>
    <w:p w14:paraId="5512ED5E">
      <w:pPr>
        <w:widowControl/>
        <w:spacing w:before="156" w:beforeLines="50" w:line="360" w:lineRule="auto"/>
        <w:ind w:firstLine="640" w:firstLineChars="200"/>
        <w:jc w:val="left"/>
        <w:outlineLvl w:val="2"/>
        <w:rPr>
          <w:rFonts w:ascii="华文中宋" w:hAnsi="华文中宋" w:eastAsia="华文中宋" w:cs="华文中宋"/>
          <w:color w:val="auto"/>
          <w:sz w:val="32"/>
          <w:szCs w:val="32"/>
          <w:highlight w:val="none"/>
        </w:rPr>
      </w:pPr>
      <w:bookmarkStart w:id="14" w:name="_Toc9003"/>
      <w:bookmarkStart w:id="15" w:name="_Toc14161"/>
      <w:r>
        <w:rPr>
          <w:rFonts w:hint="eastAsia" w:ascii="华文中宋" w:hAnsi="华文中宋" w:eastAsia="华文中宋" w:cs="华文中宋"/>
          <w:color w:val="auto"/>
          <w:sz w:val="32"/>
          <w:szCs w:val="32"/>
          <w:highlight w:val="none"/>
        </w:rPr>
        <w:t>（二）积极应对新变化</w:t>
      </w:r>
      <w:bookmarkEnd w:id="14"/>
      <w:bookmarkEnd w:id="15"/>
    </w:p>
    <w:p w14:paraId="7944E588">
      <w:pPr>
        <w:widowControl/>
        <w:spacing w:before="156" w:beforeLines="50" w:line="360" w:lineRule="auto"/>
        <w:ind w:firstLine="643"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新时代民政工作职责使命的新变化。</w:t>
      </w:r>
      <w:r>
        <w:rPr>
          <w:rFonts w:eastAsia="仿宋_GB2312" w:cs="仿宋_GB2312" w:asciiTheme="minorEastAsia" w:hAnsiTheme="minorEastAsia"/>
          <w:color w:val="auto"/>
          <w:sz w:val="32"/>
          <w:szCs w:val="32"/>
          <w:highlight w:val="none"/>
        </w:rPr>
        <w:t>新一轮党和国家机构改革，调整了民政工作职责，完善了老龄工作体制，赋予民政部门牵头承担老龄工作的重要职责，体现了对民政部门的高度重视和极大信任。机构改革后，民政部门的职能进一步聚焦</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主责主业更加凸显，使命任务更加艰巨，发展空间更加广阔。</w:t>
      </w:r>
    </w:p>
    <w:p w14:paraId="62842FED">
      <w:pPr>
        <w:widowControl/>
        <w:spacing w:before="156" w:beforeLines="50" w:line="360" w:lineRule="auto"/>
        <w:ind w:firstLine="643"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新时代民政工作要求的新变化。</w:t>
      </w:r>
      <w:r>
        <w:rPr>
          <w:rFonts w:eastAsia="仿宋_GB2312" w:cs="仿宋_GB2312" w:asciiTheme="minorEastAsia" w:hAnsiTheme="minorEastAsia"/>
          <w:color w:val="auto"/>
          <w:sz w:val="32"/>
          <w:szCs w:val="32"/>
          <w:highlight w:val="none"/>
        </w:rPr>
        <w:t>社会救助从简单的救助式保障、物质类帮扶向更精准的物质保障、更丰富的照料服务、更有力的精神支持扩展</w:t>
      </w:r>
      <w:r>
        <w:rPr>
          <w:rFonts w:hint="eastAsia" w:eastAsia="仿宋_GB2312" w:cs="仿宋_GB2312" w:asciiTheme="minorEastAsia" w:hAnsiTheme="minorEastAsia"/>
          <w:color w:val="auto"/>
          <w:sz w:val="32"/>
          <w:szCs w:val="32"/>
          <w:highlight w:val="none"/>
        </w:rPr>
        <w:t>；救助管理对象中，务工不着等临时遇困人员增加、病残人员比例上升，康复护理等服务需求更加迫切；</w:t>
      </w:r>
      <w:r>
        <w:rPr>
          <w:rFonts w:eastAsia="仿宋_GB2312" w:cs="仿宋_GB2312" w:asciiTheme="minorEastAsia" w:hAnsiTheme="minorEastAsia"/>
          <w:color w:val="auto"/>
          <w:sz w:val="32"/>
          <w:szCs w:val="32"/>
          <w:highlight w:val="none"/>
        </w:rPr>
        <w:t>养老服务、社会福利从保基本、兜底线向普惠型发展</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儿童福利从特殊儿童保障向所有需要帮助的困境儿童、流动儿童关爱保护拓展</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慈善事业定位从慈心善行的社会行动转变为立足于第三次分配促进共同富裕的重要机制等等。</w:t>
      </w:r>
    </w:p>
    <w:p w14:paraId="1C3DD3BF">
      <w:pPr>
        <w:widowControl/>
        <w:spacing w:before="156" w:beforeLines="50" w:line="360" w:lineRule="auto"/>
        <w:ind w:firstLine="643"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新时代民政工作手段的新变化。</w:t>
      </w:r>
      <w:r>
        <w:rPr>
          <w:rFonts w:eastAsia="仿宋_GB2312" w:cs="仿宋_GB2312" w:asciiTheme="minorEastAsia" w:hAnsiTheme="minorEastAsia"/>
          <w:color w:val="auto"/>
          <w:sz w:val="32"/>
          <w:szCs w:val="32"/>
          <w:highlight w:val="none"/>
        </w:rPr>
        <w:t>信息化、智能化是时代发展潮流。提升民政工作数字化、网络化、智能化水平，让“政策找人”更主动，政务服务效能更优质，是亟待推进落实的一项重要任务。要善于革新工作手段，依托大数据提升管理和服务效能。</w:t>
      </w:r>
    </w:p>
    <w:p w14:paraId="567D3ACA">
      <w:pPr>
        <w:widowControl/>
        <w:spacing w:before="156" w:beforeLines="50" w:line="360" w:lineRule="auto"/>
        <w:ind w:firstLine="640" w:firstLineChars="200"/>
        <w:jc w:val="left"/>
        <w:outlineLvl w:val="2"/>
        <w:rPr>
          <w:rFonts w:ascii="华文中宋" w:hAnsi="华文中宋" w:eastAsia="华文中宋" w:cs="华文中宋"/>
          <w:color w:val="auto"/>
          <w:sz w:val="32"/>
          <w:szCs w:val="32"/>
          <w:highlight w:val="none"/>
        </w:rPr>
      </w:pPr>
      <w:bookmarkStart w:id="16" w:name="_Toc30018"/>
      <w:bookmarkStart w:id="17" w:name="_Toc18326"/>
      <w:r>
        <w:rPr>
          <w:rFonts w:hint="eastAsia" w:ascii="华文中宋" w:hAnsi="华文中宋" w:eastAsia="华文中宋" w:cs="华文中宋"/>
          <w:color w:val="auto"/>
          <w:sz w:val="32"/>
          <w:szCs w:val="32"/>
          <w:highlight w:val="none"/>
        </w:rPr>
        <w:t>（三）全面把握新机遇</w:t>
      </w:r>
      <w:bookmarkEnd w:id="16"/>
      <w:bookmarkEnd w:id="17"/>
    </w:p>
    <w:p w14:paraId="390BEF42">
      <w:pPr>
        <w:widowControl/>
        <w:spacing w:before="156" w:beforeLines="50" w:line="360" w:lineRule="auto"/>
        <w:ind w:firstLine="640" w:firstLineChars="200"/>
        <w:jc w:val="left"/>
        <w:rPr>
          <w:rFonts w:asciiTheme="minorEastAsia" w:hAnsiTheme="minorEastAsia"/>
          <w:color w:val="auto"/>
          <w:sz w:val="32"/>
          <w:szCs w:val="32"/>
          <w:highlight w:val="none"/>
        </w:rPr>
      </w:pPr>
      <w:r>
        <w:rPr>
          <w:rFonts w:ascii="仿宋_GB2312" w:hAnsi="仿宋_GB2312" w:eastAsia="仿宋_GB2312" w:cs="仿宋_GB2312"/>
          <w:color w:val="auto"/>
          <w:kern w:val="0"/>
          <w:sz w:val="32"/>
          <w:szCs w:val="32"/>
          <w:highlight w:val="none"/>
          <w:shd w:val="clear" w:color="auto" w:fill="FFFFFF"/>
          <w:lang w:bidi="ar"/>
        </w:rPr>
        <w:t>民政事业发展正处于高质量发展为主题的新阶段，利好因素持续汇聚，必须紧紧抓住并切实用好机遇，实现发展目标。</w:t>
      </w:r>
    </w:p>
    <w:p w14:paraId="3BF67533">
      <w:pPr>
        <w:widowControl/>
        <w:spacing w:before="156" w:beforeLines="50" w:line="360" w:lineRule="auto"/>
        <w:ind w:firstLine="643" w:firstLineChars="200"/>
        <w:jc w:val="left"/>
        <w:rPr>
          <w:rFonts w:ascii="仿宋_GB2312" w:hAnsi="仿宋_GB2312" w:eastAsia="仿宋_GB2312" w:cs="仿宋_GB2312"/>
          <w:color w:val="auto"/>
          <w:kern w:val="0"/>
          <w:sz w:val="32"/>
          <w:szCs w:val="32"/>
          <w:highlight w:val="none"/>
          <w:shd w:val="clear" w:color="auto" w:fill="FFFFFF"/>
          <w:lang w:bidi="ar"/>
        </w:rPr>
      </w:pPr>
      <w:r>
        <w:rPr>
          <w:rFonts w:ascii="华文楷体" w:hAnsi="华文楷体" w:eastAsia="华文楷体" w:cs="华文楷体"/>
          <w:b/>
          <w:bCs/>
          <w:color w:val="auto"/>
          <w:sz w:val="32"/>
          <w:szCs w:val="32"/>
          <w:highlight w:val="none"/>
        </w:rPr>
        <w:t>国家重大发展战略机遇。</w:t>
      </w:r>
      <w:r>
        <w:rPr>
          <w:rFonts w:ascii="仿宋_GB2312" w:hAnsi="仿宋_GB2312" w:eastAsia="仿宋_GB2312" w:cs="仿宋_GB2312"/>
          <w:color w:val="auto"/>
          <w:kern w:val="0"/>
          <w:sz w:val="32"/>
          <w:szCs w:val="32"/>
          <w:highlight w:val="none"/>
          <w:shd w:val="clear" w:color="auto" w:fill="FFFFFF"/>
          <w:lang w:bidi="ar"/>
        </w:rPr>
        <w:t>实施积极应对人口老龄化国家战略</w:t>
      </w:r>
      <w:r>
        <w:rPr>
          <w:rFonts w:hint="eastAsia" w:ascii="仿宋_GB2312" w:hAnsi="仿宋_GB2312" w:eastAsia="仿宋_GB2312" w:cs="仿宋_GB2312"/>
          <w:color w:val="auto"/>
          <w:kern w:val="0"/>
          <w:sz w:val="32"/>
          <w:szCs w:val="32"/>
          <w:highlight w:val="none"/>
          <w:shd w:val="clear" w:color="auto" w:fill="FFFFFF"/>
          <w:lang w:bidi="ar"/>
        </w:rPr>
        <w:t>与</w:t>
      </w:r>
      <w:r>
        <w:rPr>
          <w:rFonts w:ascii="仿宋_GB2312" w:hAnsi="仿宋_GB2312" w:eastAsia="仿宋_GB2312" w:cs="仿宋_GB2312"/>
          <w:color w:val="auto"/>
          <w:kern w:val="0"/>
          <w:sz w:val="32"/>
          <w:szCs w:val="32"/>
          <w:highlight w:val="none"/>
          <w:shd w:val="clear" w:color="auto" w:fill="FFFFFF"/>
          <w:lang w:bidi="ar"/>
        </w:rPr>
        <w:t>乡村振兴战略，是民政工作职责最突出、任务最集中、作用最明显的</w:t>
      </w:r>
      <w:r>
        <w:rPr>
          <w:rFonts w:hint="eastAsia" w:ascii="仿宋_GB2312" w:hAnsi="仿宋_GB2312" w:eastAsia="仿宋_GB2312" w:cs="仿宋_GB2312"/>
          <w:color w:val="auto"/>
          <w:kern w:val="0"/>
          <w:sz w:val="32"/>
          <w:szCs w:val="32"/>
          <w:highlight w:val="none"/>
          <w:shd w:val="clear" w:color="auto" w:fill="FFFFFF"/>
          <w:lang w:bidi="ar"/>
        </w:rPr>
        <w:t>两</w:t>
      </w:r>
      <w:r>
        <w:rPr>
          <w:rFonts w:ascii="仿宋_GB2312" w:hAnsi="仿宋_GB2312" w:eastAsia="仿宋_GB2312" w:cs="仿宋_GB2312"/>
          <w:color w:val="auto"/>
          <w:kern w:val="0"/>
          <w:sz w:val="32"/>
          <w:szCs w:val="32"/>
          <w:highlight w:val="none"/>
          <w:shd w:val="clear" w:color="auto" w:fill="FFFFFF"/>
          <w:lang w:bidi="ar"/>
        </w:rPr>
        <w:t>大领域。</w:t>
      </w:r>
      <w:r>
        <w:rPr>
          <w:rFonts w:hint="eastAsia" w:ascii="仿宋_GB2312" w:hAnsi="仿宋_GB2312" w:eastAsia="仿宋_GB2312" w:cs="仿宋_GB2312"/>
          <w:color w:val="auto"/>
          <w:kern w:val="0"/>
          <w:sz w:val="32"/>
          <w:szCs w:val="32"/>
          <w:highlight w:val="none"/>
          <w:shd w:val="clear" w:color="auto" w:fill="FFFFFF"/>
          <w:lang w:bidi="ar"/>
        </w:rPr>
        <w:t>202</w:t>
      </w:r>
      <w:r>
        <w:rPr>
          <w:rFonts w:hint="eastAsia" w:ascii="仿宋_GB2312" w:hAnsi="仿宋_GB2312" w:eastAsia="仿宋_GB2312" w:cs="仿宋_GB2312"/>
          <w:color w:val="auto"/>
          <w:kern w:val="0"/>
          <w:sz w:val="32"/>
          <w:szCs w:val="32"/>
          <w:highlight w:val="none"/>
          <w:shd w:val="clear" w:color="auto" w:fill="FFFFFF"/>
          <w:lang w:val="en-US" w:eastAsia="zh-CN" w:bidi="ar"/>
        </w:rPr>
        <w:t>5</w:t>
      </w:r>
      <w:r>
        <w:rPr>
          <w:rFonts w:ascii="仿宋_GB2312" w:hAnsi="仿宋_GB2312" w:eastAsia="仿宋_GB2312" w:cs="仿宋_GB2312"/>
          <w:color w:val="auto"/>
          <w:kern w:val="0"/>
          <w:sz w:val="32"/>
          <w:szCs w:val="32"/>
          <w:highlight w:val="none"/>
          <w:shd w:val="clear" w:color="auto" w:fill="FFFFFF"/>
          <w:lang w:bidi="ar"/>
        </w:rPr>
        <w:t>年中央一号文件《</w:t>
      </w:r>
      <w:r>
        <w:rPr>
          <w:rFonts w:hint="eastAsia" w:ascii="仿宋_GB2312" w:hAnsi="仿宋_GB2312" w:eastAsia="仿宋_GB2312" w:cs="仿宋_GB2312"/>
          <w:color w:val="auto"/>
          <w:kern w:val="0"/>
          <w:sz w:val="32"/>
          <w:szCs w:val="32"/>
          <w:highlight w:val="none"/>
          <w:shd w:val="clear" w:color="auto" w:fill="FFFFFF"/>
          <w:lang w:bidi="ar"/>
        </w:rPr>
        <w:t>中共中央 国务院关于进一步深化农村改革 扎实推进乡村全面振兴的意见</w:t>
      </w:r>
      <w:r>
        <w:rPr>
          <w:rFonts w:ascii="仿宋_GB2312" w:hAnsi="仿宋_GB2312" w:eastAsia="仿宋_GB2312" w:cs="仿宋_GB2312"/>
          <w:color w:val="auto"/>
          <w:kern w:val="0"/>
          <w:sz w:val="32"/>
          <w:szCs w:val="32"/>
          <w:highlight w:val="none"/>
          <w:shd w:val="clear" w:color="auto" w:fill="FFFFFF"/>
          <w:lang w:bidi="ar"/>
        </w:rPr>
        <w:t>》提出，</w:t>
      </w:r>
      <w:r>
        <w:rPr>
          <w:rFonts w:hint="eastAsia" w:ascii="仿宋_GB2312" w:hAnsi="仿宋_GB2312" w:eastAsia="仿宋_GB2312" w:cs="仿宋_GB2312"/>
          <w:color w:val="auto"/>
          <w:kern w:val="0"/>
          <w:sz w:val="32"/>
          <w:szCs w:val="32"/>
          <w:highlight w:val="none"/>
          <w:shd w:val="clear" w:color="auto" w:fill="FFFFFF"/>
          <w:lang w:bidi="ar"/>
        </w:rPr>
        <w:t>坚持农业农村优先发展，坚持城乡融合发展，提高农村基本公共服务水平，确保不发生规模性返贫致贫</w:t>
      </w:r>
      <w:r>
        <w:rPr>
          <w:rFonts w:ascii="仿宋_GB2312" w:hAnsi="仿宋_GB2312" w:eastAsia="仿宋_GB2312" w:cs="仿宋_GB2312"/>
          <w:color w:val="auto"/>
          <w:kern w:val="0"/>
          <w:sz w:val="32"/>
          <w:szCs w:val="32"/>
          <w:highlight w:val="none"/>
          <w:shd w:val="clear" w:color="auto" w:fill="FFFFFF"/>
          <w:lang w:bidi="ar"/>
        </w:rPr>
        <w:t>，等等。这些为突破性发展养老服务业、做好民生兜底保障工作创造了良好条件。</w:t>
      </w:r>
      <w:r>
        <w:rPr>
          <w:rFonts w:hint="eastAsia" w:ascii="仿宋_GB2312" w:hAnsi="仿宋_GB2312" w:eastAsia="仿宋_GB2312" w:cs="仿宋_GB2312"/>
          <w:color w:val="auto"/>
          <w:kern w:val="0"/>
          <w:sz w:val="32"/>
          <w:szCs w:val="32"/>
          <w:highlight w:val="none"/>
          <w:shd w:val="clear" w:color="auto" w:fill="FFFFFF"/>
          <w:lang w:bidi="ar"/>
        </w:rPr>
        <w:t>二十届</w:t>
      </w:r>
      <w:r>
        <w:rPr>
          <w:rFonts w:hint="eastAsia" w:ascii="仿宋_GB2312" w:hAnsi="仿宋_GB2312" w:eastAsia="仿宋_GB2312" w:cs="仿宋_GB2312"/>
          <w:color w:val="auto"/>
          <w:kern w:val="0"/>
          <w:sz w:val="32"/>
          <w:szCs w:val="32"/>
          <w:highlight w:val="none"/>
          <w:shd w:val="clear" w:color="auto" w:fill="FFFFFF"/>
          <w:lang w:val="en-US" w:eastAsia="zh-CN" w:bidi="ar"/>
        </w:rPr>
        <w:t>四</w:t>
      </w:r>
      <w:r>
        <w:rPr>
          <w:rFonts w:hint="eastAsia" w:ascii="仿宋_GB2312" w:hAnsi="仿宋_GB2312" w:eastAsia="仿宋_GB2312" w:cs="仿宋_GB2312"/>
          <w:color w:val="auto"/>
          <w:kern w:val="0"/>
          <w:sz w:val="32"/>
          <w:szCs w:val="32"/>
          <w:highlight w:val="none"/>
          <w:shd w:val="clear" w:color="auto" w:fill="FFFFFF"/>
          <w:lang w:bidi="ar"/>
        </w:rPr>
        <w:t>中全会</w:t>
      </w:r>
      <w:r>
        <w:rPr>
          <w:rFonts w:hint="eastAsia" w:ascii="仿宋_GB2312" w:hAnsi="仿宋_GB2312" w:eastAsia="仿宋_GB2312" w:cs="仿宋_GB2312"/>
          <w:color w:val="auto"/>
          <w:kern w:val="0"/>
          <w:sz w:val="32"/>
          <w:szCs w:val="32"/>
          <w:highlight w:val="none"/>
          <w:shd w:val="clear" w:color="auto" w:fill="FFFFFF"/>
          <w:lang w:val="en-US" w:eastAsia="zh-CN" w:bidi="ar"/>
        </w:rPr>
        <w:t>提出，“</w:t>
      </w:r>
      <w:r>
        <w:rPr>
          <w:rFonts w:hint="eastAsia" w:ascii="仿宋_GB2312" w:hAnsi="仿宋_GB2312" w:eastAsia="仿宋_GB2312" w:cs="仿宋_GB2312"/>
          <w:color w:val="auto"/>
          <w:kern w:val="0"/>
          <w:sz w:val="32"/>
          <w:szCs w:val="32"/>
          <w:highlight w:val="none"/>
          <w:shd w:val="clear" w:color="auto" w:fill="FFFFFF"/>
          <w:lang w:bidi="ar"/>
        </w:rPr>
        <w:t>加大保障和改善民生力度，扎实推进全体人民共同富裕。坚持尽力而为、量力而行，加强普惠性、基础性、兜底性民生建设，解决好人民群众急难愁盼问题，畅通社会流动渠道，提高人民生活品质。</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为奋力推进</w:t>
      </w:r>
      <w:r>
        <w:rPr>
          <w:rFonts w:hint="eastAsia" w:ascii="仿宋_GB2312" w:hAnsi="仿宋_GB2312" w:eastAsia="仿宋_GB2312" w:cs="仿宋_GB2312"/>
          <w:color w:val="auto"/>
          <w:kern w:val="0"/>
          <w:sz w:val="32"/>
          <w:szCs w:val="32"/>
          <w:highlight w:val="none"/>
          <w:shd w:val="clear" w:color="auto" w:fill="FFFFFF"/>
          <w:lang w:eastAsia="zh-CN" w:bidi="ar"/>
        </w:rPr>
        <w:t>潜江</w:t>
      </w:r>
      <w:r>
        <w:rPr>
          <w:rFonts w:hint="eastAsia" w:ascii="仿宋_GB2312" w:hAnsi="仿宋_GB2312" w:eastAsia="仿宋_GB2312" w:cs="仿宋_GB2312"/>
          <w:color w:val="auto"/>
          <w:kern w:val="0"/>
          <w:sz w:val="32"/>
          <w:szCs w:val="32"/>
          <w:highlight w:val="none"/>
          <w:shd w:val="clear" w:color="auto" w:fill="FFFFFF"/>
          <w:lang w:bidi="ar"/>
        </w:rPr>
        <w:t>民政工作现代化提供了政策保障和方向指引。</w:t>
      </w:r>
    </w:p>
    <w:p w14:paraId="77462358">
      <w:pPr>
        <w:widowControl/>
        <w:spacing w:before="156" w:beforeLines="50" w:line="360" w:lineRule="auto"/>
        <w:ind w:firstLine="643" w:firstLineChars="200"/>
        <w:jc w:val="left"/>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持续出台的利好政策机遇。</w:t>
      </w:r>
      <w:r>
        <w:rPr>
          <w:rFonts w:eastAsia="仿宋_GB2312" w:cs="仿宋_GB2312" w:asciiTheme="minorEastAsia" w:hAnsiTheme="minorEastAsia"/>
          <w:color w:val="auto"/>
          <w:sz w:val="32"/>
          <w:szCs w:val="32"/>
          <w:highlight w:val="none"/>
        </w:rPr>
        <w:t>新一届国务院全面履职以来，召开国务院常务会议研究通过社会救助、老年助餐等意见和方案，发布首个支持银发经济发展文件</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《关于加强养老服务设施布局规划编制工作的通知》</w:t>
      </w:r>
      <w:r>
        <w:rPr>
          <w:rFonts w:hint="eastAsia" w:eastAsia="仿宋_GB2312" w:cs="仿宋_GB2312" w:asciiTheme="minorEastAsia" w:hAnsiTheme="minorEastAsia"/>
          <w:color w:val="auto"/>
          <w:sz w:val="32"/>
          <w:szCs w:val="32"/>
          <w:highlight w:val="none"/>
        </w:rPr>
        <w:t>、《中共中央 国务院关于深化养老服务改革发展的意见》</w:t>
      </w:r>
      <w:r>
        <w:rPr>
          <w:rFonts w:eastAsia="仿宋_GB2312" w:cs="仿宋_GB2312" w:asciiTheme="minorEastAsia" w:hAnsiTheme="minorEastAsia"/>
          <w:color w:val="auto"/>
          <w:sz w:val="32"/>
          <w:szCs w:val="32"/>
          <w:highlight w:val="none"/>
        </w:rPr>
        <w:t>；省政府专门出台进一步保障和改善民生的 20 条措施等等，为民政事业发展提供了政策支撑。</w:t>
      </w:r>
    </w:p>
    <w:p w14:paraId="52EE2568">
      <w:pPr>
        <w:pStyle w:val="18"/>
        <w:spacing w:before="156" w:beforeLines="50" w:after="0" w:line="360" w:lineRule="auto"/>
        <w:ind w:left="0" w:leftChars="0" w:firstLine="641"/>
        <w:rPr>
          <w:rFonts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rPr>
        <w:t>省市党</w:t>
      </w:r>
      <w:r>
        <w:rPr>
          <w:rFonts w:ascii="华文楷体" w:hAnsi="华文楷体" w:eastAsia="华文楷体" w:cs="华文楷体"/>
          <w:b/>
          <w:bCs/>
          <w:color w:val="auto"/>
          <w:sz w:val="32"/>
          <w:szCs w:val="32"/>
          <w:highlight w:val="none"/>
        </w:rPr>
        <w:t>委政府重大决策部署实施的机遇。</w:t>
      </w:r>
      <w:r>
        <w:rPr>
          <w:rFonts w:eastAsia="仿宋_GB2312" w:cs="仿宋_GB2312" w:asciiTheme="minorEastAsia" w:hAnsiTheme="minorEastAsia"/>
          <w:color w:val="auto"/>
          <w:sz w:val="32"/>
          <w:szCs w:val="32"/>
          <w:highlight w:val="none"/>
        </w:rPr>
        <w:t>建设先行区，要求各项工作都走在全国前列，这给民政领域持续推进民生兜底保障全面提质、社会治理全面提效、基本社会服务全面提档带来机遇。</w:t>
      </w:r>
      <w:r>
        <w:rPr>
          <w:rFonts w:hint="default" w:eastAsia="仿宋_GB2312" w:cs="仿宋_GB2312" w:asciiTheme="minorEastAsia" w:hAnsiTheme="minorEastAsia"/>
          <w:color w:val="auto"/>
          <w:sz w:val="32"/>
          <w:szCs w:val="32"/>
          <w:highlight w:val="none"/>
          <w:lang w:val="en-US" w:eastAsia="zh-CN"/>
        </w:rPr>
        <w:t>实施强县工程</w:t>
      </w:r>
      <w:r>
        <w:rPr>
          <w:rFonts w:hint="eastAsia" w:eastAsia="仿宋_GB2312" w:cs="仿宋_GB2312" w:asciiTheme="minorEastAsia" w:hAnsiTheme="minorEastAsia"/>
          <w:color w:val="auto"/>
          <w:sz w:val="32"/>
          <w:szCs w:val="32"/>
          <w:highlight w:val="none"/>
          <w:lang w:val="en-US" w:eastAsia="zh-CN"/>
        </w:rPr>
        <w:t>，</w:t>
      </w:r>
      <w:r>
        <w:rPr>
          <w:rFonts w:hint="default" w:eastAsia="仿宋_GB2312" w:cs="仿宋_GB2312" w:asciiTheme="minorEastAsia" w:hAnsiTheme="minorEastAsia"/>
          <w:color w:val="auto"/>
          <w:sz w:val="32"/>
          <w:szCs w:val="32"/>
          <w:highlight w:val="none"/>
          <w:lang w:val="en-US" w:eastAsia="zh-CN"/>
        </w:rPr>
        <w:t>要求推进以县城为重要载体的就地城镇化、以县域为单元的城乡统筹发展，这给加快构建县乡村三级养老服务体系带来了强劲动力。</w:t>
      </w:r>
      <w:r>
        <w:rPr>
          <w:rFonts w:eastAsia="仿宋_GB2312" w:cs="仿宋_GB2312" w:asciiTheme="minorEastAsia" w:hAnsiTheme="minorEastAsia"/>
          <w:color w:val="auto"/>
          <w:sz w:val="32"/>
          <w:szCs w:val="32"/>
          <w:highlight w:val="none"/>
        </w:rPr>
        <w:t>同时，民政工作的服务对象在基层、工作重心在基层、短板弱项也在基层。共同缔造着眼于构建“纵向到底、横向到边、共建共治共享”的基层治理体系，为有效破解民政政策落实“最后一公里”难题提供了契机。</w:t>
      </w:r>
    </w:p>
    <w:p w14:paraId="042D1D27">
      <w:pPr>
        <w:snapToGrid w:val="0"/>
        <w:spacing w:before="468" w:beforeLines="150" w:after="156" w:afterLines="50" w:line="360" w:lineRule="auto"/>
        <w:ind w:firstLine="321" w:firstLineChars="100"/>
        <w:jc w:val="center"/>
        <w:outlineLvl w:val="0"/>
        <w:rPr>
          <w:rFonts w:hint="default" w:ascii="黑体" w:hAnsi="黑体" w:eastAsia="黑体"/>
          <w:b/>
          <w:bCs/>
          <w:color w:val="auto"/>
          <w:sz w:val="32"/>
          <w:szCs w:val="32"/>
          <w:highlight w:val="none"/>
          <w:lang w:val="en-US" w:eastAsia="zh-CN"/>
        </w:rPr>
      </w:pPr>
      <w:bookmarkStart w:id="18" w:name="_Toc18073"/>
      <w:bookmarkStart w:id="19" w:name="_Toc28297"/>
      <w:r>
        <w:rPr>
          <w:rFonts w:hint="eastAsia" w:ascii="黑体" w:hAnsi="黑体" w:eastAsia="黑体"/>
          <w:b/>
          <w:bCs/>
          <w:color w:val="auto"/>
          <w:sz w:val="32"/>
          <w:szCs w:val="32"/>
          <w:highlight w:val="none"/>
        </w:rPr>
        <w:t xml:space="preserve">第二章  </w:t>
      </w:r>
      <w:bookmarkEnd w:id="18"/>
      <w:r>
        <w:rPr>
          <w:rFonts w:hint="eastAsia" w:ascii="黑体" w:hAnsi="黑体" w:eastAsia="黑体"/>
          <w:b/>
          <w:bCs/>
          <w:color w:val="auto"/>
          <w:sz w:val="32"/>
          <w:szCs w:val="32"/>
          <w:highlight w:val="none"/>
          <w:lang w:val="en-US" w:eastAsia="zh-CN"/>
        </w:rPr>
        <w:t>总体思路</w:t>
      </w:r>
      <w:bookmarkEnd w:id="19"/>
    </w:p>
    <w:p w14:paraId="284120B2">
      <w:pPr>
        <w:snapToGrid w:val="0"/>
        <w:spacing w:before="312" w:beforeLines="100" w:line="360" w:lineRule="auto"/>
        <w:ind w:firstLine="640" w:firstLineChars="200"/>
        <w:outlineLvl w:val="1"/>
        <w:rPr>
          <w:rFonts w:hint="eastAsia" w:ascii="黑体" w:hAnsi="黑体" w:eastAsia="黑体" w:cs="黑体"/>
          <w:color w:val="auto"/>
          <w:sz w:val="32"/>
          <w:szCs w:val="32"/>
          <w:highlight w:val="none"/>
        </w:rPr>
      </w:pPr>
      <w:bookmarkStart w:id="20" w:name="_Toc12281"/>
      <w:bookmarkStart w:id="21" w:name="_Toc18573"/>
      <w:r>
        <w:rPr>
          <w:rFonts w:hint="eastAsia" w:ascii="黑体" w:hAnsi="黑体" w:eastAsia="黑体" w:cs="黑体"/>
          <w:color w:val="auto"/>
          <w:sz w:val="32"/>
          <w:szCs w:val="32"/>
          <w:highlight w:val="none"/>
        </w:rPr>
        <w:t>一、指导思想</w:t>
      </w:r>
      <w:bookmarkEnd w:id="20"/>
      <w:bookmarkEnd w:id="21"/>
    </w:p>
    <w:p w14:paraId="5D7717A3">
      <w:pPr>
        <w:pStyle w:val="7"/>
        <w:spacing w:after="0" w:line="360" w:lineRule="auto"/>
        <w:ind w:firstLine="641"/>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t>坚持以习近平新时代中国特色社会主义思想为根本遵循，全面贯彻党的二十大及二十届</w:t>
      </w:r>
      <w:r>
        <w:rPr>
          <w:rFonts w:hint="eastAsia" w:eastAsia="仿宋_GB2312" w:cs="仿宋_GB2312" w:asciiTheme="minorEastAsia" w:hAnsiTheme="minorEastAsia"/>
          <w:color w:val="auto"/>
          <w:sz w:val="32"/>
          <w:szCs w:val="32"/>
          <w:highlight w:val="none"/>
          <w:lang w:val="en-US" w:eastAsia="zh-CN"/>
        </w:rPr>
        <w:t>历次</w:t>
      </w:r>
      <w:r>
        <w:rPr>
          <w:rFonts w:hint="eastAsia" w:eastAsia="仿宋_GB2312" w:cs="仿宋_GB2312" w:asciiTheme="minorEastAsia" w:hAnsiTheme="minorEastAsia"/>
          <w:color w:val="auto"/>
          <w:sz w:val="32"/>
          <w:szCs w:val="32"/>
          <w:highlight w:val="none"/>
        </w:rPr>
        <w:t>全会精神，严格落实</w:t>
      </w:r>
      <w:r>
        <w:rPr>
          <w:rFonts w:hint="eastAsia" w:eastAsia="仿宋_GB2312" w:cs="仿宋_GB2312" w:asciiTheme="minorEastAsia" w:hAnsiTheme="minorEastAsia"/>
          <w:color w:val="auto"/>
          <w:sz w:val="32"/>
          <w:szCs w:val="32"/>
          <w:highlight w:val="none"/>
          <w:lang w:val="en-US" w:eastAsia="zh-CN"/>
        </w:rPr>
        <w:t>湖北</w:t>
      </w:r>
      <w:r>
        <w:rPr>
          <w:rFonts w:hint="eastAsia" w:eastAsia="仿宋_GB2312" w:cs="仿宋_GB2312" w:asciiTheme="minorEastAsia" w:hAnsiTheme="minorEastAsia"/>
          <w:color w:val="auto"/>
          <w:sz w:val="32"/>
          <w:szCs w:val="32"/>
          <w:highlight w:val="none"/>
        </w:rPr>
        <w:t>省委省政府、潜江市委市政府各项工作部署，深入践行习近平总书记关于全面深化改革、民政工作的重要论述和视察湖北重要讲话精神，对标全国、全省民政工作会议部署要求，牢牢把握以人民为中心的发展思想，坚持稳中求进工作总基调，紧扣高质量发展主题，聚焦服务中国式现代化建设主线，锚定保障民生、增进福祉、促进共同富裕核心目标，以全面深化民政改革为强大动力，树牢系统思维、坚守底线原则，立足民政在社会建设中的兜底性、基础性职能定位，扎实履行基本民生保障、基层社会治理、基本社会服务核心职责，全力推进民政工作提质增效、转型升级，不断提升民政服务保障能力与水平，切实维护社会公平正义，为谱写中国式现代化湖北潜江篇章筑牢民生保障根基。</w:t>
      </w:r>
    </w:p>
    <w:p w14:paraId="3B967A73">
      <w:pPr>
        <w:snapToGrid w:val="0"/>
        <w:spacing w:before="312" w:beforeLines="100" w:line="360" w:lineRule="auto"/>
        <w:ind w:firstLine="640" w:firstLineChars="200"/>
        <w:outlineLvl w:val="1"/>
        <w:rPr>
          <w:rFonts w:hint="eastAsia" w:ascii="黑体" w:hAnsi="黑体" w:eastAsia="黑体" w:cs="黑体"/>
          <w:color w:val="auto"/>
          <w:sz w:val="32"/>
          <w:szCs w:val="32"/>
          <w:highlight w:val="none"/>
        </w:rPr>
      </w:pPr>
      <w:bookmarkStart w:id="22" w:name="_Toc23143"/>
      <w:bookmarkStart w:id="23" w:name="_Toc12298"/>
      <w:r>
        <w:rPr>
          <w:rFonts w:hint="eastAsia" w:ascii="黑体" w:hAnsi="黑体" w:eastAsia="黑体" w:cs="黑体"/>
          <w:color w:val="auto"/>
          <w:sz w:val="32"/>
          <w:szCs w:val="32"/>
          <w:highlight w:val="none"/>
        </w:rPr>
        <w:t>二、基本原则</w:t>
      </w:r>
      <w:bookmarkEnd w:id="22"/>
      <w:bookmarkEnd w:id="23"/>
    </w:p>
    <w:p w14:paraId="60D90627">
      <w:pPr>
        <w:snapToGrid w:val="0"/>
        <w:spacing w:before="156" w:beforeLines="50" w:line="360" w:lineRule="auto"/>
        <w:ind w:firstLine="640" w:firstLineChars="200"/>
        <w:rPr>
          <w:rFonts w:eastAsia="仿宋_GB2312" w:cs="仿宋_GB2312" w:asciiTheme="minorEastAsia" w:hAnsiTheme="minorEastAsia"/>
          <w:color w:val="auto"/>
          <w:sz w:val="32"/>
          <w:szCs w:val="32"/>
          <w:highlight w:val="none"/>
        </w:rPr>
      </w:pPr>
      <w:r>
        <w:rPr>
          <w:rFonts w:hint="eastAsia" w:ascii="华文中宋" w:hAnsi="华文中宋" w:eastAsia="华文中宋" w:cs="华文中宋"/>
          <w:color w:val="auto"/>
          <w:sz w:val="32"/>
          <w:szCs w:val="32"/>
          <w:highlight w:val="none"/>
        </w:rPr>
        <w:t>——坚持党建引领、民生为本。</w:t>
      </w:r>
      <w:r>
        <w:rPr>
          <w:rFonts w:hint="eastAsia" w:eastAsia="仿宋_GB2312" w:cs="仿宋_GB2312" w:asciiTheme="minorEastAsia" w:hAnsiTheme="minorEastAsia"/>
          <w:color w:val="auto"/>
          <w:sz w:val="32"/>
          <w:szCs w:val="32"/>
          <w:highlight w:val="none"/>
        </w:rPr>
        <w:t>坚持和加强党的全面领导，坚定拥护“两个确立”、坚决做到“两个维护”，</w:t>
      </w:r>
      <w:r>
        <w:rPr>
          <w:rFonts w:eastAsia="仿宋_GB2312" w:cs="仿宋_GB2312" w:asciiTheme="minorEastAsia" w:hAnsiTheme="minorEastAsia"/>
          <w:color w:val="auto"/>
          <w:sz w:val="32"/>
          <w:szCs w:val="32"/>
          <w:highlight w:val="none"/>
        </w:rPr>
        <w:t>把党的领导贯穿到民政事业发展和改革全过程</w:t>
      </w:r>
      <w:r>
        <w:rPr>
          <w:rFonts w:hint="eastAsia" w:eastAsia="仿宋_GB2312" w:cs="仿宋_GB2312" w:asciiTheme="minorEastAsia" w:hAnsiTheme="minorEastAsia"/>
          <w:color w:val="auto"/>
          <w:sz w:val="32"/>
          <w:szCs w:val="32"/>
          <w:highlight w:val="none"/>
        </w:rPr>
        <w:t>。以习近平总书记重要论述精神作为新时代民政工作的根本遵循，把党的路线方针政策转化为民政事业改革发展实际成效。坚持人民</w:t>
      </w:r>
      <w:r>
        <w:rPr>
          <w:rFonts w:hint="eastAsia" w:eastAsia="仿宋_GB2312" w:cs="仿宋_GB2312" w:asciiTheme="minorEastAsia" w:hAnsiTheme="minorEastAsia"/>
          <w:color w:val="auto"/>
          <w:sz w:val="32"/>
          <w:szCs w:val="32"/>
          <w:highlight w:val="none"/>
          <w:lang w:val="en-US" w:eastAsia="zh-CN"/>
        </w:rPr>
        <w:t>至上</w:t>
      </w:r>
      <w:r>
        <w:rPr>
          <w:rFonts w:hint="eastAsia" w:eastAsia="仿宋_GB2312" w:cs="仿宋_GB2312" w:asciiTheme="minorEastAsia" w:hAnsiTheme="minorEastAsia"/>
          <w:color w:val="auto"/>
          <w:sz w:val="32"/>
          <w:szCs w:val="32"/>
          <w:highlight w:val="none"/>
        </w:rPr>
        <w:t>，把增进民生福祉、提高人民生活品质作为推进民政事业的出发点和落脚点。</w:t>
      </w:r>
    </w:p>
    <w:p w14:paraId="299D3FC1">
      <w:pPr>
        <w:spacing w:before="156" w:beforeLines="50" w:line="360" w:lineRule="auto"/>
        <w:ind w:firstLine="640" w:firstLineChars="200"/>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t>——坚持质量优先、适度普惠。</w:t>
      </w:r>
      <w:r>
        <w:rPr>
          <w:rFonts w:hint="eastAsia" w:eastAsia="仿宋_GB2312" w:cs="仿宋_GB2312" w:asciiTheme="minorEastAsia" w:hAnsiTheme="minorEastAsia"/>
          <w:color w:val="auto"/>
          <w:sz w:val="32"/>
          <w:szCs w:val="32"/>
          <w:highlight w:val="none"/>
        </w:rPr>
        <w:t>统筹群众需求和财力实际，尽力而为、量力而行，更好发挥政府在民政事业中的主导作用，引导市场、社会、公众协同发力，构建多元主体合作共治的民政服务体系，</w:t>
      </w:r>
      <w:r>
        <w:rPr>
          <w:rFonts w:eastAsia="仿宋_GB2312" w:cs="仿宋_GB2312" w:asciiTheme="minorEastAsia" w:hAnsiTheme="minorEastAsia"/>
          <w:color w:val="auto"/>
          <w:sz w:val="32"/>
          <w:szCs w:val="32"/>
          <w:highlight w:val="none"/>
        </w:rPr>
        <w:t>形成强大供给合力。</w:t>
      </w:r>
      <w:r>
        <w:rPr>
          <w:rFonts w:hint="eastAsia" w:eastAsia="仿宋_GB2312" w:cs="仿宋_GB2312" w:asciiTheme="minorEastAsia" w:hAnsiTheme="minorEastAsia"/>
          <w:color w:val="auto"/>
          <w:sz w:val="32"/>
          <w:szCs w:val="32"/>
          <w:highlight w:val="none"/>
        </w:rPr>
        <w:t>进一步拓宽民政服务范围、丰富服务内容、优化服务标准，让发展成果更多更公平惠及人民群众。</w:t>
      </w:r>
    </w:p>
    <w:p w14:paraId="5D70CD17">
      <w:pPr>
        <w:spacing w:before="156" w:beforeLines="50" w:line="360" w:lineRule="auto"/>
        <w:ind w:firstLine="640" w:firstLineChars="200"/>
        <w:rPr>
          <w:rFonts w:eastAsia="仿宋_GB2312" w:cs="仿宋_GB2312" w:asciiTheme="minorEastAsia" w:hAnsiTheme="minorEastAsia"/>
          <w:color w:val="auto"/>
          <w:sz w:val="32"/>
          <w:szCs w:val="32"/>
          <w:highlight w:val="none"/>
        </w:rPr>
      </w:pPr>
      <w:r>
        <w:rPr>
          <w:rFonts w:hint="eastAsia" w:ascii="华文中宋" w:hAnsi="华文中宋" w:eastAsia="华文中宋" w:cs="华文中宋"/>
          <w:color w:val="auto"/>
          <w:sz w:val="32"/>
          <w:szCs w:val="32"/>
          <w:highlight w:val="none"/>
        </w:rPr>
        <w:t>——坚持数字赋能、提质增效。</w:t>
      </w:r>
      <w:r>
        <w:rPr>
          <w:rFonts w:hint="eastAsia" w:eastAsia="仿宋_GB2312" w:cs="仿宋_GB2312" w:asciiTheme="minorEastAsia" w:hAnsiTheme="minorEastAsia"/>
          <w:color w:val="auto"/>
          <w:sz w:val="32"/>
          <w:szCs w:val="32"/>
          <w:highlight w:val="none"/>
        </w:rPr>
        <w:t>以</w:t>
      </w:r>
      <w:r>
        <w:rPr>
          <w:rFonts w:eastAsia="仿宋_GB2312" w:cs="仿宋_GB2312" w:asciiTheme="minorEastAsia" w:hAnsiTheme="minorEastAsia"/>
          <w:color w:val="auto"/>
          <w:sz w:val="32"/>
          <w:szCs w:val="32"/>
          <w:highlight w:val="none"/>
        </w:rPr>
        <w:t>数字化改革为引领，</w:t>
      </w:r>
      <w:r>
        <w:rPr>
          <w:rFonts w:hint="eastAsia" w:eastAsia="仿宋_GB2312" w:cs="仿宋_GB2312" w:asciiTheme="minorEastAsia" w:hAnsiTheme="minorEastAsia"/>
          <w:color w:val="auto"/>
          <w:sz w:val="32"/>
          <w:szCs w:val="32"/>
          <w:highlight w:val="none"/>
        </w:rPr>
        <w:t>坚持整体协同、安全可控，健全完善协同高效的民政数字化履职能力体系、科学规范的民政数字政府建设规则体系、开放共享的民政数据资源体系、智能集约的民政平台支撑体系、民政数字政府全方位安全保障体系，助推基本民生保障精准化、基层社会治理精细化、基本社会服务便捷化，实现民政服务的提质增效和可持续发展。</w:t>
      </w:r>
    </w:p>
    <w:p w14:paraId="58AC5079">
      <w:pPr>
        <w:spacing w:before="156" w:beforeLines="50" w:line="360" w:lineRule="auto"/>
        <w:ind w:firstLine="640" w:firstLineChars="200"/>
        <w:rPr>
          <w:rFonts w:hint="eastAsia" w:eastAsia="仿宋_GB2312" w:cs="仿宋_GB2312" w:asciiTheme="minorEastAsia" w:hAnsiTheme="minorEastAsia"/>
          <w:color w:val="auto"/>
          <w:sz w:val="32"/>
          <w:szCs w:val="32"/>
          <w:highlight w:val="none"/>
        </w:rPr>
      </w:pPr>
      <w:bookmarkStart w:id="24" w:name="OLE_LINK6"/>
      <w:r>
        <w:rPr>
          <w:rFonts w:hint="eastAsia" w:ascii="华文中宋" w:hAnsi="华文中宋" w:eastAsia="华文中宋" w:cs="华文中宋"/>
          <w:color w:val="auto"/>
          <w:sz w:val="32"/>
          <w:szCs w:val="32"/>
          <w:highlight w:val="none"/>
        </w:rPr>
        <w:t>——坚持深化改革、创新发展。</w:t>
      </w:r>
      <w:r>
        <w:rPr>
          <w:rFonts w:hint="eastAsia" w:eastAsia="仿宋_GB2312" w:cs="仿宋_GB2312" w:asciiTheme="minorEastAsia" w:hAnsiTheme="minorEastAsia"/>
          <w:color w:val="auto"/>
          <w:sz w:val="32"/>
          <w:szCs w:val="32"/>
          <w:highlight w:val="none"/>
        </w:rPr>
        <w:t>深入贯彻落实党中央、国务院关于民生民政工作的决策部署以及省委、省政府、市委、市政府工作要求，主动对接全省加快建成中部地区崛起重要战略支点、锚定四化同步发展示范区建设等重大战略。坚持以改革创新为根本动力，聚焦人民群众急难愁盼问题，以改革思路和创新办法着力破解民政领域深层次体制机制障碍。强化法治化、标准化、信息化支撑，围绕国家、省、市关心的重点和群众关切的热点，优化政策措施，开展试点示范，持续改善民政服务供给方式和运行机制。总结推广农村福利院改革、困境儿童关爱服务试点、智慧救助等“潜江经验”，推动民政领域改革创新不断取得新突破，持续提升人民群众的获得感、幸福感、安全感</w:t>
      </w:r>
      <w:r>
        <w:rPr>
          <w:rFonts w:hint="eastAsia" w:eastAsia="仿宋_GB2312" w:cs="仿宋_GB2312" w:asciiTheme="minorEastAsia" w:hAnsiTheme="minorEastAsia"/>
          <w:color w:val="auto"/>
          <w:sz w:val="32"/>
          <w:szCs w:val="32"/>
          <w:highlight w:val="none"/>
          <w:lang w:eastAsia="zh-CN"/>
        </w:rPr>
        <w:t>。</w:t>
      </w:r>
    </w:p>
    <w:bookmarkEnd w:id="24"/>
    <w:p w14:paraId="1C75CA72">
      <w:pPr>
        <w:snapToGrid w:val="0"/>
        <w:spacing w:before="312" w:beforeLines="100" w:line="360" w:lineRule="auto"/>
        <w:ind w:firstLine="640" w:firstLineChars="200"/>
        <w:outlineLvl w:val="1"/>
        <w:rPr>
          <w:rFonts w:hint="eastAsia" w:ascii="黑体" w:hAnsi="黑体" w:eastAsia="黑体" w:cs="黑体"/>
          <w:color w:val="auto"/>
          <w:sz w:val="32"/>
          <w:szCs w:val="32"/>
          <w:highlight w:val="none"/>
          <w:lang w:eastAsia="zh-CN"/>
        </w:rPr>
      </w:pPr>
      <w:bookmarkStart w:id="25" w:name="_Toc24483"/>
      <w:bookmarkStart w:id="26" w:name="_Toc15913"/>
      <w:r>
        <w:rPr>
          <w:rFonts w:hint="eastAsia" w:ascii="黑体" w:hAnsi="黑体" w:eastAsia="黑体" w:cs="黑体"/>
          <w:color w:val="auto"/>
          <w:sz w:val="32"/>
          <w:szCs w:val="32"/>
          <w:highlight w:val="none"/>
        </w:rPr>
        <w:t>三、发展目标</w:t>
      </w:r>
      <w:bookmarkEnd w:id="25"/>
      <w:bookmarkEnd w:id="26"/>
    </w:p>
    <w:p w14:paraId="138E732E">
      <w:pPr>
        <w:spacing w:before="156" w:beforeLines="50" w:line="360" w:lineRule="auto"/>
        <w:ind w:firstLine="640" w:firstLineChars="200"/>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t>锚定2035年民政事业远景目标，到2030年，</w:t>
      </w:r>
      <w:r>
        <w:rPr>
          <w:rFonts w:hint="eastAsia" w:eastAsia="仿宋_GB2312" w:cs="仿宋_GB2312" w:asciiTheme="minorEastAsia" w:hAnsiTheme="minorEastAsia"/>
          <w:color w:val="auto"/>
          <w:sz w:val="32"/>
          <w:szCs w:val="32"/>
          <w:highlight w:val="none"/>
          <w:lang w:eastAsia="zh-CN"/>
        </w:rPr>
        <w:t>全市</w:t>
      </w:r>
      <w:r>
        <w:rPr>
          <w:rFonts w:hint="eastAsia" w:eastAsia="仿宋_GB2312" w:cs="仿宋_GB2312" w:asciiTheme="minorEastAsia" w:hAnsiTheme="minorEastAsia"/>
          <w:color w:val="auto"/>
          <w:sz w:val="32"/>
          <w:szCs w:val="32"/>
          <w:highlight w:val="none"/>
        </w:rPr>
        <w:t>民政系统党的建设全面加强，政策制度体系更加成熟完善</w:t>
      </w:r>
      <w:r>
        <w:rPr>
          <w:rFonts w:hint="eastAsia" w:eastAsia="仿宋_GB2312" w:cs="仿宋_GB2312" w:asciiTheme="minorEastAsia" w:hAnsiTheme="minorEastAsia"/>
          <w:color w:val="auto"/>
          <w:sz w:val="32"/>
          <w:szCs w:val="32"/>
          <w:highlight w:val="none"/>
          <w:lang w:eastAsia="zh-CN"/>
        </w:rPr>
        <w:t>，</w:t>
      </w:r>
      <w:r>
        <w:rPr>
          <w:rFonts w:hint="eastAsia" w:eastAsia="仿宋_GB2312" w:cs="仿宋_GB2312" w:asciiTheme="minorEastAsia" w:hAnsiTheme="minorEastAsia"/>
          <w:color w:val="auto"/>
          <w:sz w:val="32"/>
          <w:szCs w:val="32"/>
          <w:highlight w:val="none"/>
        </w:rPr>
        <w:t>基本民生保障机制更加坚实有力，基本社会服务更加均等可及，</w:t>
      </w:r>
      <w:r>
        <w:rPr>
          <w:rFonts w:hint="eastAsia" w:eastAsia="仿宋_GB2312" w:cs="仿宋_GB2312" w:asciiTheme="minorEastAsia" w:hAnsiTheme="minorEastAsia"/>
          <w:color w:val="auto"/>
          <w:sz w:val="32"/>
          <w:szCs w:val="32"/>
          <w:highlight w:val="none"/>
          <w:lang w:eastAsia="zh-CN"/>
        </w:rPr>
        <w:t>基本</w:t>
      </w:r>
      <w:r>
        <w:rPr>
          <w:rFonts w:hint="eastAsia" w:eastAsia="仿宋_GB2312" w:cs="仿宋_GB2312" w:asciiTheme="minorEastAsia" w:hAnsiTheme="minorEastAsia"/>
          <w:color w:val="auto"/>
          <w:sz w:val="32"/>
          <w:szCs w:val="32"/>
          <w:highlight w:val="none"/>
        </w:rPr>
        <w:t>社会治理更加规范有序，人民群众享有更高质量的公共服务，民政事业现代化建设、高质量发展取得实质性进展。</w:t>
      </w:r>
    </w:p>
    <w:p w14:paraId="46AC858D">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——老龄和养老服务更加优质均衡。</w:t>
      </w:r>
      <w:r>
        <w:rPr>
          <w:rFonts w:hint="eastAsia" w:eastAsia="仿宋_GB2312" w:cs="仿宋_GB2312" w:asciiTheme="minorEastAsia" w:hAnsiTheme="minorEastAsia"/>
          <w:color w:val="auto"/>
          <w:sz w:val="32"/>
          <w:szCs w:val="32"/>
          <w:highlight w:val="none"/>
        </w:rPr>
        <w:t>多元协同的老龄工作体系更加完善，银发经济与老年友好型社会建设取得实质性进展。以居家为基础、社区为依托、机构为专业支撑、医养相结合的养老服务供给体系更加优化，三级养老服务网络基本建成，养老服务事业和产业发展活力进一步激发。</w:t>
      </w:r>
    </w:p>
    <w:p w14:paraId="6A7B1EC3">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——社会救助更加精准有力。</w:t>
      </w:r>
      <w:r>
        <w:rPr>
          <w:rFonts w:hint="eastAsia" w:eastAsia="仿宋_GB2312" w:cs="仿宋_GB2312" w:asciiTheme="minorEastAsia" w:hAnsiTheme="minorEastAsia"/>
          <w:color w:val="auto"/>
          <w:sz w:val="32"/>
          <w:szCs w:val="32"/>
          <w:highlight w:val="none"/>
        </w:rPr>
        <w:t>分层分类、城乡统筹的综合社会救助体系更加健全。困难群众主动发现机制全面建立，实现“应保尽保、应救尽救”。社会救助资源进一步统筹、服务能力进一步提升，兜底保障安全网织得更密更牢。</w:t>
      </w:r>
    </w:p>
    <w:p w14:paraId="5705D238">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——社会福利更加均等普惠。</w:t>
      </w:r>
      <w:r>
        <w:rPr>
          <w:rFonts w:hint="eastAsia" w:eastAsia="仿宋_GB2312" w:cs="仿宋_GB2312" w:asciiTheme="minorEastAsia" w:hAnsiTheme="minorEastAsia"/>
          <w:color w:val="auto"/>
          <w:sz w:val="32"/>
          <w:szCs w:val="32"/>
          <w:highlight w:val="none"/>
        </w:rPr>
        <w:t>推动社会福利从“基础保障”向“品质提升”转型。儿童福利和权益保障更加精准高效，老年福利公平可及、全民共享，残疾人福利政策体系更加完善。</w:t>
      </w:r>
    </w:p>
    <w:p w14:paraId="54F9C7F2">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——社会事务更加规范高效。</w:t>
      </w:r>
      <w:r>
        <w:rPr>
          <w:rFonts w:hint="eastAsia" w:eastAsia="仿宋_GB2312" w:cs="仿宋_GB2312" w:asciiTheme="minorEastAsia" w:hAnsiTheme="minorEastAsia"/>
          <w:color w:val="auto"/>
          <w:sz w:val="32"/>
          <w:szCs w:val="32"/>
          <w:highlight w:val="none"/>
        </w:rPr>
        <w:t>与人民群众美好生活需要相衔接的民政社会事务管理服务体系全面建立。婚姻、殡葬等服务管理更加科学有效，健康文明的婚丧风尚进一步树立，流浪乞讨人员救助管理质量进一步提升，人民群众的精细化、个性化、多样化诉求得到充分响应。</w:t>
      </w:r>
    </w:p>
    <w:p w14:paraId="50B6FA2D">
      <w:pPr>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楷体" w:hAnsi="楷体" w:eastAsia="楷体" w:cs="楷体"/>
          <w:b/>
          <w:bCs/>
          <w:color w:val="auto"/>
          <w:kern w:val="2"/>
          <w:sz w:val="32"/>
          <w:szCs w:val="32"/>
          <w:highlight w:val="none"/>
          <w:lang w:val="en-US" w:eastAsia="zh-CN" w:bidi="ar-SA"/>
        </w:rPr>
        <w:t>——社会治理更加平稳有序。</w:t>
      </w:r>
      <w:r>
        <w:rPr>
          <w:rFonts w:hint="eastAsia" w:eastAsia="仿宋_GB2312" w:cs="仿宋_GB2312" w:asciiTheme="minorEastAsia" w:hAnsiTheme="minorEastAsia"/>
          <w:color w:val="auto"/>
          <w:sz w:val="32"/>
          <w:szCs w:val="32"/>
          <w:highlight w:val="none"/>
        </w:rPr>
        <w:t>社会组织参与社会治理的机制和渠道更加健全。慈善事业的第三次分配作用更加凸显，“人人慈善”的氛围更加浓厚。行政区划和地名管理工作在推进区域协调发展、新型城镇化建设中的功能进一步强化。</w:t>
      </w:r>
    </w:p>
    <w:p w14:paraId="56A142E3">
      <w:pPr>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br w:type="page"/>
      </w:r>
    </w:p>
    <w:p w14:paraId="739A6B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1"/>
        <w:jc w:val="center"/>
        <w:textAlignment w:val="auto"/>
        <w:rPr>
          <w:rFonts w:hint="eastAsia" w:ascii="宋体" w:hAnsi="宋体" w:eastAsia="宋体" w:cs="宋体"/>
          <w:b/>
          <w:bCs/>
          <w:color w:val="auto"/>
          <w:sz w:val="30"/>
          <w:szCs w:val="30"/>
          <w:highlight w:val="none"/>
          <w:lang w:eastAsia="zh-CN"/>
        </w:rPr>
      </w:pPr>
      <w:bookmarkStart w:id="27" w:name="_Toc22981"/>
      <w:r>
        <w:rPr>
          <w:rFonts w:hint="eastAsia" w:ascii="宋体" w:hAnsi="宋体" w:eastAsia="宋体" w:cs="宋体"/>
          <w:b/>
          <w:bCs/>
          <w:color w:val="auto"/>
          <w:sz w:val="30"/>
          <w:szCs w:val="30"/>
          <w:highlight w:val="none"/>
        </w:rPr>
        <w:t>表</w:t>
      </w:r>
      <w:r>
        <w:rPr>
          <w:rFonts w:hint="eastAsia" w:ascii="宋体" w:hAnsi="宋体" w:eastAsia="宋体" w:cs="宋体"/>
          <w:b/>
          <w:bCs/>
          <w:color w:val="auto"/>
          <w:sz w:val="30"/>
          <w:szCs w:val="30"/>
          <w:highlight w:val="none"/>
          <w:lang w:val="en-US" w:eastAsia="zh-CN"/>
        </w:rPr>
        <w:t xml:space="preserve">2 </w:t>
      </w:r>
      <w:r>
        <w:rPr>
          <w:rFonts w:hint="eastAsia" w:ascii="宋体" w:hAnsi="宋体" w:eastAsia="宋体" w:cs="宋体"/>
          <w:b/>
          <w:bCs/>
          <w:color w:val="auto"/>
          <w:sz w:val="30"/>
          <w:szCs w:val="30"/>
          <w:highlight w:val="none"/>
        </w:rPr>
        <w:t>“十五五”</w:t>
      </w:r>
      <w:r>
        <w:rPr>
          <w:rFonts w:hint="eastAsia" w:ascii="宋体" w:hAnsi="宋体" w:eastAsia="宋体" w:cs="宋体"/>
          <w:b/>
          <w:bCs/>
          <w:color w:val="auto"/>
          <w:sz w:val="30"/>
          <w:szCs w:val="30"/>
          <w:highlight w:val="none"/>
          <w:lang w:val="en-US" w:eastAsia="zh-CN"/>
        </w:rPr>
        <w:t>潜江市</w:t>
      </w:r>
      <w:r>
        <w:rPr>
          <w:rFonts w:hint="eastAsia" w:ascii="宋体" w:hAnsi="宋体" w:eastAsia="宋体" w:cs="宋体"/>
          <w:b/>
          <w:bCs/>
          <w:color w:val="auto"/>
          <w:sz w:val="30"/>
          <w:szCs w:val="30"/>
          <w:highlight w:val="none"/>
          <w:lang w:eastAsia="zh-CN"/>
        </w:rPr>
        <w:t>民政事业主要发展</w:t>
      </w:r>
      <w:r>
        <w:rPr>
          <w:rFonts w:hint="eastAsia" w:ascii="宋体" w:hAnsi="宋体" w:eastAsia="宋体" w:cs="宋体"/>
          <w:b/>
          <w:bCs/>
          <w:color w:val="auto"/>
          <w:sz w:val="30"/>
          <w:szCs w:val="30"/>
          <w:highlight w:val="none"/>
        </w:rPr>
        <w:t>指标</w:t>
      </w:r>
    </w:p>
    <w:tbl>
      <w:tblPr>
        <w:tblStyle w:val="19"/>
        <w:tblW w:w="8719" w:type="dxa"/>
        <w:jc w:val="center"/>
        <w:tblLayout w:type="autofit"/>
        <w:tblCellMar>
          <w:top w:w="0" w:type="dxa"/>
          <w:left w:w="0" w:type="dxa"/>
          <w:bottom w:w="0" w:type="dxa"/>
          <w:right w:w="0" w:type="dxa"/>
        </w:tblCellMar>
      </w:tblPr>
      <w:tblGrid>
        <w:gridCol w:w="1078"/>
        <w:gridCol w:w="5022"/>
        <w:gridCol w:w="1643"/>
        <w:gridCol w:w="976"/>
      </w:tblGrid>
      <w:tr w14:paraId="23E8FCF8">
        <w:tblPrEx>
          <w:tblCellMar>
            <w:top w:w="0" w:type="dxa"/>
            <w:left w:w="0" w:type="dxa"/>
            <w:bottom w:w="0" w:type="dxa"/>
            <w:right w:w="0" w:type="dxa"/>
          </w:tblCellMar>
        </w:tblPrEx>
        <w:trPr>
          <w:trHeight w:val="420" w:hRule="atLeast"/>
          <w:tblHeader/>
          <w:jc w:val="center"/>
        </w:trPr>
        <w:tc>
          <w:tcPr>
            <w:tcW w:w="107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E78274F">
            <w:pPr>
              <w:snapToGrid w:val="0"/>
              <w:spacing w:line="240" w:lineRule="auto"/>
              <w:ind w:left="0" w:leftChars="0" w:right="0" w:rightChars="0" w:firstLine="0" w:firstLineChars="0"/>
              <w:jc w:val="center"/>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领域</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F81C1CD">
            <w:pPr>
              <w:snapToGrid w:val="0"/>
              <w:spacing w:line="240" w:lineRule="auto"/>
              <w:ind w:left="0" w:leftChars="0" w:right="0" w:rightChars="0" w:firstLine="0" w:firstLineChars="0"/>
              <w:jc w:val="center"/>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指标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9741D6B">
            <w:pPr>
              <w:snapToGrid w:val="0"/>
              <w:spacing w:line="240" w:lineRule="auto"/>
              <w:ind w:left="0" w:leftChars="0" w:right="0" w:rightChars="0" w:firstLine="0" w:firstLineChars="0"/>
              <w:jc w:val="center"/>
              <w:textAlignment w:val="bottom"/>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2030年</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706B11E">
            <w:pPr>
              <w:snapToGrid w:val="0"/>
              <w:spacing w:line="240" w:lineRule="auto"/>
              <w:ind w:left="0" w:leftChars="0" w:right="0" w:rightChars="0" w:firstLine="0" w:firstLineChars="0"/>
              <w:jc w:val="center"/>
              <w:textAlignment w:val="bottom"/>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属性</w:t>
            </w:r>
          </w:p>
        </w:tc>
      </w:tr>
      <w:tr w14:paraId="5A07B063">
        <w:tblPrEx>
          <w:tblCellMar>
            <w:top w:w="0" w:type="dxa"/>
            <w:left w:w="0" w:type="dxa"/>
            <w:bottom w:w="0" w:type="dxa"/>
            <w:right w:w="0" w:type="dxa"/>
          </w:tblCellMar>
        </w:tblPrEx>
        <w:trPr>
          <w:trHeight w:val="496" w:hRule="atLeast"/>
          <w:jc w:val="center"/>
        </w:trPr>
        <w:tc>
          <w:tcPr>
            <w:tcW w:w="1078"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9FA5596">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老龄事业</w:t>
            </w:r>
          </w:p>
          <w:p w14:paraId="1EB8C1C6">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和养老服</w:t>
            </w:r>
          </w:p>
          <w:p w14:paraId="38CEE01B">
            <w:pPr>
              <w:snapToGrid w:val="0"/>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务</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659F0A9">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养老机构护理型床位占比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1E94D94">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A0302C7">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06D287A2">
        <w:tblPrEx>
          <w:tblCellMar>
            <w:top w:w="0" w:type="dxa"/>
            <w:left w:w="0" w:type="dxa"/>
            <w:bottom w:w="0" w:type="dxa"/>
            <w:right w:w="0" w:type="dxa"/>
          </w:tblCellMar>
        </w:tblPrEx>
        <w:trPr>
          <w:trHeight w:val="471"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36CC926">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8BE6F91">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养老机构中取得职业技能等级证书的养老护理员占比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CD6B39D">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973CDD6">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3A8B475C">
        <w:tblPrEx>
          <w:tblCellMar>
            <w:top w:w="0" w:type="dxa"/>
            <w:left w:w="0" w:type="dxa"/>
            <w:bottom w:w="0" w:type="dxa"/>
            <w:right w:w="0" w:type="dxa"/>
          </w:tblCellMar>
        </w:tblPrEx>
        <w:trPr>
          <w:trHeight w:val="492"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EC009F1">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right w:val="single" w:color="auto" w:sz="4" w:space="0"/>
            </w:tcBorders>
            <w:tcMar>
              <w:top w:w="10" w:type="dxa"/>
              <w:left w:w="10" w:type="dxa"/>
              <w:right w:w="10" w:type="dxa"/>
            </w:tcMar>
            <w:vAlign w:val="center"/>
          </w:tcPr>
          <w:p w14:paraId="184D010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社区养老服务设施覆盖率</w:t>
            </w:r>
          </w:p>
        </w:tc>
        <w:tc>
          <w:tcPr>
            <w:tcW w:w="1643" w:type="dxa"/>
            <w:tcBorders>
              <w:top w:val="single" w:color="auto" w:sz="4" w:space="0"/>
              <w:left w:val="single" w:color="auto" w:sz="4" w:space="0"/>
              <w:right w:val="single" w:color="auto" w:sz="4" w:space="0"/>
            </w:tcBorders>
            <w:tcMar>
              <w:top w:w="10" w:type="dxa"/>
              <w:left w:w="10" w:type="dxa"/>
              <w:right w:w="10" w:type="dxa"/>
            </w:tcMar>
            <w:vAlign w:val="center"/>
          </w:tcPr>
          <w:p w14:paraId="35F0DECD">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155F28C">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预期性</w:t>
            </w:r>
          </w:p>
        </w:tc>
      </w:tr>
      <w:tr w14:paraId="2E51EEAE">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E127097">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DDFD572">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特殊困难老年人月探访关爱服务率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BFC1D74">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A951C98">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2AE867AF">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FC6370B">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D8E337A">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新建小区配套建设养老服务设施达标率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8D81AF9">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BEEB3FA">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774E6107">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4D0B3F8">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5011B0F">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中心城区社区食堂覆盖率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F636ECB">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AAAC1F7">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55919401">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082937">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BD9ABB">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社区老年人活动场地覆盖率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455E68">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414E332">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560C1E96">
        <w:tblPrEx>
          <w:tblCellMar>
            <w:top w:w="0" w:type="dxa"/>
            <w:left w:w="0" w:type="dxa"/>
            <w:bottom w:w="0" w:type="dxa"/>
            <w:right w:w="0" w:type="dxa"/>
          </w:tblCellMar>
        </w:tblPrEx>
        <w:trPr>
          <w:trHeight w:val="560"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F4111B0">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6111BCC">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街道养老服务综合体覆盖率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9ADA511">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F6A5A76">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2AC46FBE">
        <w:tblPrEx>
          <w:tblCellMar>
            <w:top w:w="0" w:type="dxa"/>
            <w:left w:w="0" w:type="dxa"/>
            <w:bottom w:w="0" w:type="dxa"/>
            <w:right w:w="0" w:type="dxa"/>
          </w:tblCellMar>
        </w:tblPrEx>
        <w:trPr>
          <w:trHeight w:val="603"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A1D879B">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right w:val="single" w:color="auto" w:sz="4" w:space="0"/>
            </w:tcBorders>
            <w:tcMar>
              <w:top w:w="10" w:type="dxa"/>
              <w:left w:w="10" w:type="dxa"/>
              <w:right w:w="10" w:type="dxa"/>
            </w:tcMar>
            <w:vAlign w:val="center"/>
          </w:tcPr>
          <w:p w14:paraId="2C1B46BD">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镇（管理区）养老服务综合体覆盖率</w:t>
            </w:r>
          </w:p>
        </w:tc>
        <w:tc>
          <w:tcPr>
            <w:tcW w:w="1643" w:type="dxa"/>
            <w:tcBorders>
              <w:top w:val="single" w:color="auto" w:sz="4" w:space="0"/>
              <w:left w:val="single" w:color="auto" w:sz="4" w:space="0"/>
              <w:right w:val="single" w:color="auto" w:sz="4" w:space="0"/>
            </w:tcBorders>
            <w:tcMar>
              <w:top w:w="10" w:type="dxa"/>
              <w:left w:w="10" w:type="dxa"/>
              <w:right w:w="10" w:type="dxa"/>
            </w:tcMar>
            <w:vAlign w:val="center"/>
          </w:tcPr>
          <w:p w14:paraId="6A85877D">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F32D245">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70DEA471">
        <w:tblPrEx>
          <w:tblCellMar>
            <w:top w:w="0" w:type="dxa"/>
            <w:left w:w="0" w:type="dxa"/>
            <w:bottom w:w="0" w:type="dxa"/>
            <w:right w:w="0" w:type="dxa"/>
          </w:tblCellMar>
        </w:tblPrEx>
        <w:trPr>
          <w:trHeight w:val="560" w:hRule="atLeast"/>
          <w:jc w:val="center"/>
        </w:trPr>
        <w:tc>
          <w:tcPr>
            <w:tcW w:w="1078"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9088F53">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w:t>
            </w:r>
          </w:p>
          <w:p w14:paraId="03AF2DD1">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救助</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AEC956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社会救助动态监测信息平台动态监测率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50B48E9">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7%</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9E406AD">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预期性</w:t>
            </w:r>
          </w:p>
        </w:tc>
      </w:tr>
      <w:tr w14:paraId="7B3FA732">
        <w:tblPrEx>
          <w:tblCellMar>
            <w:top w:w="0" w:type="dxa"/>
            <w:left w:w="0" w:type="dxa"/>
            <w:bottom w:w="0" w:type="dxa"/>
            <w:right w:w="0" w:type="dxa"/>
          </w:tblCellMar>
        </w:tblPrEx>
        <w:trPr>
          <w:trHeight w:val="799"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3B2CE85">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E0A036">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低保标准占人均消费支出量化区间</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3038449">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城市30%-38%</w:t>
            </w:r>
          </w:p>
          <w:p w14:paraId="322260B5">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农村35%-50%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0F67F92">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预期性</w:t>
            </w:r>
          </w:p>
        </w:tc>
      </w:tr>
      <w:tr w14:paraId="65AA56AA">
        <w:tblPrEx>
          <w:tblCellMar>
            <w:top w:w="0" w:type="dxa"/>
            <w:left w:w="0" w:type="dxa"/>
            <w:bottom w:w="0" w:type="dxa"/>
            <w:right w:w="0" w:type="dxa"/>
          </w:tblCellMar>
        </w:tblPrEx>
        <w:trPr>
          <w:trHeight w:val="560" w:hRule="atLeast"/>
          <w:jc w:val="center"/>
        </w:trPr>
        <w:tc>
          <w:tcPr>
            <w:tcW w:w="1078" w:type="dxa"/>
            <w:vMerge w:val="restart"/>
            <w:tcBorders>
              <w:top w:val="single" w:color="auto" w:sz="4" w:space="0"/>
              <w:left w:val="single" w:color="auto" w:sz="4" w:space="0"/>
              <w:right w:val="single" w:color="auto" w:sz="4" w:space="0"/>
            </w:tcBorders>
            <w:tcMar>
              <w:top w:w="10" w:type="dxa"/>
              <w:left w:w="10" w:type="dxa"/>
              <w:right w:w="10" w:type="dxa"/>
            </w:tcMar>
            <w:vAlign w:val="center"/>
          </w:tcPr>
          <w:p w14:paraId="70DBB3E5">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w:t>
            </w:r>
          </w:p>
          <w:p w14:paraId="0F41FC94">
            <w:pPr>
              <w:snapToGrid w:val="0"/>
              <w:spacing w:line="24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福利</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D303CA9">
            <w:pPr>
              <w:snapToGrid w:val="0"/>
              <w:spacing w:line="240" w:lineRule="auto"/>
              <w:ind w:left="0" w:leftChars="0" w:right="0" w:rightChars="0"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精神障碍社区康复服务区县覆盖率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CBE335">
            <w:pPr>
              <w:snapToGrid w:val="0"/>
              <w:spacing w:line="240" w:lineRule="auto"/>
              <w:ind w:left="0" w:leftChars="0" w:right="0" w:rightChars="0" w:firstLine="0" w:firstLineChars="0"/>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38C66F1">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76C34734">
        <w:tblPrEx>
          <w:tblCellMar>
            <w:top w:w="0" w:type="dxa"/>
            <w:left w:w="0" w:type="dxa"/>
            <w:bottom w:w="0" w:type="dxa"/>
            <w:right w:w="0" w:type="dxa"/>
          </w:tblCellMar>
        </w:tblPrEx>
        <w:trPr>
          <w:trHeight w:val="595" w:hRule="atLeast"/>
          <w:jc w:val="center"/>
        </w:trPr>
        <w:tc>
          <w:tcPr>
            <w:tcW w:w="1078" w:type="dxa"/>
            <w:vMerge w:val="continue"/>
            <w:tcBorders>
              <w:left w:val="single" w:color="auto" w:sz="4" w:space="0"/>
              <w:right w:val="single" w:color="auto" w:sz="4" w:space="0"/>
            </w:tcBorders>
            <w:tcMar>
              <w:top w:w="10" w:type="dxa"/>
              <w:left w:w="10" w:type="dxa"/>
              <w:right w:w="10" w:type="dxa"/>
            </w:tcMar>
            <w:vAlign w:val="center"/>
          </w:tcPr>
          <w:p w14:paraId="18C72AB8">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65EFC2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残疾人两项补贴覆盖率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BF588D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3DC516F">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6FACCFF5">
        <w:tblPrEx>
          <w:tblCellMar>
            <w:top w:w="0" w:type="dxa"/>
            <w:left w:w="0" w:type="dxa"/>
            <w:bottom w:w="0" w:type="dxa"/>
            <w:right w:w="0" w:type="dxa"/>
          </w:tblCellMar>
        </w:tblPrEx>
        <w:trPr>
          <w:trHeight w:val="603" w:hRule="atLeast"/>
          <w:jc w:val="center"/>
        </w:trPr>
        <w:tc>
          <w:tcPr>
            <w:tcW w:w="1078" w:type="dxa"/>
            <w:vMerge w:val="continue"/>
            <w:tcBorders>
              <w:left w:val="single" w:color="auto" w:sz="4" w:space="0"/>
              <w:right w:val="single" w:color="auto" w:sz="4" w:space="0"/>
            </w:tcBorders>
            <w:tcMar>
              <w:top w:w="10" w:type="dxa"/>
              <w:left w:w="10" w:type="dxa"/>
              <w:right w:w="10" w:type="dxa"/>
            </w:tcMar>
            <w:vAlign w:val="center"/>
          </w:tcPr>
          <w:p w14:paraId="1D641DCD">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6E359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孤儿、事实无人抚养儿童基本生活保障覆盖率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6AD0C8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544DBB5">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58F1F930">
        <w:tblPrEx>
          <w:tblCellMar>
            <w:top w:w="0" w:type="dxa"/>
            <w:left w:w="0" w:type="dxa"/>
            <w:bottom w:w="0" w:type="dxa"/>
            <w:right w:w="0" w:type="dxa"/>
          </w:tblCellMar>
        </w:tblPrEx>
        <w:trPr>
          <w:trHeight w:val="532" w:hRule="atLeast"/>
          <w:jc w:val="center"/>
        </w:trPr>
        <w:tc>
          <w:tcPr>
            <w:tcW w:w="1078" w:type="dxa"/>
            <w:vMerge w:val="continue"/>
            <w:tcBorders>
              <w:left w:val="single" w:color="auto" w:sz="4" w:space="0"/>
              <w:right w:val="single" w:color="auto" w:sz="4" w:space="0"/>
            </w:tcBorders>
            <w:tcMar>
              <w:top w:w="10" w:type="dxa"/>
              <w:left w:w="10" w:type="dxa"/>
              <w:right w:w="10" w:type="dxa"/>
            </w:tcMar>
            <w:vAlign w:val="center"/>
          </w:tcPr>
          <w:p w14:paraId="3673D55F">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86969B7">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儿童督导员和儿童主任培训覆盖率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5F983A8">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621558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14A93001">
        <w:tblPrEx>
          <w:tblCellMar>
            <w:top w:w="0" w:type="dxa"/>
            <w:left w:w="0" w:type="dxa"/>
            <w:bottom w:w="0" w:type="dxa"/>
            <w:right w:w="0" w:type="dxa"/>
          </w:tblCellMar>
        </w:tblPrEx>
        <w:trPr>
          <w:trHeight w:val="532" w:hRule="atLeast"/>
          <w:jc w:val="center"/>
        </w:trPr>
        <w:tc>
          <w:tcPr>
            <w:tcW w:w="1078"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14:paraId="070E0E65">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F34F7A6">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儿童福利机构“开门办院”率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F9C61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BB2578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2748708B">
        <w:tblPrEx>
          <w:tblCellMar>
            <w:top w:w="0" w:type="dxa"/>
            <w:left w:w="0" w:type="dxa"/>
            <w:bottom w:w="0" w:type="dxa"/>
            <w:right w:w="0" w:type="dxa"/>
          </w:tblCellMar>
        </w:tblPrEx>
        <w:trPr>
          <w:trHeight w:val="569" w:hRule="atLeast"/>
          <w:jc w:val="center"/>
        </w:trPr>
        <w:tc>
          <w:tcPr>
            <w:tcW w:w="1078"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D00CB7">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社会事务</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039E6B3">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基本殡葬服务覆盖率</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45E1D69">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E74AB40">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约束性</w:t>
            </w:r>
          </w:p>
        </w:tc>
      </w:tr>
      <w:tr w14:paraId="63BB3B46">
        <w:tblPrEx>
          <w:tblCellMar>
            <w:top w:w="0" w:type="dxa"/>
            <w:left w:w="0" w:type="dxa"/>
            <w:bottom w:w="0" w:type="dxa"/>
            <w:right w:w="0" w:type="dxa"/>
          </w:tblCellMar>
        </w:tblPrEx>
        <w:trPr>
          <w:trHeight w:val="522" w:hRule="atLeast"/>
          <w:jc w:val="center"/>
        </w:trPr>
        <w:tc>
          <w:tcPr>
            <w:tcW w:w="1078"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979076C">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right w:val="single" w:color="auto" w:sz="4" w:space="0"/>
            </w:tcBorders>
            <w:tcMar>
              <w:top w:w="10" w:type="dxa"/>
              <w:left w:w="10" w:type="dxa"/>
              <w:right w:w="10" w:type="dxa"/>
            </w:tcMar>
            <w:vAlign w:val="center"/>
          </w:tcPr>
          <w:p w14:paraId="20F660D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节地生态安葬率</w:t>
            </w:r>
          </w:p>
        </w:tc>
        <w:tc>
          <w:tcPr>
            <w:tcW w:w="1643" w:type="dxa"/>
            <w:tcBorders>
              <w:top w:val="single" w:color="auto" w:sz="4" w:space="0"/>
              <w:left w:val="single" w:color="auto" w:sz="4" w:space="0"/>
              <w:right w:val="single" w:color="auto" w:sz="4" w:space="0"/>
            </w:tcBorders>
            <w:tcMar>
              <w:top w:w="10" w:type="dxa"/>
              <w:left w:w="10" w:type="dxa"/>
              <w:right w:w="10" w:type="dxa"/>
            </w:tcMar>
            <w:vAlign w:val="center"/>
          </w:tcPr>
          <w:p w14:paraId="6866C75B">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70%-80%</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C6EBF6A">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6016944B">
        <w:tblPrEx>
          <w:tblCellMar>
            <w:top w:w="0" w:type="dxa"/>
            <w:left w:w="0" w:type="dxa"/>
            <w:bottom w:w="0" w:type="dxa"/>
            <w:right w:w="0" w:type="dxa"/>
          </w:tblCellMar>
        </w:tblPrEx>
        <w:trPr>
          <w:trHeight w:val="544" w:hRule="atLeast"/>
          <w:jc w:val="center"/>
        </w:trPr>
        <w:tc>
          <w:tcPr>
            <w:tcW w:w="1078" w:type="dxa"/>
            <w:vMerge w:val="restart"/>
            <w:tcBorders>
              <w:top w:val="single" w:color="auto" w:sz="4" w:space="0"/>
              <w:left w:val="single" w:color="auto" w:sz="4" w:space="0"/>
              <w:right w:val="single" w:color="auto" w:sz="4" w:space="0"/>
            </w:tcBorders>
            <w:tcMar>
              <w:top w:w="10" w:type="dxa"/>
              <w:left w:w="10" w:type="dxa"/>
              <w:right w:w="10" w:type="dxa"/>
            </w:tcMar>
            <w:vAlign w:val="center"/>
          </w:tcPr>
          <w:p w14:paraId="0255393E">
            <w:pPr>
              <w:snapToGrid w:val="0"/>
              <w:spacing w:line="240" w:lineRule="auto"/>
              <w:ind w:left="0" w:leftChars="0" w:right="0" w:rightChars="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社会治理</w:t>
            </w: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9BCDC0">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3A级以上社会组织占比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5897D7E">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25%</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42D5C41">
            <w:pPr>
              <w:snapToGrid w:val="0"/>
              <w:spacing w:line="240" w:lineRule="auto"/>
              <w:ind w:left="0" w:leftChars="0" w:right="0" w:rightChars="0" w:firstLine="0" w:firstLineChars="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r w14:paraId="630C32CB">
        <w:tblPrEx>
          <w:tblCellMar>
            <w:top w:w="0" w:type="dxa"/>
            <w:left w:w="0" w:type="dxa"/>
            <w:bottom w:w="0" w:type="dxa"/>
            <w:right w:w="0" w:type="dxa"/>
          </w:tblCellMar>
        </w:tblPrEx>
        <w:trPr>
          <w:trHeight w:val="669" w:hRule="atLeast"/>
          <w:jc w:val="center"/>
        </w:trPr>
        <w:tc>
          <w:tcPr>
            <w:tcW w:w="1078"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14:paraId="040AD418">
            <w:pPr>
              <w:snapToGrid w:val="0"/>
              <w:spacing w:line="240" w:lineRule="auto"/>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50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D8B74FB">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法人治理结构健全、无不良信用信息记录的社会组织占比</w:t>
            </w:r>
          </w:p>
        </w:tc>
        <w:tc>
          <w:tcPr>
            <w:tcW w:w="164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0BC1295">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85%</w:t>
            </w:r>
          </w:p>
        </w:tc>
        <w:tc>
          <w:tcPr>
            <w:tcW w:w="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32F8C4A">
            <w:pPr>
              <w:snapToGrid w:val="0"/>
              <w:spacing w:line="240" w:lineRule="auto"/>
              <w:ind w:left="0" w:leftChars="0" w:right="0" w:rightChars="0" w:firstLine="0" w:firstLineChars="0"/>
              <w:jc w:val="center"/>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预期性</w:t>
            </w:r>
          </w:p>
        </w:tc>
      </w:tr>
    </w:tbl>
    <w:p w14:paraId="225B7159">
      <w:pPr>
        <w:rPr>
          <w:rFonts w:hint="eastAsia" w:ascii="黑体" w:hAnsi="黑体" w:eastAsia="黑体"/>
          <w:b w:val="0"/>
          <w:bCs w:val="0"/>
          <w:color w:val="auto"/>
          <w:sz w:val="32"/>
          <w:szCs w:val="32"/>
          <w:highlight w:val="none"/>
          <w:lang w:val="en-US" w:eastAsia="zh-CN"/>
        </w:rPr>
      </w:pPr>
    </w:p>
    <w:p w14:paraId="31C35C88">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2337E3A4">
      <w:pPr>
        <w:snapToGrid w:val="0"/>
        <w:spacing w:before="156" w:beforeLines="50" w:line="360" w:lineRule="auto"/>
        <w:ind w:firstLine="320" w:firstLineChars="100"/>
        <w:jc w:val="center"/>
        <w:outlineLvl w:val="0"/>
        <w:rPr>
          <w:rFonts w:ascii="黑体" w:hAnsi="黑体" w:eastAsia="黑体"/>
          <w:color w:val="auto"/>
          <w:sz w:val="32"/>
          <w:szCs w:val="32"/>
          <w:highlight w:val="none"/>
        </w:rPr>
      </w:pPr>
      <w:bookmarkStart w:id="28" w:name="_Toc5772"/>
      <w:r>
        <w:rPr>
          <w:rFonts w:hint="eastAsia" w:ascii="黑体" w:hAnsi="黑体" w:eastAsia="黑体"/>
          <w:color w:val="auto"/>
          <w:sz w:val="32"/>
          <w:szCs w:val="32"/>
          <w:highlight w:val="none"/>
        </w:rPr>
        <w:t xml:space="preserve">第三章  </w:t>
      </w:r>
      <w:r>
        <w:rPr>
          <w:rFonts w:hint="eastAsia" w:ascii="黑体" w:hAnsi="黑体" w:eastAsia="黑体"/>
          <w:color w:val="auto"/>
          <w:sz w:val="32"/>
          <w:szCs w:val="32"/>
          <w:highlight w:val="none"/>
          <w:lang w:val="en-US" w:eastAsia="zh-CN"/>
        </w:rPr>
        <w:t>主要</w:t>
      </w:r>
      <w:r>
        <w:rPr>
          <w:rFonts w:hint="eastAsia" w:ascii="黑体" w:hAnsi="黑体" w:eastAsia="黑体"/>
          <w:color w:val="auto"/>
          <w:sz w:val="32"/>
          <w:szCs w:val="32"/>
          <w:highlight w:val="none"/>
        </w:rPr>
        <w:t>任务</w:t>
      </w:r>
      <w:bookmarkEnd w:id="27"/>
      <w:bookmarkEnd w:id="28"/>
    </w:p>
    <w:p w14:paraId="1C8C5CBB">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640" w:firstLineChars="200"/>
        <w:textAlignment w:val="auto"/>
        <w:outlineLvl w:val="1"/>
        <w:rPr>
          <w:rFonts w:hint="eastAsia" w:ascii="黑体" w:hAnsi="黑体" w:eastAsia="黑体" w:cs="黑体"/>
          <w:color w:val="auto"/>
          <w:sz w:val="32"/>
          <w:szCs w:val="32"/>
          <w:highlight w:val="none"/>
          <w:lang w:eastAsia="zh-CN"/>
        </w:rPr>
      </w:pPr>
      <w:bookmarkStart w:id="29" w:name="_Toc2179"/>
      <w:bookmarkStart w:id="30" w:name="_Toc15376"/>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积极应对人口老龄化，</w:t>
      </w:r>
      <w:r>
        <w:rPr>
          <w:rFonts w:hint="eastAsia" w:ascii="黑体" w:hAnsi="黑体" w:eastAsia="黑体" w:cs="黑体"/>
          <w:color w:val="auto"/>
          <w:sz w:val="32"/>
          <w:szCs w:val="32"/>
          <w:highlight w:val="none"/>
        </w:rPr>
        <w:t>构建普惠多元老年服务体系</w:t>
      </w:r>
      <w:bookmarkEnd w:id="29"/>
      <w:bookmarkEnd w:id="30"/>
    </w:p>
    <w:p w14:paraId="67C2FA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ascii="华文中宋" w:hAnsi="华文中宋" w:eastAsia="华文中宋" w:cs="华文中宋"/>
          <w:b w:val="0"/>
          <w:bCs w:val="0"/>
          <w:color w:val="auto"/>
          <w:sz w:val="32"/>
          <w:szCs w:val="32"/>
          <w:highlight w:val="none"/>
        </w:rPr>
      </w:pPr>
      <w:bookmarkStart w:id="31" w:name="_Toc23211"/>
      <w:bookmarkStart w:id="32" w:name="_Toc875"/>
      <w:r>
        <w:rPr>
          <w:rFonts w:hint="eastAsia" w:ascii="华文中宋" w:hAnsi="华文中宋" w:eastAsia="华文中宋" w:cs="华文中宋"/>
          <w:b w:val="0"/>
          <w:bCs w:val="0"/>
          <w:color w:val="auto"/>
          <w:sz w:val="32"/>
          <w:szCs w:val="32"/>
          <w:highlight w:val="none"/>
        </w:rPr>
        <w:t>（一）打造共建共治共享的老年友好型社会</w:t>
      </w:r>
      <w:bookmarkEnd w:id="31"/>
    </w:p>
    <w:p w14:paraId="7CF717D2">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宋体" w:hAnsi="宋体" w:eastAsia="仿宋_GB2312" w:cs="仿宋_GB2312"/>
          <w:b w:val="0"/>
          <w:bCs w:val="0"/>
          <w:color w:val="auto"/>
          <w:kern w:val="2"/>
          <w:sz w:val="32"/>
          <w:szCs w:val="32"/>
          <w:highlight w:val="none"/>
          <w:lang w:val="en-US" w:eastAsia="zh-CN" w:bidi="ar-SA"/>
        </w:rPr>
      </w:pPr>
      <w:r>
        <w:rPr>
          <w:rFonts w:hint="eastAsia" w:ascii="华文楷体" w:hAnsi="华文楷体" w:eastAsia="华文楷体" w:cs="华文楷体"/>
          <w:b/>
          <w:bCs/>
          <w:color w:val="auto"/>
          <w:sz w:val="32"/>
          <w:szCs w:val="32"/>
          <w:highlight w:val="none"/>
          <w:lang w:val="en-US" w:eastAsia="zh-CN"/>
        </w:rPr>
        <w:t>推进老年友好型社会建设。</w:t>
      </w:r>
      <w:r>
        <w:rPr>
          <w:rFonts w:hint="default" w:eastAsia="仿宋_GB2312" w:cs="仿宋_GB2312" w:asciiTheme="minorEastAsia" w:hAnsiTheme="minorEastAsia"/>
          <w:color w:val="auto"/>
          <w:kern w:val="2"/>
          <w:sz w:val="32"/>
          <w:szCs w:val="32"/>
          <w:highlight w:val="none"/>
          <w:lang w:val="en-US" w:eastAsia="zh-CN" w:bidi="ar-SA"/>
        </w:rPr>
        <w:t>积极推进老年友好型城市、老年友好型社区改造提质，利用闲置空间补充老年教育、文化体育、休闲娱乐等设施，将无障碍环境建设和适老化改造纳入城市更新、城镇老旧小区改造、完整社区建设、农村人居环境整治提升等统筹推进，规划建设适老化无障碍交通设施</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建立健全公共交通、公园绿地、风景名胜区、公共文化设施等面向老年人的优惠减免与</w:t>
      </w:r>
      <w:r>
        <w:rPr>
          <w:rFonts w:hint="eastAsia" w:eastAsia="仿宋_GB2312" w:cs="仿宋_GB2312" w:asciiTheme="minorEastAsia" w:hAnsiTheme="minorEastAsia"/>
          <w:color w:val="auto"/>
          <w:kern w:val="2"/>
          <w:sz w:val="32"/>
          <w:szCs w:val="32"/>
          <w:highlight w:val="none"/>
          <w:lang w:val="en-US" w:eastAsia="zh-CN" w:bidi="ar-SA"/>
        </w:rPr>
        <w:t>优待</w:t>
      </w:r>
      <w:r>
        <w:rPr>
          <w:rFonts w:hint="default" w:eastAsia="仿宋_GB2312" w:cs="仿宋_GB2312" w:asciiTheme="minorEastAsia" w:hAnsiTheme="minorEastAsia"/>
          <w:color w:val="auto"/>
          <w:kern w:val="2"/>
          <w:sz w:val="32"/>
          <w:szCs w:val="32"/>
          <w:highlight w:val="none"/>
          <w:lang w:val="en-US" w:eastAsia="zh-CN" w:bidi="ar-SA"/>
        </w:rPr>
        <w:t>服务制度，为老年人社会参与创造便利条件</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深入开展人口老龄化国情教育，引导全社会树立积极老龄观</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充分发挥新闻媒介作用，持续弘扬尊老、爱老、孝老的传统美德，厚植老龄社会共识。利用重阳节、中秋节、春节等传统节日，广泛开展形式多样的敬老孝老主题活动，营造尊重、包容、优</w:t>
      </w:r>
      <w:r>
        <w:rPr>
          <w:rFonts w:hint="eastAsia" w:eastAsia="仿宋_GB2312" w:cs="仿宋_GB2312" w:asciiTheme="minorEastAsia" w:hAnsiTheme="minorEastAsia"/>
          <w:color w:val="auto"/>
          <w:kern w:val="2"/>
          <w:sz w:val="32"/>
          <w:szCs w:val="32"/>
          <w:highlight w:val="none"/>
          <w:lang w:val="en-US" w:eastAsia="zh-CN" w:bidi="ar-SA"/>
        </w:rPr>
        <w:t>待</w:t>
      </w:r>
      <w:r>
        <w:rPr>
          <w:rFonts w:hint="default" w:eastAsia="仿宋_GB2312" w:cs="仿宋_GB2312" w:asciiTheme="minorEastAsia" w:hAnsiTheme="minorEastAsia"/>
          <w:color w:val="auto"/>
          <w:kern w:val="2"/>
          <w:sz w:val="32"/>
          <w:szCs w:val="32"/>
          <w:highlight w:val="none"/>
          <w:lang w:val="en-US" w:eastAsia="zh-CN" w:bidi="ar-SA"/>
        </w:rPr>
        <w:t>老年人的社会氛围</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持续开展“智慧助老”行动，对民生领域涉老高频服务事项，保留传统服务方式或采取简便易用的适老服务方式，建立健全为老志愿服务项目库，引导为老志愿服务与老年人生活服务、健康服务、精神慰藉、法律援助等需求有效对接</w:t>
      </w:r>
      <w:r>
        <w:rPr>
          <w:rFonts w:hint="eastAsia" w:eastAsia="仿宋_GB2312" w:cs="仿宋_GB2312" w:asciiTheme="minorEastAsia" w:hAnsiTheme="minorEastAsia"/>
          <w:color w:val="auto"/>
          <w:kern w:val="2"/>
          <w:sz w:val="32"/>
          <w:szCs w:val="32"/>
          <w:highlight w:val="none"/>
          <w:lang w:val="en-US" w:eastAsia="zh-CN" w:bidi="ar-SA"/>
        </w:rPr>
        <w:t>。</w:t>
      </w:r>
    </w:p>
    <w:p w14:paraId="67CB8957">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宋体" w:hAnsi="宋体" w:eastAsia="仿宋_GB2312" w:cs="仿宋_GB2312"/>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扩大老年人社会参与。</w:t>
      </w:r>
      <w:r>
        <w:rPr>
          <w:rFonts w:hint="default" w:eastAsia="仿宋_GB2312" w:cs="仿宋_GB2312" w:asciiTheme="minorEastAsia" w:hAnsiTheme="minorEastAsia"/>
          <w:color w:val="auto"/>
          <w:kern w:val="2"/>
          <w:sz w:val="32"/>
          <w:szCs w:val="32"/>
          <w:highlight w:val="none"/>
          <w:lang w:val="en-US" w:eastAsia="zh-CN" w:bidi="ar-SA"/>
        </w:rPr>
        <w:t>积极宣传老年人社会参与在提升社会整体福祉、促进社会和谐等方面的积极作用，增强全社会对老年人社会参与的认知度、认同感和参与意愿，营造支持老年群体发挥作用的良好氛围。搭建统一的老年人社会参与宣传、服务和管理平台，广泛开展“银龄行动”，积极引导老年人以志愿服务等形式，参与文明实践、乡村振兴、社区治理、公益慈善、科教文卫、移风易俗、民事调解等各类活动，</w:t>
      </w:r>
      <w:r>
        <w:rPr>
          <w:rFonts w:hint="eastAsia" w:eastAsia="仿宋_GB2312" w:cs="仿宋_GB2312" w:asciiTheme="minorEastAsia" w:hAnsiTheme="minorEastAsia"/>
          <w:color w:val="auto"/>
          <w:kern w:val="2"/>
          <w:sz w:val="32"/>
          <w:szCs w:val="32"/>
          <w:highlight w:val="none"/>
          <w:lang w:val="en-US" w:eastAsia="zh-CN" w:bidi="ar-SA"/>
        </w:rPr>
        <w:t>加强对老年志愿服务典型的选树与宣传推广</w:t>
      </w:r>
      <w:r>
        <w:rPr>
          <w:rFonts w:hint="default" w:eastAsia="仿宋_GB2312" w:cs="仿宋_GB2312" w:asciiTheme="minorEastAsia" w:hAnsiTheme="minorEastAsia"/>
          <w:color w:val="auto"/>
          <w:kern w:val="2"/>
          <w:sz w:val="32"/>
          <w:szCs w:val="32"/>
          <w:highlight w:val="none"/>
          <w:lang w:val="en-US" w:eastAsia="zh-CN" w:bidi="ar-SA"/>
        </w:rPr>
        <w:t>。推动完善老年人参与灵活就业、志愿服务、终身教育、文化娱乐等方面的配套政策法规，加强政策引导与激励。完善支持老年人就业创业的具体措施，切实维护其合法权益。</w:t>
      </w:r>
      <w:r>
        <w:rPr>
          <w:rFonts w:hint="eastAsia" w:eastAsia="仿宋_GB2312" w:cs="仿宋_GB2312" w:asciiTheme="minorEastAsia" w:hAnsiTheme="minorEastAsia"/>
          <w:color w:val="auto"/>
          <w:kern w:val="2"/>
          <w:sz w:val="32"/>
          <w:szCs w:val="32"/>
          <w:highlight w:val="none"/>
          <w:lang w:val="en-US" w:eastAsia="zh-CN" w:bidi="ar-SA"/>
        </w:rPr>
        <w:t>扩大老年人文化参与，鼓励举办老年人才艺大赛、“银龄春晚”等文化展示活动，培育老年文化品牌。支持和鼓励各类社会力量举办或参与发展普惠性老年教育，因地制宜开展适合老年人的教学活动。促进老年人体育健身，引导村（社区）普遍建立老年人健身站点和健身团队，积极开展贴近城乡居民健身需求的体育活动。</w:t>
      </w:r>
    </w:p>
    <w:p w14:paraId="7656731B">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643" w:firstLineChars="200"/>
        <w:textAlignment w:val="auto"/>
        <w:outlineLvl w:val="9"/>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完善老龄社会治理机制。</w:t>
      </w:r>
      <w:r>
        <w:rPr>
          <w:rFonts w:hint="eastAsia" w:eastAsia="仿宋_GB2312" w:cs="仿宋_GB2312" w:asciiTheme="minorEastAsia" w:hAnsiTheme="minorEastAsia"/>
          <w:color w:val="auto"/>
          <w:kern w:val="2"/>
          <w:sz w:val="32"/>
          <w:szCs w:val="32"/>
          <w:highlight w:val="none"/>
          <w:lang w:val="en-US" w:eastAsia="zh-CN" w:bidi="ar-SA"/>
        </w:rPr>
        <w:t>大力培育发展基层老年协会，发挥老年人自我管理、自我教育、自我服务、服务社会的作用，加强协会自身规范化建设及与村（居）委员会、社会组织、志愿服务队伍协同联动，通过政府购买服务等方式，引导基层老年协会牵头开展“银龄互助”，组织文化体育、科技教育等活动。鼓励探索代际互助养老服务模式，打造“全龄友好”的服务型社区。持续开展老年人口状况、老龄事业发展统计调查和老龄事业发展综合评估工作。依法严厉打击侵害老年人权益的违法犯罪行为，落实老年人优待政策，维护老年人合法权益。畅通和规范老年人诉求表达、心理干预机制，完善正确处理新形势下老年群体间、代际间矛盾调解机制。建立涉老侵权协同联动机制，强化涉老侵权处置专业力量。推动法律助老护老，倡导</w:t>
      </w:r>
      <w:r>
        <w:rPr>
          <w:rFonts w:hint="default" w:eastAsia="仿宋_GB2312" w:cs="仿宋_GB2312" w:asciiTheme="minorEastAsia" w:hAnsiTheme="minorEastAsia"/>
          <w:color w:val="auto"/>
          <w:kern w:val="2"/>
          <w:sz w:val="32"/>
          <w:szCs w:val="32"/>
          <w:highlight w:val="none"/>
          <w:lang w:val="en-US" w:eastAsia="zh-CN" w:bidi="ar-SA"/>
        </w:rPr>
        <w:t>律师事务所、公证机构、基层法律服务机构为老年人</w:t>
      </w:r>
      <w:r>
        <w:rPr>
          <w:rFonts w:hint="eastAsia" w:eastAsia="仿宋_GB2312" w:cs="仿宋_GB2312" w:asciiTheme="minorEastAsia" w:hAnsiTheme="minorEastAsia"/>
          <w:color w:val="auto"/>
          <w:kern w:val="2"/>
          <w:sz w:val="32"/>
          <w:szCs w:val="32"/>
          <w:highlight w:val="none"/>
          <w:lang w:val="en-US" w:eastAsia="zh-CN" w:bidi="ar-SA"/>
        </w:rPr>
        <w:t>开通绿色通道，减免法律服务费用，为行动不便的老年人提供上门服务。</w:t>
      </w:r>
    </w:p>
    <w:bookmarkEnd w:id="32"/>
    <w:p w14:paraId="5C7A9DDD">
      <w:pPr>
        <w:pStyle w:val="7"/>
        <w:spacing w:before="156" w:beforeLines="50" w:after="0" w:line="360" w:lineRule="auto"/>
        <w:ind w:firstLine="640" w:firstLineChars="200"/>
        <w:outlineLvl w:val="2"/>
        <w:rPr>
          <w:rFonts w:hint="eastAsia" w:ascii="华文中宋" w:hAnsi="华文中宋" w:eastAsia="华文中宋" w:cs="华文中宋"/>
          <w:color w:val="auto"/>
          <w:kern w:val="2"/>
          <w:sz w:val="32"/>
          <w:szCs w:val="32"/>
          <w:highlight w:val="none"/>
          <w:lang w:val="en-US" w:eastAsia="zh-CN" w:bidi="ar-SA"/>
        </w:rPr>
      </w:pPr>
      <w:bookmarkStart w:id="33" w:name="_Toc16336"/>
      <w:bookmarkStart w:id="34" w:name="_Toc3358"/>
      <w:r>
        <w:rPr>
          <w:rFonts w:hint="eastAsia" w:ascii="华文中宋" w:hAnsi="华文中宋" w:eastAsia="华文中宋" w:cs="华文中宋"/>
          <w:color w:val="auto"/>
          <w:kern w:val="2"/>
          <w:sz w:val="32"/>
          <w:szCs w:val="32"/>
          <w:highlight w:val="none"/>
          <w:lang w:val="en-US" w:eastAsia="zh-CN" w:bidi="ar-SA"/>
        </w:rPr>
        <w:t>（二）健全三级养老服务网络</w:t>
      </w:r>
      <w:bookmarkEnd w:id="33"/>
      <w:bookmarkEnd w:id="34"/>
    </w:p>
    <w:p w14:paraId="109A5E16">
      <w:pPr>
        <w:pStyle w:val="7"/>
        <w:spacing w:before="156" w:beforeLines="50" w:after="0" w:line="360" w:lineRule="auto"/>
        <w:ind w:firstLine="643" w:firstLineChars="200"/>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建设市级综合养老服务管理平台。</w:t>
      </w:r>
      <w:r>
        <w:rPr>
          <w:rFonts w:hint="eastAsia" w:eastAsia="仿宋_GB2312" w:cs="仿宋_GB2312" w:asciiTheme="minorEastAsia" w:hAnsiTheme="minorEastAsia"/>
          <w:color w:val="auto"/>
          <w:kern w:val="2"/>
          <w:sz w:val="32"/>
          <w:szCs w:val="32"/>
          <w:highlight w:val="none"/>
          <w:lang w:val="en-US" w:eastAsia="zh-CN" w:bidi="ar-SA"/>
        </w:rPr>
        <w:t>依托市养老服务指导中心与省级养老服务平台，建设具备兜底保障、示范引导、行业指导、应急支援、资源统筹等功能的市级平台，推动市域养老服务资源高效配置与利用。</w:t>
      </w:r>
    </w:p>
    <w:p w14:paraId="5E924236">
      <w:pPr>
        <w:pStyle w:val="7"/>
        <w:spacing w:before="156" w:beforeLines="50" w:after="0" w:line="360" w:lineRule="auto"/>
        <w:ind w:firstLine="643" w:firstLineChars="200"/>
        <w:rPr>
          <w:rFonts w:hint="default"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加强镇街区域养老服务能力。</w:t>
      </w:r>
      <w:r>
        <w:rPr>
          <w:rFonts w:hint="eastAsia" w:eastAsia="仿宋_GB2312" w:cs="仿宋_GB2312" w:asciiTheme="minorEastAsia" w:hAnsiTheme="minorEastAsia"/>
          <w:color w:val="auto"/>
          <w:kern w:val="2"/>
          <w:sz w:val="32"/>
          <w:szCs w:val="32"/>
          <w:highlight w:val="none"/>
          <w:lang w:val="en-US" w:eastAsia="zh-CN" w:bidi="ar-SA"/>
        </w:rPr>
        <w:t>盘活闲置校舍、卫生院、社区用房等国有资产，通过公建民营、民办公助等方式，实现街道和60%以上乡镇建有养老服务综合体。依托综合体或优质民办机构，改造升级一批区域养老服务中心，强化专业照护、服务转介、资源链接等核心功能，构建“上下联动、供需对接”的区域养老服务枢纽。到2030年，乡镇（街道）区域养老服务中心总体服务覆盖率不低于80%。</w:t>
      </w:r>
    </w:p>
    <w:p w14:paraId="5A9AB600">
      <w:pPr>
        <w:pStyle w:val="7"/>
        <w:spacing w:before="156" w:beforeLines="50" w:after="0" w:line="360" w:lineRule="auto"/>
        <w:ind w:firstLine="643" w:firstLineChars="200"/>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完善村（社区）养老服务设施站点。</w:t>
      </w:r>
      <w:r>
        <w:rPr>
          <w:rFonts w:hint="eastAsia" w:eastAsia="仿宋_GB2312" w:cs="仿宋_GB2312" w:asciiTheme="minorEastAsia" w:hAnsiTheme="minorEastAsia"/>
          <w:color w:val="auto"/>
          <w:kern w:val="2"/>
          <w:sz w:val="32"/>
          <w:szCs w:val="32"/>
          <w:highlight w:val="none"/>
          <w:lang w:val="en-US" w:eastAsia="zh-CN" w:bidi="ar-SA"/>
        </w:rPr>
        <w:t>采取“中心+站点”模式，发展嵌入式社区设施与互助性服务站点，推动老旧小区适老改造，促进与教育、医疗、文化等设施综合利用，建设“一老一小”服务综合体，畅通家庭与社会服务连接。</w:t>
      </w:r>
    </w:p>
    <w:p w14:paraId="6AFFFE5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0" w:firstLineChars="200"/>
        <w:textAlignment w:val="auto"/>
        <w:outlineLvl w:val="2"/>
        <w:rPr>
          <w:rFonts w:hint="default" w:ascii="华文中宋" w:hAnsi="华文中宋" w:eastAsia="华文中宋" w:cs="华文中宋"/>
          <w:color w:val="auto"/>
          <w:kern w:val="2"/>
          <w:sz w:val="32"/>
          <w:szCs w:val="32"/>
          <w:highlight w:val="none"/>
          <w:lang w:val="en-US" w:eastAsia="zh-CN" w:bidi="ar-SA"/>
        </w:rPr>
      </w:pPr>
      <w:bookmarkStart w:id="35" w:name="_Toc16946"/>
      <w:bookmarkStart w:id="36" w:name="_Toc1588"/>
      <w:r>
        <w:rPr>
          <w:rFonts w:hint="eastAsia" w:ascii="华文中宋" w:hAnsi="华文中宋" w:eastAsia="华文中宋" w:cs="华文中宋"/>
          <w:color w:val="auto"/>
          <w:kern w:val="2"/>
          <w:sz w:val="32"/>
          <w:szCs w:val="32"/>
          <w:highlight w:val="none"/>
          <w:lang w:val="en-US" w:eastAsia="zh-CN" w:bidi="ar-SA"/>
        </w:rPr>
        <w:t>（三）完善机构养老发展格局</w:t>
      </w:r>
      <w:bookmarkEnd w:id="35"/>
      <w:bookmarkEnd w:id="36"/>
    </w:p>
    <w:p w14:paraId="5A08777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改造提升区域性兜底养老机构。</w:t>
      </w:r>
      <w:r>
        <w:rPr>
          <w:rFonts w:hint="eastAsia" w:eastAsia="仿宋_GB2312" w:cs="仿宋_GB2312" w:asciiTheme="minorEastAsia" w:hAnsiTheme="minorEastAsia"/>
          <w:color w:val="auto"/>
          <w:kern w:val="2"/>
          <w:sz w:val="32"/>
          <w:szCs w:val="32"/>
          <w:highlight w:val="none"/>
          <w:lang w:val="en-US" w:eastAsia="zh-CN" w:bidi="ar-SA"/>
        </w:rPr>
        <w:t>强化公办养老机构兜底保障作用，加强质量监管和能力提升，在满足特困人员集中供养需求的基础上，鼓励向社会老年人提供普惠型养老服务。推进农村福利院运营方式改革，提高集中供养能力。在市社会福利院探索开展机器人失能、失智照护、老年康复支持和群体生活照护等服务的机构场景应用。</w:t>
      </w:r>
    </w:p>
    <w:p w14:paraId="3412100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大力发展普惠支持型养老机构。</w:t>
      </w:r>
      <w:r>
        <w:rPr>
          <w:rFonts w:hint="eastAsia" w:eastAsia="仿宋_GB2312" w:cs="仿宋_GB2312" w:asciiTheme="minorEastAsia" w:hAnsiTheme="minorEastAsia"/>
          <w:color w:val="auto"/>
          <w:kern w:val="2"/>
          <w:sz w:val="32"/>
          <w:szCs w:val="32"/>
          <w:highlight w:val="none"/>
          <w:lang w:val="en-US" w:eastAsia="zh-CN" w:bidi="ar-SA"/>
        </w:rPr>
        <w:t>促进各类经营主体发展连锁化、公司化普惠支持型养老机构，对普惠支持型养老机构在用地、水电价格、建设运营补贴等方面按规定予以支持，减轻机构运营负担，确保价格能负担、质量有保障、运营可持续。</w:t>
      </w:r>
    </w:p>
    <w:p w14:paraId="7668C39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培育壮大完全市场型养老机构。</w:t>
      </w:r>
      <w:r>
        <w:rPr>
          <w:rFonts w:hint="eastAsia" w:eastAsia="仿宋_GB2312" w:cs="仿宋_GB2312" w:asciiTheme="minorEastAsia" w:hAnsiTheme="minorEastAsia"/>
          <w:color w:val="auto"/>
          <w:kern w:val="2"/>
          <w:sz w:val="32"/>
          <w:szCs w:val="32"/>
          <w:highlight w:val="none"/>
          <w:lang w:val="en-US" w:eastAsia="zh-CN" w:bidi="ar-SA"/>
        </w:rPr>
        <w:t>积极引导各类市场主体参与养老服务，规范金融、地产等企业进入养老市场，发展养老地产新业态，实行充分竞争、优质优价，满足老年人个性化、品质化养老需求。</w:t>
      </w:r>
    </w:p>
    <w:p w14:paraId="1A9EE07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Autospacing="0" w:line="360" w:lineRule="auto"/>
        <w:ind w:left="0" w:right="0" w:firstLine="640" w:firstLineChars="200"/>
        <w:textAlignment w:val="auto"/>
        <w:rPr>
          <w:rFonts w:hint="eastAsia" w:ascii="华文中宋" w:hAnsi="华文中宋" w:eastAsia="华文中宋" w:cs="华文中宋"/>
          <w:b w:val="0"/>
          <w:bCs w:val="0"/>
          <w:color w:val="auto"/>
          <w:kern w:val="2"/>
          <w:sz w:val="32"/>
          <w:szCs w:val="32"/>
          <w:highlight w:val="none"/>
          <w:lang w:val="en-US" w:eastAsia="zh-CN" w:bidi="ar-SA"/>
        </w:rPr>
      </w:pPr>
      <w:bookmarkStart w:id="37" w:name="_Toc15874"/>
      <w:bookmarkStart w:id="38" w:name="_Toc1931"/>
      <w:r>
        <w:rPr>
          <w:rFonts w:hint="eastAsia" w:ascii="华文中宋" w:hAnsi="华文中宋" w:eastAsia="华文中宋" w:cs="华文中宋"/>
          <w:b w:val="0"/>
          <w:bCs w:val="0"/>
          <w:color w:val="auto"/>
          <w:kern w:val="2"/>
          <w:sz w:val="32"/>
          <w:szCs w:val="32"/>
          <w:highlight w:val="none"/>
          <w:lang w:val="en-US" w:eastAsia="zh-CN" w:bidi="ar-SA"/>
        </w:rPr>
        <w:t>（四）</w:t>
      </w:r>
      <w:r>
        <w:rPr>
          <w:rFonts w:hint="default" w:ascii="华文中宋" w:hAnsi="华文中宋" w:eastAsia="华文中宋" w:cs="华文中宋"/>
          <w:b w:val="0"/>
          <w:bCs w:val="0"/>
          <w:color w:val="auto"/>
          <w:kern w:val="2"/>
          <w:sz w:val="32"/>
          <w:szCs w:val="32"/>
          <w:highlight w:val="none"/>
          <w:lang w:val="en-US" w:eastAsia="zh-CN" w:bidi="ar-SA"/>
        </w:rPr>
        <w:t>优化社区养老服务供给</w:t>
      </w:r>
      <w:bookmarkEnd w:id="37"/>
      <w:bookmarkEnd w:id="38"/>
    </w:p>
    <w:p w14:paraId="55F762A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优化社区养老服务设施布局。</w:t>
      </w:r>
      <w:r>
        <w:rPr>
          <w:rFonts w:hint="eastAsia" w:eastAsia="仿宋_GB2312" w:cs="仿宋_GB2312" w:asciiTheme="minorEastAsia" w:hAnsiTheme="minorEastAsia"/>
          <w:color w:val="auto"/>
          <w:kern w:val="2"/>
          <w:sz w:val="32"/>
          <w:szCs w:val="32"/>
          <w:highlight w:val="none"/>
          <w:lang w:val="en-US" w:eastAsia="zh-CN" w:bidi="ar-SA"/>
        </w:rPr>
        <w:t>开展配建养老服务设施专项清理与排查，按需布局助餐点并完善活动场地及设施。到2030年实现社区养老服务设施全覆盖。</w:t>
      </w:r>
    </w:p>
    <w:p w14:paraId="2ECB50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推进社区养老等公共服务资源统筹。</w:t>
      </w:r>
      <w:r>
        <w:rPr>
          <w:rFonts w:hint="eastAsia" w:eastAsia="仿宋_GB2312" w:cs="仿宋_GB2312" w:asciiTheme="minorEastAsia" w:hAnsiTheme="minorEastAsia"/>
          <w:color w:val="auto"/>
          <w:kern w:val="2"/>
          <w:sz w:val="32"/>
          <w:szCs w:val="32"/>
          <w:highlight w:val="none"/>
          <w:lang w:val="en-US" w:eastAsia="zh-CN" w:bidi="ar-SA"/>
        </w:rPr>
        <w:t>推动养老、医疗、文体、教育等设施复合利用，建设区镇街道“一老一小”服务综合体。鼓励机关事业单位场所向老年人开放。发展康复辅具及老年用品社区租赁服务，推广机器人社区场景应用。</w:t>
      </w:r>
    </w:p>
    <w:p w14:paraId="0481FF8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提升社区服务专业化水平。</w:t>
      </w:r>
      <w:r>
        <w:rPr>
          <w:rFonts w:hint="eastAsia" w:eastAsia="仿宋_GB2312" w:cs="仿宋_GB2312" w:asciiTheme="minorEastAsia" w:hAnsiTheme="minorEastAsia"/>
          <w:color w:val="auto"/>
          <w:kern w:val="2"/>
          <w:sz w:val="32"/>
          <w:szCs w:val="32"/>
          <w:highlight w:val="none"/>
          <w:lang w:val="en-US" w:eastAsia="zh-CN" w:bidi="ar-SA"/>
        </w:rPr>
        <w:t>探索建立“养老顾问”制度，提供咨询与代办服务。支持专业机构开展日间照料和六助服务，实行连锁运营，提升服务品质与可持续性。</w:t>
      </w:r>
    </w:p>
    <w:p w14:paraId="7001D9C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0" w:firstLineChars="200"/>
        <w:textAlignment w:val="auto"/>
        <w:outlineLvl w:val="2"/>
        <w:rPr>
          <w:rFonts w:hint="eastAsia" w:ascii="华文中宋" w:hAnsi="华文中宋" w:eastAsia="华文中宋" w:cs="华文中宋"/>
          <w:color w:val="auto"/>
          <w:kern w:val="2"/>
          <w:sz w:val="32"/>
          <w:szCs w:val="32"/>
          <w:highlight w:val="none"/>
          <w:lang w:val="en-US" w:eastAsia="zh-CN" w:bidi="ar-SA"/>
        </w:rPr>
      </w:pPr>
      <w:bookmarkStart w:id="39" w:name="_Toc27695"/>
      <w:bookmarkStart w:id="40" w:name="_Toc11932"/>
      <w:r>
        <w:rPr>
          <w:rFonts w:hint="eastAsia" w:ascii="华文中宋" w:hAnsi="华文中宋" w:eastAsia="华文中宋" w:cs="华文中宋"/>
          <w:color w:val="auto"/>
          <w:kern w:val="2"/>
          <w:sz w:val="32"/>
          <w:szCs w:val="32"/>
          <w:highlight w:val="none"/>
          <w:lang w:val="en-US" w:eastAsia="zh-CN" w:bidi="ar-SA"/>
        </w:rPr>
        <w:t>（五）提升居家养老服务水平</w:t>
      </w:r>
      <w:bookmarkEnd w:id="39"/>
      <w:bookmarkEnd w:id="40"/>
    </w:p>
    <w:p w14:paraId="45B80D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夯实家庭养老基础。</w:t>
      </w:r>
      <w:r>
        <w:rPr>
          <w:rFonts w:hint="eastAsia" w:eastAsia="仿宋_GB2312" w:cs="仿宋_GB2312" w:asciiTheme="minorEastAsia" w:hAnsiTheme="minorEastAsia"/>
          <w:color w:val="auto"/>
          <w:kern w:val="2"/>
          <w:sz w:val="32"/>
          <w:szCs w:val="32"/>
          <w:highlight w:val="none"/>
          <w:lang w:val="en-US" w:eastAsia="zh-CN" w:bidi="ar-SA"/>
        </w:rPr>
        <w:t>出台家庭养老支持政策，</w:t>
      </w:r>
      <w:r>
        <w:rPr>
          <w:rFonts w:hint="default" w:eastAsia="仿宋_GB2312" w:cs="仿宋_GB2312" w:asciiTheme="minorEastAsia" w:hAnsiTheme="minorEastAsia"/>
          <w:color w:val="auto"/>
          <w:kern w:val="2"/>
          <w:sz w:val="32"/>
          <w:szCs w:val="32"/>
          <w:highlight w:val="none"/>
          <w:lang w:val="en-US" w:eastAsia="zh-CN" w:bidi="ar-SA"/>
        </w:rPr>
        <w:t>鼓励成年子女与父母就近居住或共同生活，促进家庭主动尽责、多主体共担</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统筹家庭适老化改造与家庭养老床位建设，完成困难老年人家庭</w:t>
      </w:r>
      <w:r>
        <w:rPr>
          <w:rFonts w:hint="eastAsia" w:eastAsia="仿宋_GB2312" w:cs="仿宋_GB2312" w:asciiTheme="minorEastAsia" w:hAnsiTheme="minorEastAsia"/>
          <w:color w:val="auto"/>
          <w:kern w:val="2"/>
          <w:sz w:val="32"/>
          <w:szCs w:val="32"/>
          <w:highlight w:val="none"/>
          <w:lang w:val="en-US" w:eastAsia="zh-CN" w:bidi="ar-SA"/>
        </w:rPr>
        <w:t>居家适老化</w:t>
      </w:r>
      <w:r>
        <w:rPr>
          <w:rFonts w:hint="default" w:eastAsia="仿宋_GB2312" w:cs="仿宋_GB2312" w:asciiTheme="minorEastAsia" w:hAnsiTheme="minorEastAsia"/>
          <w:color w:val="auto"/>
          <w:kern w:val="2"/>
          <w:sz w:val="32"/>
          <w:szCs w:val="32"/>
          <w:highlight w:val="none"/>
          <w:lang w:val="en-US" w:eastAsia="zh-CN" w:bidi="ar-SA"/>
        </w:rPr>
        <w:t>改造</w:t>
      </w:r>
      <w:r>
        <w:rPr>
          <w:rFonts w:hint="eastAsia" w:eastAsia="仿宋_GB2312" w:cs="仿宋_GB2312" w:asciiTheme="minorEastAsia" w:hAnsiTheme="minorEastAsia"/>
          <w:color w:val="auto"/>
          <w:kern w:val="2"/>
          <w:sz w:val="32"/>
          <w:szCs w:val="32"/>
          <w:highlight w:val="none"/>
          <w:lang w:val="en-US" w:eastAsia="zh-CN" w:bidi="ar-SA"/>
        </w:rPr>
        <w:t>5</w:t>
      </w:r>
      <w:r>
        <w:rPr>
          <w:rFonts w:hint="default" w:eastAsia="仿宋_GB2312" w:cs="仿宋_GB2312" w:asciiTheme="minorEastAsia" w:hAnsiTheme="minorEastAsia"/>
          <w:color w:val="auto"/>
          <w:kern w:val="2"/>
          <w:sz w:val="32"/>
          <w:szCs w:val="32"/>
          <w:highlight w:val="none"/>
          <w:lang w:val="en-US" w:eastAsia="zh-CN" w:bidi="ar-SA"/>
        </w:rPr>
        <w:t>00户、</w:t>
      </w:r>
      <w:r>
        <w:rPr>
          <w:rFonts w:hint="eastAsia" w:eastAsia="仿宋_GB2312" w:cs="仿宋_GB2312" w:asciiTheme="minorEastAsia" w:hAnsiTheme="minorEastAsia"/>
          <w:color w:val="auto"/>
          <w:kern w:val="2"/>
          <w:sz w:val="32"/>
          <w:szCs w:val="32"/>
          <w:highlight w:val="none"/>
          <w:lang w:val="en-US" w:eastAsia="zh-CN" w:bidi="ar-SA"/>
        </w:rPr>
        <w:t>建设家庭照护</w:t>
      </w:r>
      <w:r>
        <w:rPr>
          <w:rFonts w:hint="default" w:eastAsia="仿宋_GB2312" w:cs="仿宋_GB2312" w:asciiTheme="minorEastAsia" w:hAnsiTheme="minorEastAsia"/>
          <w:color w:val="auto"/>
          <w:kern w:val="2"/>
          <w:sz w:val="32"/>
          <w:szCs w:val="32"/>
          <w:highlight w:val="none"/>
          <w:lang w:val="en-US" w:eastAsia="zh-CN" w:bidi="ar-SA"/>
        </w:rPr>
        <w:t>床位</w:t>
      </w:r>
      <w:r>
        <w:rPr>
          <w:rFonts w:hint="eastAsia" w:eastAsia="仿宋_GB2312" w:cs="仿宋_GB2312" w:asciiTheme="minorEastAsia" w:hAnsiTheme="minorEastAsia"/>
          <w:color w:val="auto"/>
          <w:kern w:val="2"/>
          <w:sz w:val="32"/>
          <w:szCs w:val="32"/>
          <w:highlight w:val="none"/>
          <w:lang w:val="en-US" w:eastAsia="zh-CN" w:bidi="ar-SA"/>
        </w:rPr>
        <w:t>5</w:t>
      </w:r>
      <w:r>
        <w:rPr>
          <w:rFonts w:hint="default" w:eastAsia="仿宋_GB2312" w:cs="仿宋_GB2312" w:asciiTheme="minorEastAsia" w:hAnsiTheme="minorEastAsia"/>
          <w:color w:val="auto"/>
          <w:kern w:val="2"/>
          <w:sz w:val="32"/>
          <w:szCs w:val="32"/>
          <w:highlight w:val="none"/>
          <w:lang w:val="en-US" w:eastAsia="zh-CN" w:bidi="ar-SA"/>
        </w:rPr>
        <w:t>00张</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加强工会、妇联、共青团等组织联动，为特殊困难老年人提供常态化探访、结对帮扶等关爱服务</w:t>
      </w:r>
      <w:r>
        <w:rPr>
          <w:rFonts w:hint="eastAsia" w:eastAsia="仿宋_GB2312" w:cs="仿宋_GB2312" w:asciiTheme="minorEastAsia" w:hAnsiTheme="minorEastAsia"/>
          <w:color w:val="auto"/>
          <w:kern w:val="2"/>
          <w:sz w:val="32"/>
          <w:szCs w:val="32"/>
          <w:highlight w:val="none"/>
          <w:lang w:val="en-US" w:eastAsia="zh-CN" w:bidi="ar-SA"/>
        </w:rPr>
        <w:t>。</w:t>
      </w:r>
    </w:p>
    <w:p w14:paraId="263617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激发居家养老服务市场化活力。</w:t>
      </w:r>
      <w:r>
        <w:rPr>
          <w:rFonts w:hint="eastAsia" w:eastAsia="仿宋_GB2312" w:cs="仿宋_GB2312" w:asciiTheme="minorEastAsia" w:hAnsiTheme="minorEastAsia"/>
          <w:color w:val="auto"/>
          <w:kern w:val="2"/>
          <w:sz w:val="32"/>
          <w:szCs w:val="32"/>
          <w:highlight w:val="none"/>
          <w:lang w:val="en-US" w:eastAsia="zh-CN" w:bidi="ar-SA"/>
        </w:rPr>
        <w:t>创新“互联网+居家养老”模式，</w:t>
      </w:r>
      <w:r>
        <w:rPr>
          <w:rFonts w:hint="default" w:eastAsia="仿宋_GB2312" w:cs="仿宋_GB2312" w:asciiTheme="minorEastAsia" w:hAnsiTheme="minorEastAsia"/>
          <w:color w:val="auto"/>
          <w:kern w:val="2"/>
          <w:sz w:val="32"/>
          <w:szCs w:val="32"/>
          <w:highlight w:val="none"/>
          <w:lang w:val="en-US" w:eastAsia="zh-CN" w:bidi="ar-SA"/>
        </w:rPr>
        <w:t>依托市级平台推行“线上下单、线下服务”，整合照护、家政、医疗、文教等资源，推进智能监测、紧急呼叫、适老化改造进家庭，实现“人机结合”快速响应</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完善上门服务清单与价格机制，培育专业化、连锁化、品牌化服务企业，推动生活照料、基础照护、健康管理等服务延伸至家庭</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通过“政府引导+保险介入+个人参与”多元资金投入，提升老年人购买服务的意愿与能力，营造可持续的市场环境</w:t>
      </w:r>
      <w:r>
        <w:rPr>
          <w:rFonts w:hint="eastAsia" w:eastAsia="仿宋_GB2312" w:cs="仿宋_GB2312" w:asciiTheme="minorEastAsia" w:hAnsiTheme="minorEastAsia"/>
          <w:color w:val="auto"/>
          <w:kern w:val="2"/>
          <w:sz w:val="32"/>
          <w:szCs w:val="32"/>
          <w:highlight w:val="none"/>
          <w:lang w:val="en-US" w:eastAsia="zh-CN" w:bidi="ar-SA"/>
        </w:rPr>
        <w:t>。</w:t>
      </w:r>
    </w:p>
    <w:p w14:paraId="72DA00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313" w:afterLines="100" w:line="360" w:lineRule="auto"/>
        <w:ind w:firstLine="643" w:firstLineChars="200"/>
        <w:textAlignment w:val="auto"/>
        <w:rPr>
          <w:rFonts w:hint="eastAsia" w:eastAsia="仿宋_GB2312" w:cs="仿宋_GB2312" w:asciiTheme="minorEastAsia" w:hAnsiTheme="minorEastAsia"/>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提升居家养老服务专业化水平。</w:t>
      </w:r>
      <w:r>
        <w:rPr>
          <w:rFonts w:hint="eastAsia" w:eastAsia="仿宋_GB2312" w:cs="仿宋_GB2312" w:asciiTheme="minorEastAsia" w:hAnsiTheme="minorEastAsia"/>
          <w:color w:val="auto"/>
          <w:kern w:val="2"/>
          <w:sz w:val="32"/>
          <w:szCs w:val="32"/>
          <w:highlight w:val="none"/>
          <w:lang w:val="en-US" w:eastAsia="zh-CN" w:bidi="ar-SA"/>
        </w:rPr>
        <w:t>实施向中度以上失能老年人养老服务消费补贴政策，应享尽享。</w:t>
      </w:r>
      <w:r>
        <w:rPr>
          <w:rFonts w:hint="default" w:eastAsia="仿宋_GB2312" w:cs="仿宋_GB2312" w:asciiTheme="minorEastAsia" w:hAnsiTheme="minorEastAsia"/>
          <w:color w:val="auto"/>
          <w:kern w:val="2"/>
          <w:sz w:val="32"/>
          <w:szCs w:val="32"/>
          <w:highlight w:val="none"/>
          <w:lang w:val="en-US" w:eastAsia="zh-CN" w:bidi="ar-SA"/>
        </w:rPr>
        <w:t>推进居家养老照护设施智能化升级，拓展健康监测、慢病管理、康复理疗等智慧化应用场景</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推广华美社区“专业机构+社区养老+居家养老”</w:t>
      </w:r>
      <w:r>
        <w:rPr>
          <w:rFonts w:hint="eastAsia" w:eastAsia="仿宋_GB2312" w:cs="仿宋_GB2312" w:asciiTheme="minorEastAsia" w:hAnsiTheme="minorEastAsia"/>
          <w:color w:val="auto"/>
          <w:kern w:val="2"/>
          <w:sz w:val="32"/>
          <w:szCs w:val="32"/>
          <w:highlight w:val="none"/>
          <w:lang w:val="en-US" w:eastAsia="zh-CN" w:bidi="ar-SA"/>
        </w:rPr>
        <w:t>可持续养老服务</w:t>
      </w:r>
      <w:r>
        <w:rPr>
          <w:rFonts w:hint="default" w:eastAsia="仿宋_GB2312" w:cs="仿宋_GB2312" w:asciiTheme="minorEastAsia" w:hAnsiTheme="minorEastAsia"/>
          <w:color w:val="auto"/>
          <w:kern w:val="2"/>
          <w:sz w:val="32"/>
          <w:szCs w:val="32"/>
          <w:highlight w:val="none"/>
          <w:lang w:val="en-US" w:eastAsia="zh-CN" w:bidi="ar-SA"/>
        </w:rPr>
        <w:t>模式，强化专业机构向家庭的辐射带动作用</w:t>
      </w:r>
      <w:r>
        <w:rPr>
          <w:rFonts w:hint="eastAsia" w:eastAsia="仿宋_GB2312" w:cs="仿宋_GB2312" w:asciiTheme="minorEastAsia" w:hAnsiTheme="minorEastAsia"/>
          <w:color w:val="auto"/>
          <w:kern w:val="2"/>
          <w:sz w:val="32"/>
          <w:szCs w:val="32"/>
          <w:highlight w:val="none"/>
          <w:lang w:val="en-US" w:eastAsia="zh-CN" w:bidi="ar-SA"/>
        </w:rPr>
        <w:t>。</w:t>
      </w:r>
      <w:r>
        <w:rPr>
          <w:rFonts w:hint="default" w:eastAsia="仿宋_GB2312" w:cs="仿宋_GB2312" w:asciiTheme="minorEastAsia" w:hAnsiTheme="minorEastAsia"/>
          <w:color w:val="auto"/>
          <w:kern w:val="2"/>
          <w:sz w:val="32"/>
          <w:szCs w:val="32"/>
          <w:highlight w:val="none"/>
          <w:lang w:val="en-US" w:eastAsia="zh-CN" w:bidi="ar-SA"/>
        </w:rPr>
        <w:t>开展家庭照护技能公益培训，逐步提高居家养老服务补贴标准，健全居家养老服务质量标准体系</w:t>
      </w:r>
      <w:r>
        <w:rPr>
          <w:rFonts w:hint="eastAsia" w:eastAsia="仿宋_GB2312" w:cs="仿宋_GB2312" w:asciiTheme="minorEastAsia" w:hAnsiTheme="minorEastAsia"/>
          <w:color w:val="auto"/>
          <w:kern w:val="2"/>
          <w:sz w:val="32"/>
          <w:szCs w:val="32"/>
          <w:highlight w:val="none"/>
          <w:lang w:val="en-US" w:eastAsia="zh-CN" w:bidi="ar-SA"/>
        </w:rPr>
        <w:t>。</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60"/>
      </w:tblGrid>
      <w:tr w14:paraId="6474A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0" w:type="auto"/>
            <w:tcBorders>
              <w:bottom w:val="single" w:color="000000" w:sz="8" w:space="0"/>
            </w:tcBorders>
            <w:shd w:val="clear" w:color="auto" w:fill="FFFFFF" w:themeFill="background1"/>
            <w:tcMar>
              <w:top w:w="72" w:type="dxa"/>
              <w:left w:w="144" w:type="dxa"/>
              <w:bottom w:w="72" w:type="dxa"/>
              <w:right w:w="144" w:type="dxa"/>
            </w:tcMar>
            <w:vAlign w:val="top"/>
          </w:tcPr>
          <w:p w14:paraId="4781B8FD">
            <w:pPr>
              <w:widowControl/>
              <w:spacing w:after="0" w:line="360" w:lineRule="auto"/>
              <w:jc w:val="center"/>
              <w:rPr>
                <w:rFonts w:hint="eastAsia" w:ascii="宋体" w:hAnsi="宋体" w:eastAsia="宋体" w:cs="宋体"/>
                <w:color w:val="auto"/>
                <w:kern w:val="0"/>
                <w:sz w:val="24"/>
                <w:szCs w:val="24"/>
                <w:highlight w:val="none"/>
                <w14:ligatures w14:val="none"/>
              </w:rPr>
            </w:pPr>
            <w:r>
              <w:rPr>
                <w:rFonts w:hint="eastAsia" w:ascii="黑体" w:hAnsi="黑体" w:eastAsia="黑体" w:cs="黑体"/>
                <w:b w:val="0"/>
                <w:bCs w:val="0"/>
                <w:color w:val="auto"/>
                <w:kern w:val="24"/>
                <w:sz w:val="28"/>
                <w:szCs w:val="28"/>
                <w:highlight w:val="none"/>
                <w14:ligatures w14:val="none"/>
              </w:rPr>
              <w:t>专栏</w:t>
            </w:r>
            <w:r>
              <w:rPr>
                <w:rFonts w:hint="eastAsia" w:ascii="黑体" w:hAnsi="黑体" w:eastAsia="黑体" w:cs="黑体"/>
                <w:b w:val="0"/>
                <w:bCs w:val="0"/>
                <w:color w:val="auto"/>
                <w:kern w:val="24"/>
                <w:sz w:val="28"/>
                <w:szCs w:val="28"/>
                <w:highlight w:val="none"/>
                <w:lang w:val="en-US" w:eastAsia="zh-CN"/>
                <w14:ligatures w14:val="none"/>
              </w:rPr>
              <w:t>一  养老服务设施</w:t>
            </w:r>
            <w:r>
              <w:rPr>
                <w:rFonts w:hint="eastAsia" w:ascii="黑体" w:hAnsi="黑体" w:eastAsia="黑体" w:cs="黑体"/>
                <w:b w:val="0"/>
                <w:bCs w:val="0"/>
                <w:color w:val="auto"/>
                <w:kern w:val="24"/>
                <w:sz w:val="28"/>
                <w:szCs w:val="28"/>
                <w:highlight w:val="none"/>
                <w14:ligatures w14:val="none"/>
              </w:rPr>
              <w:t>建设项目</w:t>
            </w:r>
          </w:p>
        </w:tc>
      </w:tr>
      <w:tr w14:paraId="591BD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0" w:type="auto"/>
            <w:shd w:val="clear" w:color="auto" w:fill="FFFFFF" w:themeFill="background1"/>
            <w:tcMar>
              <w:top w:w="72" w:type="dxa"/>
              <w:left w:w="144" w:type="dxa"/>
              <w:bottom w:w="72" w:type="dxa"/>
              <w:right w:w="144" w:type="dxa"/>
            </w:tcMar>
            <w:vAlign w:val="top"/>
          </w:tcPr>
          <w:p w14:paraId="2AF1F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潜江市区域性特困供养机构改造项目</w:t>
            </w:r>
          </w:p>
          <w:p w14:paraId="011D0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0F1115"/>
                <w:spacing w:val="0"/>
                <w:sz w:val="24"/>
                <w:szCs w:val="24"/>
                <w:highlight w:val="none"/>
                <w:shd w:val="clear" w:fill="FFFFFF"/>
              </w:rPr>
              <w:t>计划总投资</w:t>
            </w:r>
            <w:r>
              <w:rPr>
                <w:rFonts w:hint="eastAsia" w:ascii="宋体" w:hAnsi="宋体" w:eastAsia="宋体" w:cs="宋体"/>
                <w:i w:val="0"/>
                <w:iCs w:val="0"/>
                <w:caps w:val="0"/>
                <w:color w:val="0F1115"/>
                <w:spacing w:val="0"/>
                <w:sz w:val="24"/>
                <w:szCs w:val="24"/>
                <w:highlight w:val="none"/>
                <w:shd w:val="clear" w:fill="FFFFFF"/>
                <w:lang w:val="en-US" w:eastAsia="zh-CN"/>
              </w:rPr>
              <w:t>1600</w:t>
            </w:r>
            <w:r>
              <w:rPr>
                <w:rFonts w:hint="eastAsia" w:ascii="宋体" w:hAnsi="宋体" w:eastAsia="宋体" w:cs="宋体"/>
                <w:i w:val="0"/>
                <w:iCs w:val="0"/>
                <w:caps w:val="0"/>
                <w:color w:val="0F1115"/>
                <w:spacing w:val="0"/>
                <w:sz w:val="24"/>
                <w:szCs w:val="24"/>
                <w:highlight w:val="none"/>
                <w:shd w:val="clear" w:fill="FFFFFF"/>
              </w:rPr>
              <w:t>万元</w:t>
            </w:r>
            <w:r>
              <w:rPr>
                <w:rFonts w:hint="eastAsia" w:ascii="宋体" w:hAnsi="宋体" w:eastAsia="宋体" w:cs="宋体"/>
                <w:i w:val="0"/>
                <w:iCs w:val="0"/>
                <w:caps w:val="0"/>
                <w:color w:val="0F1115"/>
                <w:spacing w:val="0"/>
                <w:sz w:val="24"/>
                <w:szCs w:val="24"/>
                <w:highlight w:val="none"/>
                <w:shd w:val="clear" w:fill="FFFFFF"/>
                <w:lang w:eastAsia="zh-CN"/>
              </w:rPr>
              <w:t>，</w:t>
            </w:r>
            <w:r>
              <w:rPr>
                <w:rFonts w:hint="eastAsia" w:ascii="宋体" w:hAnsi="宋体" w:eastAsia="宋体" w:cs="宋体"/>
                <w:i w:val="0"/>
                <w:iCs w:val="0"/>
                <w:caps w:val="0"/>
                <w:color w:val="0F1115"/>
                <w:spacing w:val="0"/>
                <w:sz w:val="24"/>
                <w:szCs w:val="24"/>
                <w:highlight w:val="none"/>
                <w:shd w:val="clear" w:fill="FFFFFF"/>
              </w:rPr>
              <w:t>其中</w:t>
            </w:r>
            <w:r>
              <w:rPr>
                <w:rFonts w:hint="eastAsia" w:ascii="宋体" w:hAnsi="宋体" w:eastAsia="宋体" w:cs="宋体"/>
                <w:i w:val="0"/>
                <w:iCs w:val="0"/>
                <w:caps w:val="0"/>
                <w:color w:val="0F1115"/>
                <w:spacing w:val="0"/>
                <w:sz w:val="24"/>
                <w:szCs w:val="24"/>
                <w:highlight w:val="none"/>
                <w:shd w:val="clear" w:fill="FFFFFF"/>
                <w:lang w:eastAsia="zh-CN"/>
              </w:rPr>
              <w:t>，</w:t>
            </w:r>
            <w:r>
              <w:rPr>
                <w:rFonts w:hint="eastAsia" w:ascii="宋体" w:hAnsi="宋体" w:eastAsia="宋体" w:cs="宋体"/>
                <w:i w:val="0"/>
                <w:iCs w:val="0"/>
                <w:caps w:val="0"/>
                <w:color w:val="0F1115"/>
                <w:spacing w:val="0"/>
                <w:sz w:val="24"/>
                <w:szCs w:val="24"/>
                <w:highlight w:val="none"/>
                <w:shd w:val="clear" w:fill="FFFFFF"/>
              </w:rPr>
              <w:t>申请中央预算内投资1</w:t>
            </w:r>
            <w:r>
              <w:rPr>
                <w:rFonts w:hint="eastAsia" w:ascii="宋体" w:hAnsi="宋体" w:eastAsia="宋体" w:cs="宋体"/>
                <w:i w:val="0"/>
                <w:iCs w:val="0"/>
                <w:caps w:val="0"/>
                <w:color w:val="0F1115"/>
                <w:spacing w:val="0"/>
                <w:sz w:val="24"/>
                <w:szCs w:val="24"/>
                <w:highlight w:val="none"/>
                <w:shd w:val="clear" w:fill="FFFFFF"/>
                <w:lang w:val="en-US" w:eastAsia="zh-CN"/>
              </w:rPr>
              <w:t>120</w:t>
            </w:r>
            <w:r>
              <w:rPr>
                <w:rFonts w:hint="eastAsia" w:ascii="宋体" w:hAnsi="宋体" w:eastAsia="宋体" w:cs="宋体"/>
                <w:i w:val="0"/>
                <w:iCs w:val="0"/>
                <w:caps w:val="0"/>
                <w:color w:val="0F1115"/>
                <w:spacing w:val="0"/>
                <w:sz w:val="24"/>
                <w:szCs w:val="24"/>
                <w:highlight w:val="none"/>
                <w:shd w:val="clear" w:fill="FFFFFF"/>
              </w:rPr>
              <w:t>万元。拟对现有特困供养机构进行综合改造提升，规划改造及新增养老床位200张，总改造建筑面积9300平方米。主要建设内容</w:t>
            </w:r>
            <w:r>
              <w:rPr>
                <w:rFonts w:hint="eastAsia" w:ascii="宋体" w:hAnsi="宋体" w:eastAsia="宋体" w:cs="宋体"/>
                <w:i w:val="0"/>
                <w:iCs w:val="0"/>
                <w:caps w:val="0"/>
                <w:color w:val="0F1115"/>
                <w:spacing w:val="0"/>
                <w:sz w:val="24"/>
                <w:szCs w:val="24"/>
                <w:highlight w:val="none"/>
                <w:shd w:val="clear" w:fill="FFFFFF"/>
                <w:lang w:eastAsia="zh-CN"/>
              </w:rPr>
              <w:t>：</w:t>
            </w:r>
            <w:r>
              <w:rPr>
                <w:rFonts w:hint="eastAsia" w:ascii="宋体" w:hAnsi="宋体" w:eastAsia="宋体" w:cs="宋体"/>
                <w:i w:val="0"/>
                <w:iCs w:val="0"/>
                <w:caps w:val="0"/>
                <w:color w:val="0F1115"/>
                <w:spacing w:val="0"/>
                <w:sz w:val="24"/>
                <w:szCs w:val="24"/>
                <w:highlight w:val="none"/>
                <w:shd w:val="clear" w:fill="FFFFFF"/>
              </w:rPr>
              <w:t>机构内部适老化改造与设施设备添置，以及室外道路、给排水及消防管网、供配电系统和绿化等配套工程的系统性完善，全面提升机构的硬件设施与服务承载能力</w:t>
            </w:r>
            <w:r>
              <w:rPr>
                <w:rFonts w:hint="eastAsia" w:ascii="宋体" w:hAnsi="宋体" w:eastAsia="宋体" w:cs="宋体"/>
                <w:i w:val="0"/>
                <w:iCs w:val="0"/>
                <w:caps w:val="0"/>
                <w:color w:val="0F1115"/>
                <w:spacing w:val="0"/>
                <w:sz w:val="24"/>
                <w:szCs w:val="24"/>
                <w:highlight w:val="none"/>
                <w:shd w:val="clear" w:fill="FFFFFF"/>
                <w:lang w:eastAsia="zh-CN"/>
              </w:rPr>
              <w:t>。</w:t>
            </w:r>
          </w:p>
        </w:tc>
      </w:tr>
      <w:tr w14:paraId="6EE21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0" w:type="auto"/>
            <w:shd w:val="clear" w:color="auto" w:fill="FFFFFF" w:themeFill="background1"/>
            <w:tcMar>
              <w:top w:w="72" w:type="dxa"/>
              <w:left w:w="144" w:type="dxa"/>
              <w:bottom w:w="72" w:type="dxa"/>
              <w:right w:w="144" w:type="dxa"/>
            </w:tcMar>
            <w:vAlign w:val="top"/>
          </w:tcPr>
          <w:p w14:paraId="0D9D5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2.潜江市失智失能老人养护院建设项目</w:t>
            </w:r>
          </w:p>
          <w:p w14:paraId="1112F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w:t>
            </w:r>
            <w:r>
              <w:rPr>
                <w:rFonts w:hint="eastAsia" w:ascii="宋体" w:hAnsi="宋体" w:eastAsia="宋体" w:cs="宋体"/>
                <w:i w:val="0"/>
                <w:iCs w:val="0"/>
                <w:caps w:val="0"/>
                <w:color w:val="auto"/>
                <w:spacing w:val="0"/>
                <w:sz w:val="24"/>
                <w:szCs w:val="24"/>
                <w:highlight w:val="none"/>
                <w:shd w:val="clear" w:fill="FFFFFF"/>
                <w:lang w:val="en-US" w:eastAsia="zh-CN"/>
              </w:rPr>
              <w:t>360</w:t>
            </w:r>
            <w:r>
              <w:rPr>
                <w:rFonts w:hint="eastAsia" w:ascii="宋体" w:hAnsi="宋体" w:eastAsia="宋体" w:cs="宋体"/>
                <w:i w:val="0"/>
                <w:iCs w:val="0"/>
                <w:caps w:val="0"/>
                <w:color w:val="auto"/>
                <w:spacing w:val="0"/>
                <w:sz w:val="24"/>
                <w:szCs w:val="24"/>
                <w:highlight w:val="none"/>
                <w:shd w:val="clear" w:fill="FFFFFF"/>
              </w:rPr>
              <w:t>万元，其中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申请中央预算内投资</w:t>
            </w:r>
            <w:r>
              <w:rPr>
                <w:rFonts w:hint="eastAsia" w:ascii="宋体" w:hAnsi="宋体" w:eastAsia="宋体" w:cs="宋体"/>
                <w:i w:val="0"/>
                <w:iCs w:val="0"/>
                <w:caps w:val="0"/>
                <w:color w:val="auto"/>
                <w:spacing w:val="0"/>
                <w:sz w:val="24"/>
                <w:szCs w:val="24"/>
                <w:highlight w:val="none"/>
                <w:shd w:val="clear" w:fill="FFFFFF"/>
                <w:lang w:val="en-US" w:eastAsia="zh-CN"/>
              </w:rPr>
              <w:t>250</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拟将社会福利院部分区域改扩</w:t>
            </w:r>
            <w:r>
              <w:rPr>
                <w:rFonts w:hint="eastAsia" w:ascii="宋体" w:hAnsi="宋体" w:eastAsia="宋体" w:cs="宋体"/>
                <w:i w:val="0"/>
                <w:iCs w:val="0"/>
                <w:caps w:val="0"/>
                <w:color w:val="auto"/>
                <w:spacing w:val="0"/>
                <w:sz w:val="24"/>
                <w:szCs w:val="24"/>
                <w:highlight w:val="none"/>
                <w:shd w:val="clear" w:fill="FFFFFF"/>
              </w:rPr>
              <w:t>建</w:t>
            </w:r>
            <w:r>
              <w:rPr>
                <w:rFonts w:hint="eastAsia" w:ascii="宋体" w:hAnsi="宋体" w:eastAsia="宋体" w:cs="宋体"/>
                <w:i w:val="0"/>
                <w:iCs w:val="0"/>
                <w:caps w:val="0"/>
                <w:color w:val="auto"/>
                <w:spacing w:val="0"/>
                <w:sz w:val="24"/>
                <w:szCs w:val="24"/>
                <w:highlight w:val="none"/>
                <w:shd w:val="clear" w:fill="FFFFFF"/>
                <w:lang w:val="en-US" w:eastAsia="zh-CN"/>
              </w:rPr>
              <w:t>为</w:t>
            </w:r>
            <w:r>
              <w:rPr>
                <w:rFonts w:hint="eastAsia" w:ascii="宋体" w:hAnsi="宋体" w:eastAsia="宋体" w:cs="宋体"/>
                <w:i w:val="0"/>
                <w:iCs w:val="0"/>
                <w:caps w:val="0"/>
                <w:color w:val="auto"/>
                <w:spacing w:val="0"/>
                <w:sz w:val="24"/>
                <w:szCs w:val="24"/>
                <w:highlight w:val="none"/>
                <w:shd w:val="clear" w:fill="FFFFFF"/>
              </w:rPr>
              <w:t>面向全市失智失能老年人的</w:t>
            </w:r>
            <w:r>
              <w:rPr>
                <w:rFonts w:hint="eastAsia" w:ascii="宋体" w:hAnsi="宋体" w:eastAsia="宋体" w:cs="宋体"/>
                <w:i w:val="0"/>
                <w:iCs w:val="0"/>
                <w:caps w:val="0"/>
                <w:color w:val="auto"/>
                <w:spacing w:val="0"/>
                <w:sz w:val="24"/>
                <w:szCs w:val="24"/>
                <w:highlight w:val="none"/>
                <w:shd w:val="clear" w:fill="FFFFFF"/>
                <w:lang w:val="en-US" w:eastAsia="zh-CN"/>
              </w:rPr>
              <w:t>养护专区</w:t>
            </w:r>
            <w:r>
              <w:rPr>
                <w:rFonts w:hint="eastAsia" w:ascii="宋体" w:hAnsi="宋体" w:eastAsia="宋体" w:cs="宋体"/>
                <w:i w:val="0"/>
                <w:iCs w:val="0"/>
                <w:caps w:val="0"/>
                <w:color w:val="auto"/>
                <w:spacing w:val="0"/>
                <w:sz w:val="24"/>
                <w:szCs w:val="24"/>
                <w:highlight w:val="none"/>
                <w:shd w:val="clear" w:fill="FFFFFF"/>
              </w:rPr>
              <w:t>。项目规划总建筑面积</w:t>
            </w:r>
            <w:r>
              <w:rPr>
                <w:rFonts w:hint="eastAsia" w:ascii="宋体" w:hAnsi="宋体" w:eastAsia="宋体" w:cs="宋体"/>
                <w:i w:val="0"/>
                <w:iCs w:val="0"/>
                <w:caps w:val="0"/>
                <w:color w:val="auto"/>
                <w:spacing w:val="0"/>
                <w:sz w:val="24"/>
                <w:szCs w:val="24"/>
                <w:highlight w:val="none"/>
                <w:shd w:val="clear" w:fill="FFFFFF"/>
                <w:lang w:val="en-US" w:eastAsia="zh-CN"/>
              </w:rPr>
              <w:t>2250</w:t>
            </w:r>
            <w:r>
              <w:rPr>
                <w:rFonts w:hint="eastAsia" w:ascii="宋体" w:hAnsi="宋体" w:eastAsia="宋体" w:cs="宋体"/>
                <w:i w:val="0"/>
                <w:iCs w:val="0"/>
                <w:caps w:val="0"/>
                <w:color w:val="auto"/>
                <w:spacing w:val="0"/>
                <w:sz w:val="24"/>
                <w:szCs w:val="24"/>
                <w:highlight w:val="none"/>
                <w:shd w:val="clear" w:fill="FFFFFF"/>
              </w:rPr>
              <w:t>平方米，各功能分区包括：照护服务区1250平方米、医疗康复区600平方米、生活服务区300平方米、管理后勤区100平方米，并按建筑面积100%配建室外活动与康复场地。</w:t>
            </w:r>
          </w:p>
        </w:tc>
      </w:tr>
      <w:tr w14:paraId="6417C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4" w:hRule="atLeast"/>
          <w:jc w:val="center"/>
        </w:trPr>
        <w:tc>
          <w:tcPr>
            <w:tcW w:w="0" w:type="auto"/>
            <w:shd w:val="clear" w:color="auto" w:fill="FFFFFF" w:themeFill="background1"/>
            <w:tcMar>
              <w:top w:w="72" w:type="dxa"/>
              <w:left w:w="144" w:type="dxa"/>
              <w:bottom w:w="72" w:type="dxa"/>
              <w:right w:w="144" w:type="dxa"/>
            </w:tcMar>
            <w:vAlign w:val="top"/>
          </w:tcPr>
          <w:p w14:paraId="5CF28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3.潜江市社会福利院医养一体化示范中心项目</w:t>
            </w:r>
          </w:p>
          <w:p w14:paraId="6BA28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计划总投资1500万元，其中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中央预算内投资</w:t>
            </w:r>
            <w:r>
              <w:rPr>
                <w:rFonts w:hint="eastAsia" w:ascii="宋体" w:hAnsi="宋体" w:eastAsia="宋体" w:cs="宋体"/>
                <w:i w:val="0"/>
                <w:iCs w:val="0"/>
                <w:caps w:val="0"/>
                <w:color w:val="auto"/>
                <w:spacing w:val="0"/>
                <w:sz w:val="24"/>
                <w:szCs w:val="24"/>
                <w:highlight w:val="none"/>
                <w:shd w:val="clear" w:fill="FFFFFF"/>
                <w:lang w:val="en-US" w:eastAsia="zh-CN"/>
              </w:rPr>
              <w:t>500</w:t>
            </w:r>
            <w:r>
              <w:rPr>
                <w:rFonts w:hint="eastAsia" w:ascii="宋体" w:hAnsi="宋体" w:eastAsia="宋体" w:cs="宋体"/>
                <w:i w:val="0"/>
                <w:iCs w:val="0"/>
                <w:caps w:val="0"/>
                <w:color w:val="auto"/>
                <w:spacing w:val="0"/>
                <w:sz w:val="24"/>
                <w:szCs w:val="24"/>
                <w:highlight w:val="none"/>
                <w:shd w:val="clear" w:fill="FFFFFF"/>
              </w:rPr>
              <w:t>万元，拟建设一座集医养功能于一体的综合服务中心。项目总建筑面积11543平方米，主要包括以下两部分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医疗服务中心（位于1-2层，建筑面积2619.73平方米），可设置医疗床位50张；养老服务中心（位于1、3-8层，建筑面积8923.27平方米），涵盖入住服务、生活照护、康复训练、文娱活动、社会工作室及相关附属用房，可设置养老床位200张</w:t>
            </w:r>
            <w:r>
              <w:rPr>
                <w:rFonts w:hint="eastAsia" w:ascii="宋体" w:hAnsi="宋体" w:eastAsia="宋体" w:cs="宋体"/>
                <w:i w:val="0"/>
                <w:iCs w:val="0"/>
                <w:caps w:val="0"/>
                <w:color w:val="auto"/>
                <w:spacing w:val="0"/>
                <w:sz w:val="24"/>
                <w:szCs w:val="24"/>
                <w:highlight w:val="none"/>
                <w:shd w:val="clear" w:fill="FFFFFF"/>
                <w:lang w:eastAsia="zh-CN"/>
              </w:rPr>
              <w:t>。</w:t>
            </w:r>
          </w:p>
        </w:tc>
      </w:tr>
      <w:tr w14:paraId="6C483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7" w:hRule="atLeast"/>
          <w:jc w:val="center"/>
        </w:trPr>
        <w:tc>
          <w:tcPr>
            <w:tcW w:w="0" w:type="auto"/>
            <w:shd w:val="clear" w:color="auto" w:fill="FFFFFF" w:themeFill="background1"/>
            <w:tcMar>
              <w:top w:w="72" w:type="dxa"/>
              <w:left w:w="144" w:type="dxa"/>
              <w:bottom w:w="72" w:type="dxa"/>
              <w:right w:w="144" w:type="dxa"/>
            </w:tcMar>
            <w:vAlign w:val="top"/>
          </w:tcPr>
          <w:p w14:paraId="4C181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4.潜江市乡镇（街道）区域养老服务中心建设项目</w:t>
            </w:r>
          </w:p>
          <w:p w14:paraId="3AE1F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w:t>
            </w:r>
            <w:r>
              <w:rPr>
                <w:rFonts w:hint="eastAsia" w:ascii="宋体" w:hAnsi="宋体" w:eastAsia="宋体" w:cs="宋体"/>
                <w:i w:val="0"/>
                <w:iCs w:val="0"/>
                <w:caps w:val="0"/>
                <w:color w:val="auto"/>
                <w:spacing w:val="0"/>
                <w:sz w:val="24"/>
                <w:szCs w:val="24"/>
                <w:highlight w:val="none"/>
                <w:shd w:val="clear" w:fill="FFFFFF"/>
                <w:lang w:val="en-US" w:eastAsia="zh-CN"/>
              </w:rPr>
              <w:t>3000</w:t>
            </w:r>
            <w:r>
              <w:rPr>
                <w:rFonts w:hint="eastAsia" w:ascii="宋体" w:hAnsi="宋体" w:eastAsia="宋体" w:cs="宋体"/>
                <w:i w:val="0"/>
                <w:iCs w:val="0"/>
                <w:caps w:val="0"/>
                <w:color w:val="auto"/>
                <w:spacing w:val="0"/>
                <w:sz w:val="24"/>
                <w:szCs w:val="24"/>
                <w:highlight w:val="none"/>
                <w:shd w:val="clear" w:fill="FFFFFF"/>
              </w:rPr>
              <w:t>万元，其中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中央预算内投资</w:t>
            </w:r>
            <w:r>
              <w:rPr>
                <w:rFonts w:hint="eastAsia" w:ascii="宋体" w:hAnsi="宋体" w:eastAsia="宋体" w:cs="宋体"/>
                <w:i w:val="0"/>
                <w:iCs w:val="0"/>
                <w:caps w:val="0"/>
                <w:color w:val="auto"/>
                <w:spacing w:val="0"/>
                <w:sz w:val="24"/>
                <w:szCs w:val="24"/>
                <w:highlight w:val="none"/>
                <w:shd w:val="clear" w:fill="FFFFFF"/>
                <w:lang w:val="en-US" w:eastAsia="zh-CN"/>
              </w:rPr>
              <w:t>2100</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通过整合利用区镇街道闲置的校舍、卫生院、社区用房等公共资源，改造扩建为区域性养老服务</w:t>
            </w:r>
            <w:r>
              <w:rPr>
                <w:rFonts w:hint="eastAsia" w:ascii="宋体" w:hAnsi="宋体" w:eastAsia="宋体" w:cs="宋体"/>
                <w:i w:val="0"/>
                <w:iCs w:val="0"/>
                <w:caps w:val="0"/>
                <w:color w:val="auto"/>
                <w:spacing w:val="0"/>
                <w:sz w:val="24"/>
                <w:szCs w:val="24"/>
                <w:highlight w:val="none"/>
                <w:shd w:val="clear" w:fill="FFFFFF"/>
                <w:lang w:val="en-US" w:eastAsia="zh-CN"/>
              </w:rPr>
              <w:t>中心</w:t>
            </w:r>
            <w:r>
              <w:rPr>
                <w:rFonts w:hint="eastAsia" w:ascii="宋体" w:hAnsi="宋体" w:eastAsia="宋体" w:cs="宋体"/>
                <w:i w:val="0"/>
                <w:iCs w:val="0"/>
                <w:caps w:val="0"/>
                <w:color w:val="auto"/>
                <w:spacing w:val="0"/>
                <w:sz w:val="24"/>
                <w:szCs w:val="24"/>
                <w:highlight w:val="none"/>
                <w:shd w:val="clear" w:fill="FFFFFF"/>
              </w:rPr>
              <w:t>。项目计划建设此类</w:t>
            </w:r>
            <w:r>
              <w:rPr>
                <w:rFonts w:hint="eastAsia" w:ascii="宋体" w:hAnsi="宋体" w:eastAsia="宋体" w:cs="宋体"/>
                <w:i w:val="0"/>
                <w:iCs w:val="0"/>
                <w:caps w:val="0"/>
                <w:color w:val="auto"/>
                <w:spacing w:val="0"/>
                <w:sz w:val="24"/>
                <w:szCs w:val="24"/>
                <w:highlight w:val="none"/>
                <w:shd w:val="clear" w:fill="FFFFFF"/>
                <w:lang w:val="en-US" w:eastAsia="zh-CN"/>
              </w:rPr>
              <w:t>服务中心6</w:t>
            </w:r>
            <w:r>
              <w:rPr>
                <w:rFonts w:hint="eastAsia" w:ascii="宋体" w:hAnsi="宋体" w:eastAsia="宋体" w:cs="宋体"/>
                <w:i w:val="0"/>
                <w:iCs w:val="0"/>
                <w:caps w:val="0"/>
                <w:color w:val="auto"/>
                <w:spacing w:val="0"/>
                <w:sz w:val="24"/>
                <w:szCs w:val="24"/>
                <w:highlight w:val="none"/>
                <w:shd w:val="clear" w:fill="FFFFFF"/>
              </w:rPr>
              <w:t>个，总建筑面积约</w:t>
            </w:r>
            <w:r>
              <w:rPr>
                <w:rFonts w:hint="eastAsia" w:ascii="宋体" w:hAnsi="宋体" w:eastAsia="宋体" w:cs="宋体"/>
                <w:i w:val="0"/>
                <w:iCs w:val="0"/>
                <w:caps w:val="0"/>
                <w:color w:val="auto"/>
                <w:spacing w:val="0"/>
                <w:sz w:val="24"/>
                <w:szCs w:val="24"/>
                <w:highlight w:val="none"/>
                <w:shd w:val="clear" w:fill="FFFFFF"/>
                <w:lang w:val="en-US" w:eastAsia="zh-CN"/>
              </w:rPr>
              <w:t>6000</w:t>
            </w:r>
            <w:r>
              <w:rPr>
                <w:rFonts w:hint="eastAsia" w:ascii="宋体" w:hAnsi="宋体" w:eastAsia="宋体" w:cs="宋体"/>
                <w:i w:val="0"/>
                <w:iCs w:val="0"/>
                <w:caps w:val="0"/>
                <w:color w:val="auto"/>
                <w:spacing w:val="0"/>
                <w:sz w:val="24"/>
                <w:szCs w:val="24"/>
                <w:highlight w:val="none"/>
                <w:shd w:val="clear" w:fill="FFFFFF"/>
              </w:rPr>
              <w:t>平方米，单个面积不低于1000平方米，平均单个投资约500万元。</w:t>
            </w:r>
          </w:p>
        </w:tc>
      </w:tr>
    </w:tbl>
    <w:p w14:paraId="11E83F2A">
      <w:pPr>
        <w:keepNext/>
        <w:keepLines/>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41" w:name="_Toc4523"/>
      <w:bookmarkStart w:id="42" w:name="_Toc20785"/>
      <w:bookmarkStart w:id="43" w:name="_Toc24398"/>
      <w:r>
        <w:rPr>
          <w:rFonts w:hint="eastAsia" w:ascii="华文中宋" w:hAnsi="华文中宋" w:eastAsia="华文中宋" w:cs="华文中宋"/>
          <w:color w:val="auto"/>
          <w:sz w:val="32"/>
          <w:szCs w:val="32"/>
          <w:highlight w:val="none"/>
          <w:lang w:val="en-US" w:eastAsia="zh-CN"/>
        </w:rPr>
        <w:t>（六）加快补齐农村养老服务短板</w:t>
      </w:r>
      <w:bookmarkEnd w:id="41"/>
      <w:bookmarkEnd w:id="42"/>
    </w:p>
    <w:p w14:paraId="413800B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0" w:firstLineChars="200"/>
        <w:textAlignment w:val="auto"/>
        <w:rPr>
          <w:rFonts w:hint="eastAsia" w:ascii="宋体" w:hAnsi="宋体" w:eastAsia="宋体" w:cs="宋体"/>
          <w:i w:val="0"/>
          <w:iCs w:val="0"/>
          <w:caps w:val="0"/>
          <w:color w:val="auto"/>
          <w:spacing w:val="0"/>
          <w:sz w:val="30"/>
          <w:szCs w:val="30"/>
          <w:highlight w:val="none"/>
          <w:shd w:val="clear" w:fill="FFFFFF"/>
          <w:lang w:eastAsia="zh-CN"/>
        </w:rPr>
      </w:pPr>
      <w:r>
        <w:rPr>
          <w:rFonts w:hint="eastAsia" w:ascii="仿宋_GB2312" w:hAnsi="仿宋_GB2312" w:eastAsia="仿宋_GB2312" w:cs="仿宋_GB2312"/>
          <w:bCs w:val="0"/>
          <w:color w:val="auto"/>
          <w:kern w:val="2"/>
          <w:sz w:val="32"/>
          <w:szCs w:val="32"/>
          <w:highlight w:val="none"/>
          <w:lang w:val="en-US" w:eastAsia="zh-CN" w:bidi="ar-SA"/>
        </w:rPr>
        <w:t>将农村养老服务发展纳入乡村振兴战略，推动养老服务设施纳入乡镇级国土空间规划或村庄规划。大力推进互助性养老服务，健全</w:t>
      </w:r>
      <w:r>
        <w:rPr>
          <w:rFonts w:hint="eastAsia" w:ascii="仿宋_GB2312" w:hAnsi="仿宋_GB2312" w:eastAsia="仿宋_GB2312" w:cs="仿宋_GB2312"/>
          <w:sz w:val="32"/>
          <w:szCs w:val="32"/>
          <w:highlight w:val="none"/>
          <w:lang w:val="en-US" w:eastAsia="zh-CN"/>
        </w:rPr>
        <w:t>因赡养人不在身边且居家生活困难需要关爱的独居、空巢、留守、失能、重残、计划生育特殊家庭等特殊困难老年人</w:t>
      </w:r>
      <w:r>
        <w:rPr>
          <w:rFonts w:hint="eastAsia" w:ascii="仿宋_GB2312" w:hAnsi="仿宋_GB2312" w:eastAsia="仿宋_GB2312" w:cs="仿宋_GB2312"/>
          <w:bCs w:val="0"/>
          <w:color w:val="auto"/>
          <w:kern w:val="2"/>
          <w:sz w:val="32"/>
          <w:szCs w:val="32"/>
          <w:highlight w:val="none"/>
          <w:lang w:val="en-US" w:eastAsia="zh-CN" w:bidi="ar-SA"/>
        </w:rPr>
        <w:t>的探访关爱与应急救援机制，鼓励农村集体经济组织发展养老服务和开发助老岗位，引导社会力量及城市养老机构参与运营，促进城乡均衡发展。充分发挥村党组织、老年协会和群众自治组织的作用，利用集体收益改造闲置设施、开展照护技能培训。积极探索邻里互助、“中心户”、多户搭伙等灵活模式，化解农村独居老人的生存困境。支持公益慈善组织落地农村养老服务项目，通过基层党组织引领与社会力量协同，织密农村养老服务网络。</w:t>
      </w:r>
    </w:p>
    <w:p w14:paraId="5A36807D">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44" w:name="_Toc5881"/>
      <w:bookmarkStart w:id="45" w:name="_Toc4784"/>
      <w:r>
        <w:rPr>
          <w:rFonts w:hint="eastAsia" w:ascii="华文中宋" w:hAnsi="华文中宋" w:eastAsia="华文中宋" w:cs="华文中宋"/>
          <w:color w:val="auto"/>
          <w:sz w:val="32"/>
          <w:szCs w:val="32"/>
          <w:highlight w:val="none"/>
          <w:lang w:val="en-US" w:eastAsia="zh-CN"/>
        </w:rPr>
        <w:t>（七）促进医养融合发展</w:t>
      </w:r>
      <w:bookmarkEnd w:id="44"/>
      <w:bookmarkEnd w:id="45"/>
    </w:p>
    <w:p w14:paraId="37FEC62D">
      <w:pPr>
        <w:pStyle w:val="7"/>
        <w:spacing w:before="156" w:beforeLines="50" w:after="0" w:line="360" w:lineRule="auto"/>
        <w:ind w:firstLine="636" w:firstLineChars="200"/>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仿宋_GB2312" w:hAnsi="仿宋_GB2312" w:eastAsia="仿宋_GB2312" w:cs="仿宋_GB2312"/>
          <w:color w:val="auto"/>
          <w:spacing w:val="-1"/>
          <w:kern w:val="2"/>
          <w:sz w:val="32"/>
          <w:szCs w:val="32"/>
          <w:highlight w:val="none"/>
          <w:lang w:val="en-US" w:eastAsia="zh-CN" w:bidi="ar-SA"/>
        </w:rPr>
        <w:t>促进医养结合发展，深化医疗与养老服务在政策、制度及业务流程上的有机衔接，建设医养联合体，健全双向转诊绿色通道，简化转诊程序，根据养老机构内设医疗机构需要依法赋予相应处方权，鼓励具备条件的机构开展安宁疗护服务，加强对失能高危人群的早期识别与综合干预。落实医养结合支持政策，支持医疗机构发展老年病科、康复科等相关科室，协同推进“养老就医一张床”建设，并推动中医药服务进机构、进社区、进家庭。提升农村医养结合服务能力，推广乡镇卫生院与福利院“一院两区”、“两院一体”及村卫生室与日间照料中心“两室联建”等模式，推动基层医疗机构开展安宁疗护服务，加快病房适老化改造，深化老年友善医疗机构建设。</w:t>
      </w:r>
    </w:p>
    <w:p w14:paraId="2F3491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313" w:beforeLines="100" w:line="360" w:lineRule="auto"/>
        <w:ind w:firstLine="640" w:firstLineChars="200"/>
        <w:jc w:val="left"/>
        <w:textAlignment w:val="auto"/>
        <w:outlineLvl w:val="2"/>
        <w:rPr>
          <w:rFonts w:hint="default" w:ascii="华文中宋" w:hAnsi="华文中宋" w:eastAsia="华文中宋" w:cs="华文中宋"/>
          <w:b w:val="0"/>
          <w:bCs w:val="0"/>
          <w:color w:val="auto"/>
          <w:kern w:val="2"/>
          <w:sz w:val="32"/>
          <w:szCs w:val="32"/>
          <w:highlight w:val="none"/>
          <w:lang w:val="en-US" w:eastAsia="zh-CN" w:bidi="ar-SA"/>
        </w:rPr>
      </w:pPr>
      <w:bookmarkStart w:id="46" w:name="_Toc14372"/>
      <w:bookmarkStart w:id="47" w:name="_Toc23802"/>
      <w:r>
        <w:rPr>
          <w:rFonts w:hint="eastAsia" w:ascii="华文中宋" w:hAnsi="华文中宋" w:eastAsia="华文中宋" w:cs="华文中宋"/>
          <w:b w:val="0"/>
          <w:bCs w:val="0"/>
          <w:color w:val="auto"/>
          <w:kern w:val="2"/>
          <w:sz w:val="32"/>
          <w:szCs w:val="32"/>
          <w:highlight w:val="none"/>
          <w:lang w:val="en-US" w:eastAsia="zh-CN" w:bidi="ar-SA"/>
        </w:rPr>
        <w:t>（八）强化养老服务要素支持</w:t>
      </w:r>
      <w:bookmarkEnd w:id="46"/>
      <w:bookmarkEnd w:id="47"/>
    </w:p>
    <w:p w14:paraId="2C2089AA">
      <w:pPr>
        <w:keepNext w:val="0"/>
        <w:keepLines w:val="0"/>
        <w:pageBreakBefore w:val="0"/>
        <w:widowControl w:val="0"/>
        <w:kinsoku/>
        <w:wordWrap/>
        <w:overflowPunct w:val="0"/>
        <w:topLinePunct w:val="0"/>
        <w:autoSpaceDE/>
        <w:autoSpaceDN/>
        <w:bidi w:val="0"/>
        <w:adjustRightInd w:val="0"/>
        <w:snapToGrid w:val="0"/>
        <w:spacing w:before="156" w:beforeLines="50" w:line="360" w:lineRule="auto"/>
        <w:ind w:firstLine="72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强化智慧赋能。</w:t>
      </w:r>
      <w:r>
        <w:rPr>
          <w:rFonts w:hint="eastAsia" w:eastAsia="仿宋_GB2312" w:cs="仿宋_GB2312" w:asciiTheme="minorEastAsia" w:hAnsiTheme="minorEastAsia"/>
          <w:b w:val="0"/>
          <w:bCs w:val="0"/>
          <w:color w:val="auto"/>
          <w:kern w:val="2"/>
          <w:sz w:val="32"/>
          <w:szCs w:val="32"/>
          <w:highlight w:val="none"/>
          <w:lang w:val="en-US" w:eastAsia="zh-CN" w:bidi="ar-SA"/>
        </w:rPr>
        <w:t>建立老年人能力与健康评估衔接机制，完善全市失能老年人数据库。推动养老服务“两项补贴”、高龄津贴“一网通办”。推广应用照护机器人、人工智能等智能产品，开发“养老服务电子地图”，</w:t>
      </w:r>
      <w:r>
        <w:rPr>
          <w:rFonts w:hint="default" w:eastAsia="仿宋_GB2312" w:cs="仿宋_GB2312" w:asciiTheme="minorEastAsia" w:hAnsiTheme="minorEastAsia"/>
          <w:b w:val="0"/>
          <w:bCs w:val="0"/>
          <w:color w:val="auto"/>
          <w:kern w:val="2"/>
          <w:sz w:val="32"/>
          <w:szCs w:val="32"/>
          <w:highlight w:val="none"/>
          <w:lang w:val="en-US" w:eastAsia="zh-CN" w:bidi="ar-SA"/>
        </w:rPr>
        <w:t>以科技手段精准对接服务需求，提升养老服务智能化水平</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76C0D2B0">
      <w:pPr>
        <w:keepNext w:val="0"/>
        <w:keepLines w:val="0"/>
        <w:pageBreakBefore w:val="0"/>
        <w:widowControl w:val="0"/>
        <w:kinsoku/>
        <w:wordWrap/>
        <w:overflowPunct w:val="0"/>
        <w:topLinePunct w:val="0"/>
        <w:autoSpaceDE/>
        <w:autoSpaceDN/>
        <w:bidi w:val="0"/>
        <w:adjustRightInd w:val="0"/>
        <w:snapToGrid w:val="0"/>
        <w:spacing w:before="156" w:beforeLines="50" w:line="360" w:lineRule="auto"/>
        <w:ind w:firstLine="72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健全养老服务综合监管体系。</w:t>
      </w:r>
      <w:r>
        <w:rPr>
          <w:rFonts w:hint="default" w:eastAsia="仿宋_GB2312" w:cs="仿宋_GB2312" w:asciiTheme="minorEastAsia" w:hAnsiTheme="minorEastAsia"/>
          <w:b w:val="0"/>
          <w:bCs w:val="0"/>
          <w:color w:val="auto"/>
          <w:kern w:val="2"/>
          <w:sz w:val="32"/>
          <w:szCs w:val="32"/>
          <w:highlight w:val="none"/>
          <w:lang w:val="en-US" w:eastAsia="zh-CN" w:bidi="ar-SA"/>
        </w:rPr>
        <w:t>构建政府主导、部门协同、行业自律、机构主责、社会监督的多方共治格局，重点强化对用地、运营、质量、安全及资金使用的监管。全面推行“双随机、一公开”及部门联合执法，依托统一的养老服务信息平台和大数据手段，建立严重失信主体“黑名单”制度及市场退出机制，形成“一处失信、处处受限”的信用惩戒格局。明确安全标准与应急预案，对因历史遗留问题影响消防审验的机构按“一事一议”原则妥善处置，确保所有养老机构安全达标</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77B74B7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156" w:beforeLines="50" w:line="360" w:lineRule="auto"/>
        <w:ind w:leftChars="0" w:firstLine="643" w:firstLineChars="20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bookmarkStart w:id="48" w:name="_Toc9497"/>
      <w:r>
        <w:rPr>
          <w:rFonts w:hint="eastAsia" w:ascii="华文楷体" w:hAnsi="华文楷体" w:eastAsia="华文楷体" w:cs="华文楷体"/>
          <w:b/>
          <w:bCs/>
          <w:color w:val="auto"/>
          <w:kern w:val="2"/>
          <w:sz w:val="32"/>
          <w:szCs w:val="32"/>
          <w:highlight w:val="none"/>
          <w:lang w:val="en-US" w:eastAsia="zh-CN" w:bidi="ar-SA"/>
        </w:rPr>
        <w:t>打造高素质养老服务人才队伍。</w:t>
      </w:r>
      <w:r>
        <w:rPr>
          <w:rFonts w:hint="default" w:eastAsia="仿宋_GB2312" w:cs="仿宋_GB2312" w:asciiTheme="minorEastAsia" w:hAnsiTheme="minorEastAsia"/>
          <w:b w:val="0"/>
          <w:bCs w:val="0"/>
          <w:color w:val="auto"/>
          <w:kern w:val="2"/>
          <w:sz w:val="32"/>
          <w:szCs w:val="32"/>
          <w:highlight w:val="none"/>
          <w:lang w:val="en-US" w:eastAsia="zh-CN" w:bidi="ar-SA"/>
        </w:rPr>
        <w:t>建立从业人员资格与能力标准体系，打通技能人才与专业技术人才的双向职业发展通道。支持职业院校增设养老服务相关专业，市级每年组织专项技能等级培训，加大对养老护理员、老年人能力评估师等关键岗位的培训力度，确保护理员持证上岗率</w:t>
      </w:r>
      <w:r>
        <w:rPr>
          <w:rFonts w:hint="eastAsia" w:eastAsia="仿宋_GB2312" w:cs="仿宋_GB2312" w:asciiTheme="minorEastAsia" w:hAnsiTheme="minorEastAsia"/>
          <w:b w:val="0"/>
          <w:bCs w:val="0"/>
          <w:color w:val="auto"/>
          <w:kern w:val="2"/>
          <w:sz w:val="32"/>
          <w:szCs w:val="32"/>
          <w:highlight w:val="none"/>
          <w:lang w:val="en-US" w:eastAsia="zh-CN" w:bidi="ar-SA"/>
        </w:rPr>
        <w:t>达到80</w:t>
      </w:r>
      <w:r>
        <w:rPr>
          <w:rFonts w:hint="default" w:eastAsia="仿宋_GB2312" w:cs="仿宋_GB2312" w:asciiTheme="minorEastAsia" w:hAnsiTheme="minorEastAsia"/>
          <w:b w:val="0"/>
          <w:bCs w:val="0"/>
          <w:color w:val="auto"/>
          <w:kern w:val="2"/>
          <w:sz w:val="32"/>
          <w:szCs w:val="32"/>
          <w:highlight w:val="none"/>
          <w:lang w:val="en-US" w:eastAsia="zh-CN" w:bidi="ar-SA"/>
        </w:rPr>
        <w:t>%。同时，完善入职补贴、岗位津贴及薪酬增长机制，定期开展“优秀院长”“最美养老护理员”等评选表彰活动，增强职业吸引力。推动养老机构配齐多学科专业人才，建立全市统一的人才信息库与专家库，为养老服务高质量发展提供坚实人才保障</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3C8A1BA2">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49" w:name="_Toc6006"/>
      <w:r>
        <w:rPr>
          <w:rFonts w:hint="eastAsia" w:ascii="华文中宋" w:hAnsi="华文中宋" w:eastAsia="华文中宋" w:cs="华文中宋"/>
          <w:color w:val="auto"/>
          <w:sz w:val="32"/>
          <w:szCs w:val="32"/>
          <w:highlight w:val="none"/>
          <w:lang w:val="en-US" w:eastAsia="zh-CN"/>
        </w:rPr>
        <w:t>（九）打造银发经济发展新动能</w:t>
      </w:r>
      <w:bookmarkEnd w:id="48"/>
      <w:bookmarkEnd w:id="49"/>
    </w:p>
    <w:p w14:paraId="54CE71D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培育市场主体。</w:t>
      </w:r>
      <w:r>
        <w:rPr>
          <w:rFonts w:hint="eastAsia" w:ascii="仿宋_GB2312" w:hAnsi="仿宋_GB2312" w:eastAsia="仿宋_GB2312" w:cs="仿宋_GB2312"/>
          <w:color w:val="auto"/>
          <w:spacing w:val="-1"/>
          <w:kern w:val="2"/>
          <w:sz w:val="32"/>
          <w:szCs w:val="32"/>
          <w:highlight w:val="none"/>
          <w:lang w:val="en-US" w:eastAsia="zh-CN" w:bidi="ar-SA"/>
        </w:rPr>
        <w:t>鼓励和引导国有企业、事业单位盘活闲置资产，布局银发经济相关产业。发挥民营经济作用，支持民营企业按市场化原则参与养老服务，完善政企沟通机制。依托市级养老服务平台，将乡镇（街道）综合体、社区日间照料中心、农村互助养老阵地纳入统一管理，建立股份制养老企业，推进社会化运营。</w:t>
      </w:r>
      <w:r>
        <w:rPr>
          <w:rFonts w:hint="default" w:ascii="仿宋_GB2312" w:hAnsi="仿宋_GB2312" w:eastAsia="仿宋_GB2312" w:cs="仿宋_GB2312"/>
          <w:color w:val="auto"/>
          <w:spacing w:val="-1"/>
          <w:kern w:val="2"/>
          <w:sz w:val="32"/>
          <w:szCs w:val="32"/>
          <w:highlight w:val="none"/>
          <w:lang w:val="en-US" w:eastAsia="zh-CN" w:bidi="ar-SA"/>
        </w:rPr>
        <w:t>培育一批老年用品专精特新研发制造企业，重点布局智能机器人、智能穿戴设备、居家养老监护等智能养老设备研发，在智慧健康、智慧养老领域培育一批示范企业</w:t>
      </w:r>
      <w:r>
        <w:rPr>
          <w:rFonts w:hint="eastAsia" w:ascii="仿宋_GB2312" w:hAnsi="仿宋_GB2312" w:eastAsia="仿宋_GB2312" w:cs="仿宋_GB2312"/>
          <w:color w:val="auto"/>
          <w:spacing w:val="-1"/>
          <w:kern w:val="2"/>
          <w:sz w:val="32"/>
          <w:szCs w:val="32"/>
          <w:highlight w:val="none"/>
          <w:lang w:val="en-US" w:eastAsia="zh-CN" w:bidi="ar-SA"/>
        </w:rPr>
        <w:t>。</w:t>
      </w:r>
    </w:p>
    <w:p w14:paraId="65E5A40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推动产业融合发展。</w:t>
      </w:r>
      <w:r>
        <w:rPr>
          <w:rFonts w:hint="eastAsia" w:ascii="仿宋_GB2312" w:hAnsi="仿宋_GB2312" w:eastAsia="仿宋_GB2312" w:cs="仿宋_GB2312"/>
          <w:color w:val="auto"/>
          <w:spacing w:val="-1"/>
          <w:kern w:val="2"/>
          <w:sz w:val="32"/>
          <w:szCs w:val="32"/>
          <w:highlight w:val="none"/>
          <w:lang w:val="en-US" w:eastAsia="zh-CN" w:bidi="ar-SA"/>
        </w:rPr>
        <w:t>促进养老服务与健康、养生、旅游、文化、体育、休闲、家政等产业深度融合，加快培育壮大银发经济。大力发展适老化产品及服务支撑体系，推动适老家具、专用易耗品等养老设施设备的标准化与产业化发展，完善涵盖人才培训、劳务派遣的护理服务供给网络。拓展面向老年人的旅居康养、医疗保健、心理慰藉等延伸服务业态，通过多业态集聚与联动，构建全方位、全周期的养老服务生态，满足老年人多样化、多层次的消费需求。充分发挥现有资金渠道的引导作用，鼓励老年用品技术研发、成果转化与市场推广，推动产业实现品牌化跃升、绿色化转型和智能化发展。</w:t>
      </w:r>
    </w:p>
    <w:p w14:paraId="1A6F0D2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643" w:firstLineChars="200"/>
        <w:textAlignment w:val="auto"/>
        <w:rPr>
          <w:rFonts w:hint="eastAsia" w:ascii="仿宋_GB2312" w:hAnsi="仿宋_GB2312" w:eastAsia="仿宋_GB2312" w:cs="仿宋_GB2312"/>
          <w:color w:val="auto"/>
          <w:spacing w:val="-1"/>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完善产业发展保障体系。</w:t>
      </w:r>
      <w:r>
        <w:rPr>
          <w:rFonts w:hint="eastAsia" w:ascii="仿宋_GB2312" w:hAnsi="仿宋_GB2312" w:eastAsia="仿宋_GB2312" w:cs="仿宋_GB2312"/>
          <w:color w:val="auto"/>
          <w:spacing w:val="-1"/>
          <w:kern w:val="2"/>
          <w:sz w:val="32"/>
          <w:szCs w:val="32"/>
          <w:highlight w:val="none"/>
          <w:lang w:val="en-US" w:eastAsia="zh-CN" w:bidi="ar-SA"/>
        </w:rPr>
        <w:t>采用“政府引导、市场运作”模式，通过公建民营、招商引资等途径，吸引龙头企业与创新型企业带资、带技术、带市场入驻，集中发展高端医疗器械、生物制药、智慧康养技术及适老化产品研发制造。 </w:t>
      </w:r>
      <w:r>
        <w:rPr>
          <w:rFonts w:hint="default" w:ascii="仿宋_GB2312" w:hAnsi="仿宋_GB2312" w:eastAsia="仿宋_GB2312" w:cs="仿宋_GB2312"/>
          <w:color w:val="auto"/>
          <w:spacing w:val="-1"/>
          <w:kern w:val="2"/>
          <w:sz w:val="32"/>
          <w:szCs w:val="32"/>
          <w:highlight w:val="none"/>
          <w:lang w:val="en-US" w:eastAsia="zh-CN" w:bidi="ar-SA"/>
        </w:rPr>
        <w:t>建设老年用品创新平台，定期发布产品推广目录，促进优质产品推广应用</w:t>
      </w:r>
      <w:r>
        <w:rPr>
          <w:rFonts w:hint="eastAsia" w:ascii="仿宋_GB2312" w:hAnsi="仿宋_GB2312" w:eastAsia="仿宋_GB2312" w:cs="仿宋_GB2312"/>
          <w:color w:val="auto"/>
          <w:spacing w:val="-1"/>
          <w:kern w:val="2"/>
          <w:sz w:val="32"/>
          <w:szCs w:val="32"/>
          <w:highlight w:val="none"/>
          <w:lang w:val="en-US" w:eastAsia="zh-CN" w:bidi="ar-SA"/>
        </w:rPr>
        <w:t>。</w:t>
      </w:r>
    </w:p>
    <w:tbl>
      <w:tblPr>
        <w:tblStyle w:val="19"/>
        <w:tblW w:w="921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9214"/>
      </w:tblGrid>
      <w:tr w14:paraId="10F59A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921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19D87FE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561"/>
              <w:jc w:val="center"/>
              <w:textAlignment w:val="auto"/>
              <w:rPr>
                <w:rFonts w:hint="default"/>
                <w:color w:val="auto"/>
                <w:highlight w:val="none"/>
                <w:lang w:val="en-US"/>
              </w:rPr>
            </w:pPr>
            <w:r>
              <w:rPr>
                <w:rFonts w:hint="eastAsia" w:ascii="黑体" w:hAnsi="黑体" w:eastAsia="黑体" w:cs="黑体"/>
                <w:b w:val="0"/>
                <w:bCs w:val="0"/>
                <w:color w:val="auto"/>
                <w:kern w:val="24"/>
                <w:sz w:val="28"/>
                <w:szCs w:val="28"/>
                <w:highlight w:val="none"/>
                <w:lang w:val="en-US" w:eastAsia="zh-CN" w:bidi="ar-SA"/>
                <w14:ligatures w14:val="none"/>
              </w:rPr>
              <w:t>专栏二  培育发展养老产业</w:t>
            </w:r>
          </w:p>
        </w:tc>
      </w:tr>
      <w:tr w14:paraId="447752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48" w:hRule="atLeast"/>
        </w:trPr>
        <w:tc>
          <w:tcPr>
            <w:tcW w:w="92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40C91AC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pPr>
            <w:r>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t>1.发展社区型银发产业</w:t>
            </w:r>
          </w:p>
          <w:p w14:paraId="482BE7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立足本地现有资源，分层级、有重点地激活银发产业发展潜能。在集镇，以现有养老机构、区域性养老服务中心、社区日间照料中心等设施为依托，鼓励引导本地企业开发老年服饰、适老食品、康复辅具及健康管理项目。在农村，依托有条件的村湾，培育发展“小而美、小而精”的养老服务合作社，为本地老年人提供普惠型、互助式养老服务。力争通过上述措施，实现银发本位产业年产值达1亿元，带动就业岗位300个以上</w:t>
            </w:r>
            <w:r>
              <w:rPr>
                <w:rFonts w:hint="eastAsia" w:ascii="宋体" w:hAnsi="宋体" w:eastAsia="宋体" w:cs="宋体"/>
                <w:i w:val="0"/>
                <w:iCs w:val="0"/>
                <w:caps w:val="0"/>
                <w:color w:val="auto"/>
                <w:spacing w:val="0"/>
                <w:sz w:val="24"/>
                <w:szCs w:val="24"/>
                <w:highlight w:val="none"/>
                <w:shd w:val="clear" w:fill="FFFFFF"/>
                <w:lang w:eastAsia="zh-CN"/>
              </w:rPr>
              <w:t>。</w:t>
            </w:r>
          </w:p>
        </w:tc>
      </w:tr>
      <w:tr w14:paraId="14C210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92" w:hRule="atLeast"/>
        </w:trPr>
        <w:tc>
          <w:tcPr>
            <w:tcW w:w="92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16E428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pPr>
            <w:r>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t>2.做强银发经济关键环节供应链</w:t>
            </w:r>
          </w:p>
          <w:p w14:paraId="32BD12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围绕银发经济发展需求，着力补齐相关产业供应链条，重点发展三类配套服务体系：一是养老设施与机构所需的专业家具、适老设施及专用易耗品等配套产业；二是涵盖护理人员培训、专业化劳务派遣、老年护理专用产品及康复器械在内的护理服务支撑体系；三是面向老年人深层需求的娱乐、学习、旅居、医疗保健、营养膳食、心理咨询等延伸服务业态。</w:t>
            </w:r>
          </w:p>
        </w:tc>
      </w:tr>
      <w:tr w14:paraId="08C7A9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96" w:hRule="atLeast"/>
        </w:trPr>
        <w:tc>
          <w:tcPr>
            <w:tcW w:w="92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370D20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pPr>
            <w:r>
              <w:rPr>
                <w:rStyle w:val="22"/>
                <w:rFonts w:hint="eastAsia" w:ascii="黑体" w:hAnsi="黑体" w:eastAsia="黑体" w:cs="黑体"/>
                <w:b w:val="0"/>
                <w:bCs w:val="0"/>
                <w:i w:val="0"/>
                <w:iCs w:val="0"/>
                <w:caps w:val="0"/>
                <w:color w:val="auto"/>
                <w:spacing w:val="0"/>
                <w:sz w:val="24"/>
                <w:szCs w:val="24"/>
                <w:highlight w:val="none"/>
                <w:shd w:val="clear" w:fill="FFFFFF"/>
                <w:lang w:val="en-US" w:eastAsia="zh-CN"/>
              </w:rPr>
              <w:t>3.建设市级养老服务平台，培育社会化养老服务主力军</w:t>
            </w:r>
          </w:p>
          <w:p w14:paraId="080EA82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市级养老服务平台，着力培育普惠性、连锁性养老服务市场主体。将乡镇/街道综合体、社区日间照料中心、农村互助养老阵地纳入平台统一管理，通过加盟、招商引资，吸引当地店铺、农村闲置房产和外地养老资源，建立股份制养老企业，全力推进社会化养老服务。</w:t>
            </w:r>
          </w:p>
        </w:tc>
      </w:tr>
    </w:tbl>
    <w:p w14:paraId="587D805D">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640" w:firstLineChars="200"/>
        <w:textAlignment w:val="auto"/>
        <w:outlineLvl w:val="1"/>
        <w:rPr>
          <w:rFonts w:hint="eastAsia" w:ascii="黑体" w:hAnsi="黑体" w:eastAsia="黑体" w:cs="黑体"/>
          <w:color w:val="auto"/>
          <w:sz w:val="32"/>
          <w:szCs w:val="32"/>
          <w:highlight w:val="none"/>
          <w:lang w:eastAsia="zh-CN"/>
        </w:rPr>
      </w:pPr>
      <w:bookmarkStart w:id="50" w:name="_Toc28388"/>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、聚焦扶弱济困，织牢民生兜底保障网</w:t>
      </w:r>
      <w:bookmarkEnd w:id="50"/>
    </w:p>
    <w:p w14:paraId="6BAD195F">
      <w:pPr>
        <w:keepNext/>
        <w:keepLines/>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ascii="华文中宋" w:hAnsi="华文中宋" w:eastAsia="华文中宋" w:cs="华文中宋"/>
          <w:color w:val="auto"/>
          <w:sz w:val="32"/>
          <w:szCs w:val="32"/>
          <w:highlight w:val="none"/>
        </w:rPr>
      </w:pPr>
      <w:bookmarkStart w:id="51" w:name="_Toc6939"/>
      <w:r>
        <w:rPr>
          <w:rFonts w:hint="eastAsia" w:ascii="华文中宋" w:hAnsi="华文中宋" w:eastAsia="华文中宋" w:cs="华文中宋"/>
          <w:color w:val="auto"/>
          <w:sz w:val="32"/>
          <w:szCs w:val="32"/>
          <w:highlight w:val="none"/>
        </w:rPr>
        <w:t>（一）打造精准高效的“大救助”体系</w:t>
      </w:r>
      <w:bookmarkEnd w:id="51"/>
    </w:p>
    <w:p w14:paraId="50776A3F">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3"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完善分层分类救助格局</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健全以基本生活救助、专项社会救助、急难社会救助为主体，社会力量参与为补充的分层分类社会救助体系。全面开展低保边缘家庭</w:t>
      </w:r>
      <w:r>
        <w:rPr>
          <w:rFonts w:hint="eastAsia" w:eastAsia="仿宋_GB2312" w:cs="仿宋_GB2312" w:asciiTheme="minorEastAsia" w:hAnsiTheme="minorEastAsia"/>
          <w:b w:val="0"/>
          <w:bCs w:val="0"/>
          <w:color w:val="auto"/>
          <w:kern w:val="2"/>
          <w:sz w:val="32"/>
          <w:szCs w:val="32"/>
          <w:highlight w:val="none"/>
          <w:lang w:val="en-US" w:eastAsia="zh-CN" w:bidi="ar-SA"/>
        </w:rPr>
        <w:t>、刚性支出困难家庭认定，</w:t>
      </w:r>
      <w:r>
        <w:rPr>
          <w:rFonts w:hint="default" w:eastAsia="仿宋_GB2312" w:cs="仿宋_GB2312" w:asciiTheme="minorEastAsia" w:hAnsiTheme="minorEastAsia"/>
          <w:b w:val="0"/>
          <w:bCs w:val="0"/>
          <w:color w:val="auto"/>
          <w:kern w:val="2"/>
          <w:sz w:val="32"/>
          <w:szCs w:val="32"/>
          <w:highlight w:val="none"/>
          <w:lang w:val="en-US" w:eastAsia="zh-CN" w:bidi="ar-SA"/>
        </w:rPr>
        <w:t>将专项救助范围有序拓展至低保边缘家庭成员和刚性支出困难家庭成员，形成衔接有序、梯度施助的救助格局。</w:t>
      </w:r>
      <w:r>
        <w:rPr>
          <w:rFonts w:hint="eastAsia" w:eastAsia="仿宋_GB2312" w:cs="仿宋_GB2312" w:asciiTheme="minorEastAsia" w:hAnsiTheme="minorEastAsia"/>
          <w:b w:val="0"/>
          <w:bCs w:val="0"/>
          <w:color w:val="auto"/>
          <w:kern w:val="2"/>
          <w:sz w:val="32"/>
          <w:szCs w:val="32"/>
          <w:highlight w:val="none"/>
          <w:lang w:val="en-US" w:eastAsia="zh-CN" w:bidi="ar-SA"/>
        </w:rPr>
        <w:t>对低保边缘家庭</w:t>
      </w:r>
      <w:r>
        <w:rPr>
          <w:rFonts w:hint="default" w:eastAsia="仿宋_GB2312" w:cs="仿宋_GB2312" w:asciiTheme="minorEastAsia" w:hAnsiTheme="minorEastAsia"/>
          <w:b w:val="0"/>
          <w:bCs w:val="0"/>
          <w:color w:val="auto"/>
          <w:kern w:val="2"/>
          <w:sz w:val="32"/>
          <w:szCs w:val="32"/>
          <w:highlight w:val="none"/>
          <w:lang w:val="en-US" w:eastAsia="zh-CN" w:bidi="ar-SA"/>
        </w:rPr>
        <w:t>中重病、重残人员按规定单独纳入低保，做到“应保尽保、应救尽救”。完善与人均消费支出挂钩的社会救助标准动态调整机制，稳步提</w:t>
      </w:r>
      <w:r>
        <w:rPr>
          <w:rFonts w:hint="eastAsia" w:eastAsia="仿宋_GB2312" w:cs="仿宋_GB2312" w:asciiTheme="minorEastAsia" w:hAnsiTheme="minorEastAsia"/>
          <w:b w:val="0"/>
          <w:bCs w:val="0"/>
          <w:color w:val="auto"/>
          <w:kern w:val="2"/>
          <w:sz w:val="32"/>
          <w:szCs w:val="32"/>
          <w:highlight w:val="none"/>
          <w:lang w:val="en-US" w:eastAsia="zh-CN" w:bidi="ar-SA"/>
        </w:rPr>
        <w:t>高</w:t>
      </w:r>
      <w:r>
        <w:rPr>
          <w:rFonts w:hint="default" w:eastAsia="仿宋_GB2312" w:cs="仿宋_GB2312" w:asciiTheme="minorEastAsia" w:hAnsiTheme="minorEastAsia"/>
          <w:b w:val="0"/>
          <w:bCs w:val="0"/>
          <w:color w:val="auto"/>
          <w:kern w:val="2"/>
          <w:sz w:val="32"/>
          <w:szCs w:val="32"/>
          <w:highlight w:val="none"/>
          <w:lang w:val="en-US" w:eastAsia="zh-CN" w:bidi="ar-SA"/>
        </w:rPr>
        <w:t>救助保障水平</w:t>
      </w:r>
      <w:r>
        <w:rPr>
          <w:rFonts w:hint="eastAsia" w:eastAsia="仿宋_GB2312" w:cs="仿宋_GB2312" w:asciiTheme="minorEastAsia" w:hAnsiTheme="minorEastAsia"/>
          <w:b w:val="0"/>
          <w:bCs w:val="0"/>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通过提升分散供养特困人员照料服务质量、</w:t>
      </w:r>
      <w:r>
        <w:rPr>
          <w:rFonts w:hint="eastAsia" w:eastAsia="仿宋_GB2312" w:cs="仿宋_GB2312" w:asciiTheme="minorEastAsia" w:hAnsiTheme="minorEastAsia"/>
          <w:b w:val="0"/>
          <w:bCs w:val="0"/>
          <w:color w:val="auto"/>
          <w:kern w:val="2"/>
          <w:sz w:val="32"/>
          <w:szCs w:val="32"/>
          <w:highlight w:val="none"/>
          <w:lang w:val="en-US" w:eastAsia="zh-CN" w:bidi="ar-SA"/>
        </w:rPr>
        <w:t>强化临时救助救急难功能、</w:t>
      </w:r>
      <w:r>
        <w:rPr>
          <w:rFonts w:hint="default" w:eastAsia="仿宋_GB2312" w:cs="仿宋_GB2312" w:asciiTheme="minorEastAsia" w:hAnsiTheme="minorEastAsia"/>
          <w:b w:val="0"/>
          <w:bCs w:val="0"/>
          <w:color w:val="auto"/>
          <w:kern w:val="2"/>
          <w:sz w:val="32"/>
          <w:szCs w:val="32"/>
          <w:highlight w:val="none"/>
          <w:lang w:val="en-US" w:eastAsia="zh-CN" w:bidi="ar-SA"/>
        </w:rPr>
        <w:t>充分发挥临时救助备用金制度</w:t>
      </w:r>
      <w:r>
        <w:rPr>
          <w:rFonts w:hint="eastAsia" w:eastAsia="仿宋_GB2312" w:cs="仿宋_GB2312" w:asciiTheme="minorEastAsia" w:hAnsiTheme="minorEastAsia"/>
          <w:b w:val="0"/>
          <w:bCs w:val="0"/>
          <w:color w:val="auto"/>
          <w:kern w:val="2"/>
          <w:sz w:val="32"/>
          <w:szCs w:val="32"/>
          <w:highlight w:val="none"/>
          <w:lang w:val="en-US" w:eastAsia="zh-CN" w:bidi="ar-SA"/>
        </w:rPr>
        <w:t>效能</w:t>
      </w:r>
      <w:r>
        <w:rPr>
          <w:rFonts w:hint="default" w:eastAsia="仿宋_GB2312" w:cs="仿宋_GB2312" w:asciiTheme="minorEastAsia" w:hAnsiTheme="minorEastAsia"/>
          <w:b w:val="0"/>
          <w:bCs w:val="0"/>
          <w:color w:val="auto"/>
          <w:kern w:val="2"/>
          <w:sz w:val="32"/>
          <w:szCs w:val="32"/>
          <w:highlight w:val="none"/>
          <w:lang w:val="en-US" w:eastAsia="zh-CN" w:bidi="ar-SA"/>
        </w:rPr>
        <w:t>等具体</w:t>
      </w:r>
      <w:r>
        <w:rPr>
          <w:rFonts w:hint="eastAsia" w:eastAsia="仿宋_GB2312" w:cs="仿宋_GB2312" w:asciiTheme="minorEastAsia" w:hAnsiTheme="minorEastAsia"/>
          <w:b w:val="0"/>
          <w:bCs w:val="0"/>
          <w:color w:val="auto"/>
          <w:kern w:val="2"/>
          <w:sz w:val="32"/>
          <w:szCs w:val="32"/>
          <w:highlight w:val="none"/>
          <w:lang w:val="en-US" w:eastAsia="zh-CN" w:bidi="ar-SA"/>
        </w:rPr>
        <w:t>举措</w:t>
      </w:r>
      <w:r>
        <w:rPr>
          <w:rFonts w:hint="default" w:eastAsia="仿宋_GB2312" w:cs="仿宋_GB2312" w:asciiTheme="minorEastAsia" w:hAnsiTheme="minorEastAsia"/>
          <w:b w:val="0"/>
          <w:bCs w:val="0"/>
          <w:color w:val="auto"/>
          <w:kern w:val="2"/>
          <w:sz w:val="32"/>
          <w:szCs w:val="32"/>
          <w:highlight w:val="none"/>
          <w:lang w:val="en-US" w:eastAsia="zh-CN" w:bidi="ar-SA"/>
        </w:rPr>
        <w:t>，进一步织密扎牢民生保障安全网，持续巩固和优化分层分类、综合高效的救助体系</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29C65F6E">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3"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健全</w:t>
      </w:r>
      <w:r>
        <w:rPr>
          <w:rFonts w:hint="eastAsia" w:ascii="华文楷体" w:hAnsi="华文楷体" w:eastAsia="华文楷体" w:cs="华文楷体"/>
          <w:b/>
          <w:bCs/>
          <w:color w:val="auto"/>
          <w:kern w:val="2"/>
          <w:sz w:val="32"/>
          <w:szCs w:val="32"/>
          <w:highlight w:val="none"/>
          <w:lang w:val="en-US" w:eastAsia="zh-CN" w:bidi="ar-SA"/>
        </w:rPr>
        <w:t>社会救助</w:t>
      </w:r>
      <w:r>
        <w:rPr>
          <w:rFonts w:hint="default" w:ascii="华文楷体" w:hAnsi="华文楷体" w:eastAsia="华文楷体" w:cs="华文楷体"/>
          <w:b/>
          <w:bCs/>
          <w:color w:val="auto"/>
          <w:kern w:val="2"/>
          <w:sz w:val="32"/>
          <w:szCs w:val="32"/>
          <w:highlight w:val="none"/>
          <w:lang w:val="en-US" w:eastAsia="zh-CN" w:bidi="ar-SA"/>
        </w:rPr>
        <w:t>工作机制</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坚持党委领导、政府负责、民政牵头、部门协同、社会参与的原则，健全社会救助工作</w:t>
      </w:r>
      <w:r>
        <w:rPr>
          <w:rFonts w:hint="eastAsia" w:eastAsia="仿宋_GB2312" w:cs="仿宋_GB2312" w:asciiTheme="minorEastAsia" w:hAnsiTheme="minorEastAsia"/>
          <w:b w:val="0"/>
          <w:bCs w:val="0"/>
          <w:color w:val="auto"/>
          <w:kern w:val="2"/>
          <w:sz w:val="32"/>
          <w:szCs w:val="32"/>
          <w:highlight w:val="none"/>
          <w:lang w:val="en-US" w:eastAsia="zh-CN" w:bidi="ar-SA"/>
        </w:rPr>
        <w:t>运行</w:t>
      </w:r>
      <w:r>
        <w:rPr>
          <w:rFonts w:hint="default" w:eastAsia="仿宋_GB2312" w:cs="仿宋_GB2312" w:asciiTheme="minorEastAsia" w:hAnsiTheme="minorEastAsia"/>
          <w:b w:val="0"/>
          <w:bCs w:val="0"/>
          <w:color w:val="auto"/>
          <w:kern w:val="2"/>
          <w:sz w:val="32"/>
          <w:szCs w:val="32"/>
          <w:highlight w:val="none"/>
          <w:lang w:val="en-US" w:eastAsia="zh-CN" w:bidi="ar-SA"/>
        </w:rPr>
        <w:t>机制。建立困难群众基本生活保障联席会议</w:t>
      </w:r>
      <w:r>
        <w:rPr>
          <w:rFonts w:hint="eastAsia" w:eastAsia="仿宋_GB2312" w:cs="仿宋_GB2312" w:asciiTheme="minorEastAsia" w:hAnsiTheme="minorEastAsia"/>
          <w:b w:val="0"/>
          <w:bCs w:val="0"/>
          <w:color w:val="auto"/>
          <w:kern w:val="2"/>
          <w:sz w:val="32"/>
          <w:szCs w:val="32"/>
          <w:highlight w:val="none"/>
          <w:lang w:val="en-US" w:eastAsia="zh-CN" w:bidi="ar-SA"/>
        </w:rPr>
        <w:t>制度</w:t>
      </w:r>
      <w:r>
        <w:rPr>
          <w:rFonts w:hint="default" w:eastAsia="仿宋_GB2312" w:cs="仿宋_GB2312" w:asciiTheme="minorEastAsia" w:hAnsiTheme="minorEastAsia"/>
          <w:b w:val="0"/>
          <w:bCs w:val="0"/>
          <w:color w:val="auto"/>
          <w:kern w:val="2"/>
          <w:sz w:val="32"/>
          <w:szCs w:val="32"/>
          <w:highlight w:val="none"/>
          <w:lang w:val="en-US" w:eastAsia="zh-CN" w:bidi="ar-SA"/>
        </w:rPr>
        <w:t>，加强部门间数据信息共享与救助资源整合，完善联动响应机制，协同</w:t>
      </w:r>
      <w:r>
        <w:rPr>
          <w:rFonts w:hint="eastAsia" w:eastAsia="仿宋_GB2312" w:cs="仿宋_GB2312" w:asciiTheme="minorEastAsia" w:hAnsiTheme="minorEastAsia"/>
          <w:b w:val="0"/>
          <w:bCs w:val="0"/>
          <w:color w:val="auto"/>
          <w:kern w:val="2"/>
          <w:sz w:val="32"/>
          <w:szCs w:val="32"/>
          <w:highlight w:val="none"/>
          <w:lang w:val="en-US" w:eastAsia="zh-CN" w:bidi="ar-SA"/>
        </w:rPr>
        <w:t>破解</w:t>
      </w:r>
      <w:r>
        <w:rPr>
          <w:rFonts w:hint="default" w:eastAsia="仿宋_GB2312" w:cs="仿宋_GB2312" w:asciiTheme="minorEastAsia" w:hAnsiTheme="minorEastAsia"/>
          <w:b w:val="0"/>
          <w:bCs w:val="0"/>
          <w:color w:val="auto"/>
          <w:kern w:val="2"/>
          <w:sz w:val="32"/>
          <w:szCs w:val="32"/>
          <w:highlight w:val="none"/>
          <w:lang w:val="en-US" w:eastAsia="zh-CN" w:bidi="ar-SA"/>
        </w:rPr>
        <w:t>各类困难群众的基本生活保障问题及特殊个案难题</w:t>
      </w:r>
      <w:r>
        <w:rPr>
          <w:rFonts w:hint="eastAsia" w:eastAsia="仿宋_GB2312" w:cs="仿宋_GB2312" w:asciiTheme="minorEastAsia" w:hAnsiTheme="minorEastAsia"/>
          <w:b w:val="0"/>
          <w:bCs w:val="0"/>
          <w:color w:val="auto"/>
          <w:kern w:val="2"/>
          <w:sz w:val="32"/>
          <w:szCs w:val="32"/>
          <w:highlight w:val="none"/>
          <w:lang w:val="en-US" w:eastAsia="zh-CN" w:bidi="ar-SA"/>
        </w:rPr>
        <w:t>。完善社会救助家庭核对机制，持续扩大核对信息跨部门联动共享，加强与金融、房产、税务、人社等部门的沟通交流，推动数据治理，完善分析模型，提升核对精准度。</w:t>
      </w:r>
    </w:p>
    <w:p w14:paraId="513F15DD">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3" w:firstLineChars="200"/>
        <w:textAlignment w:val="auto"/>
        <w:outlineLvl w:val="9"/>
        <w:rPr>
          <w:rFonts w:hint="default"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强化监督管理</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围绕审批权限下放、流程优化、时限压缩等开展规范化建设，明确各环节职责</w:t>
      </w:r>
      <w:r>
        <w:rPr>
          <w:rFonts w:hint="eastAsia" w:eastAsia="仿宋_GB2312" w:cs="仿宋_GB2312" w:asciiTheme="minorEastAsia" w:hAnsiTheme="minorEastAsia"/>
          <w:b w:val="0"/>
          <w:bCs w:val="0"/>
          <w:color w:val="auto"/>
          <w:kern w:val="2"/>
          <w:sz w:val="32"/>
          <w:szCs w:val="32"/>
          <w:highlight w:val="none"/>
          <w:lang w:val="en-US" w:eastAsia="zh-CN" w:bidi="ar-SA"/>
        </w:rPr>
        <w:t>清单</w:t>
      </w:r>
      <w:r>
        <w:rPr>
          <w:rFonts w:hint="default" w:eastAsia="仿宋_GB2312" w:cs="仿宋_GB2312" w:asciiTheme="minorEastAsia" w:hAnsiTheme="minorEastAsia"/>
          <w:b w:val="0"/>
          <w:bCs w:val="0"/>
          <w:color w:val="auto"/>
          <w:kern w:val="2"/>
          <w:sz w:val="32"/>
          <w:szCs w:val="32"/>
          <w:highlight w:val="none"/>
          <w:lang w:val="en-US" w:eastAsia="zh-CN" w:bidi="ar-SA"/>
        </w:rPr>
        <w:t>，强化全流程</w:t>
      </w:r>
      <w:r>
        <w:rPr>
          <w:rFonts w:hint="eastAsia" w:eastAsia="仿宋_GB2312" w:cs="仿宋_GB2312" w:asciiTheme="minorEastAsia" w:hAnsiTheme="minorEastAsia"/>
          <w:b w:val="0"/>
          <w:bCs w:val="0"/>
          <w:color w:val="auto"/>
          <w:kern w:val="2"/>
          <w:sz w:val="32"/>
          <w:szCs w:val="32"/>
          <w:highlight w:val="none"/>
          <w:lang w:val="en-US" w:eastAsia="zh-CN" w:bidi="ar-SA"/>
        </w:rPr>
        <w:t>闭环</w:t>
      </w:r>
      <w:r>
        <w:rPr>
          <w:rFonts w:hint="default" w:eastAsia="仿宋_GB2312" w:cs="仿宋_GB2312" w:asciiTheme="minorEastAsia" w:hAnsiTheme="minorEastAsia"/>
          <w:b w:val="0"/>
          <w:bCs w:val="0"/>
          <w:color w:val="auto"/>
          <w:kern w:val="2"/>
          <w:sz w:val="32"/>
          <w:szCs w:val="32"/>
          <w:highlight w:val="none"/>
          <w:lang w:val="en-US" w:eastAsia="zh-CN" w:bidi="ar-SA"/>
        </w:rPr>
        <w:t>监管。完善救助资金管理制度，健全</w:t>
      </w:r>
      <w:r>
        <w:rPr>
          <w:rFonts w:hint="eastAsia" w:eastAsia="仿宋_GB2312" w:cs="仿宋_GB2312" w:asciiTheme="minorEastAsia" w:hAnsiTheme="minorEastAsia"/>
          <w:b w:val="0"/>
          <w:bCs w:val="0"/>
          <w:color w:val="auto"/>
          <w:kern w:val="2"/>
          <w:sz w:val="32"/>
          <w:szCs w:val="32"/>
          <w:highlight w:val="none"/>
          <w:lang w:val="en-US" w:eastAsia="zh-CN" w:bidi="ar-SA"/>
        </w:rPr>
        <w:t>常态化</w:t>
      </w:r>
      <w:r>
        <w:rPr>
          <w:rFonts w:hint="default" w:eastAsia="仿宋_GB2312" w:cs="仿宋_GB2312" w:asciiTheme="minorEastAsia" w:hAnsiTheme="minorEastAsia"/>
          <w:b w:val="0"/>
          <w:bCs w:val="0"/>
          <w:color w:val="auto"/>
          <w:kern w:val="2"/>
          <w:sz w:val="32"/>
          <w:szCs w:val="32"/>
          <w:highlight w:val="none"/>
          <w:lang w:val="en-US" w:eastAsia="zh-CN" w:bidi="ar-SA"/>
        </w:rPr>
        <w:t>监管机制，加强资金下达、发放、使用全过程管理，确保</w:t>
      </w:r>
      <w:r>
        <w:rPr>
          <w:rFonts w:hint="eastAsia" w:eastAsia="仿宋_GB2312" w:cs="仿宋_GB2312" w:asciiTheme="minorEastAsia" w:hAnsiTheme="minorEastAsia"/>
          <w:b w:val="0"/>
          <w:bCs w:val="0"/>
          <w:color w:val="auto"/>
          <w:kern w:val="2"/>
          <w:sz w:val="32"/>
          <w:szCs w:val="32"/>
          <w:highlight w:val="none"/>
          <w:lang w:val="en-US" w:eastAsia="zh-CN" w:bidi="ar-SA"/>
        </w:rPr>
        <w:t>资金</w:t>
      </w:r>
      <w:r>
        <w:rPr>
          <w:rFonts w:hint="default" w:eastAsia="仿宋_GB2312" w:cs="仿宋_GB2312" w:asciiTheme="minorEastAsia" w:hAnsiTheme="minorEastAsia"/>
          <w:b w:val="0"/>
          <w:bCs w:val="0"/>
          <w:color w:val="auto"/>
          <w:kern w:val="2"/>
          <w:sz w:val="32"/>
          <w:szCs w:val="32"/>
          <w:highlight w:val="none"/>
          <w:lang w:val="en-US" w:eastAsia="zh-CN" w:bidi="ar-SA"/>
        </w:rPr>
        <w:t>安全精准</w:t>
      </w:r>
      <w:r>
        <w:rPr>
          <w:rFonts w:hint="eastAsia" w:eastAsia="仿宋_GB2312" w:cs="仿宋_GB2312" w:asciiTheme="minorEastAsia" w:hAnsiTheme="minorEastAsia"/>
          <w:b w:val="0"/>
          <w:bCs w:val="0"/>
          <w:color w:val="auto"/>
          <w:kern w:val="2"/>
          <w:sz w:val="32"/>
          <w:szCs w:val="32"/>
          <w:highlight w:val="none"/>
          <w:lang w:val="en-US" w:eastAsia="zh-CN" w:bidi="ar-SA"/>
        </w:rPr>
        <w:t>高效使用</w:t>
      </w:r>
      <w:r>
        <w:rPr>
          <w:rFonts w:hint="default" w:eastAsia="仿宋_GB2312" w:cs="仿宋_GB2312" w:asciiTheme="minorEastAsia" w:hAnsiTheme="minorEastAsia"/>
          <w:b w:val="0"/>
          <w:bCs w:val="0"/>
          <w:color w:val="auto"/>
          <w:kern w:val="2"/>
          <w:sz w:val="32"/>
          <w:szCs w:val="32"/>
          <w:highlight w:val="none"/>
          <w:lang w:val="en-US" w:eastAsia="zh-CN" w:bidi="ar-SA"/>
        </w:rPr>
        <w:t>。健全对社会力量参与救助的引导监督长效机制</w:t>
      </w:r>
      <w:r>
        <w:rPr>
          <w:rFonts w:hint="eastAsia" w:eastAsia="仿宋_GB2312" w:cs="仿宋_GB2312" w:asciiTheme="minorEastAsia" w:hAnsiTheme="minorEastAsia"/>
          <w:b w:val="0"/>
          <w:bCs w:val="0"/>
          <w:color w:val="auto"/>
          <w:kern w:val="2"/>
          <w:sz w:val="32"/>
          <w:szCs w:val="32"/>
          <w:highlight w:val="none"/>
          <w:lang w:val="en-US" w:eastAsia="zh-CN" w:bidi="ar-SA"/>
        </w:rPr>
        <w:t>，规范参与行为。建全经办人员与救助申请人“双承诺机制”，严格落实社会救助经办人员近亲属备案、卡折代持备案等制度。</w:t>
      </w:r>
    </w:p>
    <w:p w14:paraId="1E645831">
      <w:pPr>
        <w:keepNext/>
        <w:keepLines/>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52" w:name="_Toc1761"/>
      <w:r>
        <w:rPr>
          <w:rFonts w:hint="eastAsia" w:ascii="华文中宋" w:hAnsi="华文中宋" w:eastAsia="华文中宋" w:cs="华文中宋"/>
          <w:color w:val="auto"/>
          <w:sz w:val="32"/>
          <w:szCs w:val="32"/>
          <w:highlight w:val="none"/>
          <w:lang w:val="en-US" w:eastAsia="zh-CN"/>
        </w:rPr>
        <w:t>（二）优化社会救助服务</w:t>
      </w:r>
      <w:bookmarkEnd w:id="52"/>
    </w:p>
    <w:p w14:paraId="15CD59B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推行“物质+服务”综合救助</w:t>
      </w:r>
      <w:r>
        <w:rPr>
          <w:rFonts w:hint="eastAsia" w:eastAsia="仿宋_GB2312" w:cs="仿宋_GB2312" w:asciiTheme="minorEastAsia" w:hAnsiTheme="minorEastAsia"/>
          <w:b w:val="0"/>
          <w:bCs w:val="0"/>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在保障物质帮扶基础上，加快发展服务类救助。明确服务对象、内容、标准与供给方式，通过政府购买服务，</w:t>
      </w:r>
      <w:r>
        <w:rPr>
          <w:rFonts w:hint="eastAsia" w:eastAsia="仿宋_GB2312" w:cs="仿宋_GB2312" w:asciiTheme="minorEastAsia" w:hAnsiTheme="minorEastAsia"/>
          <w:b w:val="0"/>
          <w:bCs w:val="0"/>
          <w:color w:val="auto"/>
          <w:kern w:val="2"/>
          <w:sz w:val="32"/>
          <w:szCs w:val="32"/>
          <w:highlight w:val="none"/>
          <w:lang w:val="en-US" w:eastAsia="zh-CN" w:bidi="ar-SA"/>
        </w:rPr>
        <w:t>对城乡低保对象、分散供养特困人员中高龄、独居、失能、重病、重残等特殊救助对象提供生活类、照护类、支持类等个性化服务，满足困难群众日益增长的多元化、差异化需求，充分保障其基本生活质量与人格尊严。</w:t>
      </w:r>
    </w:p>
    <w:p w14:paraId="6D1714A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促进政策衔接</w:t>
      </w:r>
      <w:r>
        <w:rPr>
          <w:rFonts w:hint="eastAsia" w:ascii="华文楷体" w:hAnsi="华文楷体" w:eastAsia="华文楷体" w:cs="华文楷体"/>
          <w:b/>
          <w:bCs/>
          <w:color w:val="auto"/>
          <w:kern w:val="2"/>
          <w:sz w:val="32"/>
          <w:szCs w:val="32"/>
          <w:highlight w:val="none"/>
          <w:lang w:val="en-US" w:eastAsia="zh-CN" w:bidi="ar-SA"/>
        </w:rPr>
        <w:t>精准高效。</w:t>
      </w:r>
      <w:r>
        <w:rPr>
          <w:rFonts w:hint="default" w:eastAsia="仿宋_GB2312" w:cs="仿宋_GB2312" w:asciiTheme="minorEastAsia" w:hAnsiTheme="minorEastAsia"/>
          <w:b w:val="0"/>
          <w:bCs w:val="0"/>
          <w:color w:val="auto"/>
          <w:kern w:val="2"/>
          <w:sz w:val="32"/>
          <w:szCs w:val="32"/>
          <w:highlight w:val="none"/>
          <w:lang w:val="en-US" w:eastAsia="zh-CN" w:bidi="ar-SA"/>
        </w:rPr>
        <w:t>推动防止返贫帮扶政策与农村低收入人口常态化帮扶政策有效衔接，强化部门协同联动和政策落地督导，努力构建覆盖全面、分层分类、高效协同的常态化帮扶体系，确保困难群众早发现、早干预、早帮扶，及时获得精准化、综合性救助帮扶</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43E83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畅通救助服务渠道。</w:t>
      </w:r>
      <w:r>
        <w:rPr>
          <w:rFonts w:hint="eastAsia" w:eastAsia="仿宋_GB2312" w:cs="仿宋_GB2312" w:asciiTheme="minorEastAsia" w:hAnsiTheme="minorEastAsia"/>
          <w:b w:val="0"/>
          <w:bCs w:val="0"/>
          <w:color w:val="auto"/>
          <w:kern w:val="2"/>
          <w:sz w:val="32"/>
          <w:szCs w:val="32"/>
          <w:highlight w:val="none"/>
          <w:lang w:val="en-US" w:eastAsia="zh-CN" w:bidi="ar-SA"/>
        </w:rPr>
        <w:t>完善社会救助“一门受理、协同办理”机制，畅通24小时救助服务热线。推进社会救助“一件事”流程再造，做到“减环节、压时限、优服务”。推广运用湖北政务服务网、“湖北救助通”微信小程序、“鄂汇办”APP等线上申请方式，推动社会救助服务向移动端延伸，实现救助事项“掌上办”、“指尖办”。发放社会救助政策宣传折页，并在各服务窗口和社区公共场所广泛张贴救助政策海报与操作指南，方便不同困难群体尤其是老年人了解和办理业务，跨越智能化应用鸿沟，提升政策知晓度与群众满意度。</w:t>
      </w:r>
    </w:p>
    <w:p w14:paraId="48D2E1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43" w:firstLineChars="200"/>
        <w:textAlignment w:val="auto"/>
        <w:outlineLvl w:val="9"/>
        <w:rPr>
          <w:rFonts w:hint="default" w:eastAsia="仿宋_GB2312" w:cs="仿宋_GB2312" w:asciiTheme="minorEastAsia" w:hAnsiTheme="minorEastAsia"/>
          <w:b w:val="0"/>
          <w:bCs w:val="0"/>
          <w:color w:val="auto"/>
          <w:kern w:val="2"/>
          <w:sz w:val="32"/>
          <w:szCs w:val="32"/>
          <w:highlight w:val="none"/>
          <w:lang w:val="en-US" w:eastAsia="zh-CN" w:bidi="ar-SA"/>
        </w:rPr>
      </w:pPr>
      <w:r>
        <w:rPr>
          <w:rFonts w:hint="default" w:ascii="华文楷体" w:hAnsi="华文楷体" w:eastAsia="华文楷体" w:cs="华文楷体"/>
          <w:b/>
          <w:bCs/>
          <w:color w:val="auto"/>
          <w:kern w:val="2"/>
          <w:sz w:val="32"/>
          <w:szCs w:val="32"/>
          <w:highlight w:val="none"/>
          <w:lang w:val="en-US" w:eastAsia="zh-CN" w:bidi="ar-SA"/>
        </w:rPr>
        <w:t>引导社会力量广泛参与</w:t>
      </w:r>
      <w:r>
        <w:rPr>
          <w:rFonts w:hint="eastAsia" w:ascii="华文楷体" w:hAnsi="华文楷体" w:eastAsia="华文楷体" w:cs="华文楷体"/>
          <w:b/>
          <w:bCs/>
          <w:color w:val="auto"/>
          <w:kern w:val="2"/>
          <w:sz w:val="32"/>
          <w:szCs w:val="32"/>
          <w:highlight w:val="none"/>
          <w:lang w:val="en-US" w:eastAsia="zh-CN" w:bidi="ar-SA"/>
        </w:rPr>
        <w:t>。</w:t>
      </w:r>
      <w:r>
        <w:rPr>
          <w:rFonts w:hint="default" w:eastAsia="仿宋_GB2312" w:cs="仿宋_GB2312" w:asciiTheme="minorEastAsia" w:hAnsiTheme="minorEastAsia"/>
          <w:b w:val="0"/>
          <w:bCs w:val="0"/>
          <w:color w:val="auto"/>
          <w:kern w:val="2"/>
          <w:sz w:val="32"/>
          <w:szCs w:val="32"/>
          <w:highlight w:val="none"/>
          <w:lang w:val="en-US" w:eastAsia="zh-CN" w:bidi="ar-SA"/>
        </w:rPr>
        <w:t>完善多元供给机制，鼓励引导</w:t>
      </w:r>
      <w:r>
        <w:rPr>
          <w:rFonts w:hint="eastAsia" w:eastAsia="仿宋_GB2312" w:cs="仿宋_GB2312" w:asciiTheme="minorEastAsia" w:hAnsiTheme="minorEastAsia"/>
          <w:b w:val="0"/>
          <w:bCs w:val="0"/>
          <w:color w:val="auto"/>
          <w:kern w:val="2"/>
          <w:sz w:val="32"/>
          <w:szCs w:val="32"/>
          <w:highlight w:val="none"/>
          <w:lang w:val="en-US" w:eastAsia="zh-CN" w:bidi="ar-SA"/>
        </w:rPr>
        <w:t>社会组织、市场主体和慈善力量积极参与关心关爱和社会救助</w:t>
      </w:r>
      <w:r>
        <w:rPr>
          <w:rFonts w:hint="default" w:eastAsia="仿宋_GB2312" w:cs="仿宋_GB2312" w:asciiTheme="minorEastAsia" w:hAnsiTheme="minorEastAsia"/>
          <w:b w:val="0"/>
          <w:bCs w:val="0"/>
          <w:color w:val="auto"/>
          <w:kern w:val="2"/>
          <w:sz w:val="32"/>
          <w:szCs w:val="32"/>
          <w:highlight w:val="none"/>
          <w:lang w:val="en-US" w:eastAsia="zh-CN" w:bidi="ar-SA"/>
        </w:rPr>
        <w:t>帮扶工作。培育发展专业化社工服务机构与高素质专业人才队伍。健全政府救助与慈善帮扶衔接机制，搭建供需信息精准对接平台，主动向慈善组织推送困难群众需求信息，提升慈善帮扶的及时性与精准度。</w:t>
      </w:r>
    </w:p>
    <w:p w14:paraId="2E4D5198">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53" w:name="_Toc6780"/>
      <w:r>
        <w:rPr>
          <w:rFonts w:hint="eastAsia" w:ascii="华文中宋" w:hAnsi="华文中宋" w:eastAsia="华文中宋" w:cs="华文中宋"/>
          <w:color w:val="auto"/>
          <w:sz w:val="32"/>
          <w:szCs w:val="32"/>
          <w:highlight w:val="none"/>
          <w:lang w:val="en-US" w:eastAsia="zh-CN"/>
        </w:rPr>
        <w:t>（三）动态监测救助对象</w:t>
      </w:r>
      <w:bookmarkEnd w:id="53"/>
    </w:p>
    <w:p w14:paraId="1EDA7CB3">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3" w:firstLineChars="200"/>
        <w:textAlignment w:val="auto"/>
        <w:outlineLvl w:val="9"/>
        <w:rPr>
          <w:rFonts w:hint="default"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统一认定标准。</w:t>
      </w:r>
      <w:r>
        <w:rPr>
          <w:rFonts w:hint="default" w:eastAsia="仿宋_GB2312" w:cs="仿宋_GB2312" w:asciiTheme="minorEastAsia" w:hAnsiTheme="minorEastAsia"/>
          <w:b w:val="0"/>
          <w:bCs w:val="0"/>
          <w:color w:val="auto"/>
          <w:kern w:val="2"/>
          <w:sz w:val="32"/>
          <w:szCs w:val="32"/>
          <w:highlight w:val="none"/>
          <w:lang w:val="en-US" w:eastAsia="zh-CN" w:bidi="ar-SA"/>
        </w:rPr>
        <w:t>出台全市统一的低收入人口认定办法，全面推行低保告知承诺制，整合规范认定流程、精简申报材料，严把审核认定关口，实现认定工作标准化规范化，提升救助对象认定的科学性、便捷性与精准性。</w:t>
      </w:r>
    </w:p>
    <w:p w14:paraId="67E5963C">
      <w:pPr>
        <w:keepNext w:val="0"/>
        <w:keepLines w:val="0"/>
        <w:pageBreakBefore w:val="0"/>
        <w:numPr>
          <w:ilvl w:val="0"/>
          <w:numId w:val="0"/>
        </w:numPr>
        <w:kinsoku/>
        <w:wordWrap/>
        <w:overflowPunct/>
        <w:topLinePunct w:val="0"/>
        <w:autoSpaceDE/>
        <w:autoSpaceDN/>
        <w:bidi w:val="0"/>
        <w:adjustRightInd/>
        <w:snapToGrid/>
        <w:spacing w:before="157" w:beforeLines="50" w:line="360" w:lineRule="auto"/>
        <w:ind w:firstLine="643"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强化动态监测。</w:t>
      </w:r>
      <w:r>
        <w:rPr>
          <w:rFonts w:hint="default" w:eastAsia="仿宋_GB2312" w:cs="仿宋_GB2312" w:asciiTheme="minorEastAsia" w:hAnsiTheme="minorEastAsia"/>
          <w:b w:val="0"/>
          <w:bCs w:val="0"/>
          <w:color w:val="auto"/>
          <w:kern w:val="2"/>
          <w:sz w:val="32"/>
          <w:szCs w:val="32"/>
          <w:highlight w:val="none"/>
          <w:lang w:val="en-US" w:eastAsia="zh-CN" w:bidi="ar-SA"/>
        </w:rPr>
        <w:t>充分</w:t>
      </w:r>
      <w:r>
        <w:rPr>
          <w:rFonts w:hint="eastAsia" w:eastAsia="仿宋_GB2312" w:cs="仿宋_GB2312" w:asciiTheme="minorEastAsia" w:hAnsiTheme="minorEastAsia"/>
          <w:b w:val="0"/>
          <w:bCs w:val="0"/>
          <w:color w:val="auto"/>
          <w:kern w:val="2"/>
          <w:sz w:val="32"/>
          <w:szCs w:val="32"/>
          <w:highlight w:val="none"/>
          <w:lang w:val="en-US" w:eastAsia="zh-CN" w:bidi="ar-SA"/>
        </w:rPr>
        <w:t>运用</w:t>
      </w:r>
      <w:r>
        <w:rPr>
          <w:rFonts w:hint="default" w:eastAsia="仿宋_GB2312" w:cs="仿宋_GB2312" w:asciiTheme="minorEastAsia" w:hAnsiTheme="minorEastAsia"/>
          <w:b w:val="0"/>
          <w:bCs w:val="0"/>
          <w:color w:val="auto"/>
          <w:kern w:val="2"/>
          <w:sz w:val="32"/>
          <w:szCs w:val="32"/>
          <w:highlight w:val="none"/>
          <w:lang w:val="en-US" w:eastAsia="zh-CN" w:bidi="ar-SA"/>
        </w:rPr>
        <w:t>湖北省低收入人口动态监测信息平台，拓展监测</w:t>
      </w:r>
      <w:r>
        <w:rPr>
          <w:rFonts w:hint="eastAsia" w:eastAsia="仿宋_GB2312" w:cs="仿宋_GB2312" w:asciiTheme="minorEastAsia" w:hAnsiTheme="minorEastAsia"/>
          <w:b w:val="0"/>
          <w:bCs w:val="0"/>
          <w:color w:val="auto"/>
          <w:kern w:val="2"/>
          <w:sz w:val="32"/>
          <w:szCs w:val="32"/>
          <w:highlight w:val="none"/>
          <w:lang w:val="en-US" w:eastAsia="zh-CN" w:bidi="ar-SA"/>
        </w:rPr>
        <w:t>覆盖</w:t>
      </w:r>
      <w:r>
        <w:rPr>
          <w:rFonts w:hint="default" w:eastAsia="仿宋_GB2312" w:cs="仿宋_GB2312" w:asciiTheme="minorEastAsia" w:hAnsiTheme="minorEastAsia"/>
          <w:b w:val="0"/>
          <w:bCs w:val="0"/>
          <w:color w:val="auto"/>
          <w:kern w:val="2"/>
          <w:sz w:val="32"/>
          <w:szCs w:val="32"/>
          <w:highlight w:val="none"/>
          <w:lang w:val="en-US" w:eastAsia="zh-CN" w:bidi="ar-SA"/>
        </w:rPr>
        <w:t>范围，将潜在困难人群纳入</w:t>
      </w:r>
      <w:r>
        <w:rPr>
          <w:rFonts w:hint="eastAsia" w:eastAsia="仿宋_GB2312" w:cs="仿宋_GB2312" w:asciiTheme="minorEastAsia" w:hAnsiTheme="minorEastAsia"/>
          <w:b w:val="0"/>
          <w:bCs w:val="0"/>
          <w:color w:val="auto"/>
          <w:kern w:val="2"/>
          <w:sz w:val="32"/>
          <w:szCs w:val="32"/>
          <w:highlight w:val="none"/>
          <w:lang w:val="en-US" w:eastAsia="zh-CN" w:bidi="ar-SA"/>
        </w:rPr>
        <w:t>监测</w:t>
      </w:r>
      <w:r>
        <w:rPr>
          <w:rFonts w:hint="default" w:eastAsia="仿宋_GB2312" w:cs="仿宋_GB2312" w:asciiTheme="minorEastAsia" w:hAnsiTheme="minorEastAsia"/>
          <w:b w:val="0"/>
          <w:bCs w:val="0"/>
          <w:color w:val="auto"/>
          <w:kern w:val="2"/>
          <w:sz w:val="32"/>
          <w:szCs w:val="32"/>
          <w:highlight w:val="none"/>
          <w:lang w:val="en-US" w:eastAsia="zh-CN" w:bidi="ar-SA"/>
        </w:rPr>
        <w:t>体系。运用大数据、人工智能</w:t>
      </w:r>
      <w:r>
        <w:rPr>
          <w:rFonts w:hint="eastAsia" w:eastAsia="仿宋_GB2312" w:cs="仿宋_GB2312" w:asciiTheme="minorEastAsia" w:hAnsiTheme="minorEastAsia"/>
          <w:b w:val="0"/>
          <w:bCs w:val="0"/>
          <w:color w:val="auto"/>
          <w:kern w:val="2"/>
          <w:sz w:val="32"/>
          <w:szCs w:val="32"/>
          <w:highlight w:val="none"/>
          <w:lang w:val="en-US" w:eastAsia="zh-CN" w:bidi="ar-SA"/>
        </w:rPr>
        <w:t>等先进</w:t>
      </w:r>
      <w:r>
        <w:rPr>
          <w:rFonts w:hint="default" w:eastAsia="仿宋_GB2312" w:cs="仿宋_GB2312" w:asciiTheme="minorEastAsia" w:hAnsiTheme="minorEastAsia"/>
          <w:b w:val="0"/>
          <w:bCs w:val="0"/>
          <w:color w:val="auto"/>
          <w:kern w:val="2"/>
          <w:sz w:val="32"/>
          <w:szCs w:val="32"/>
          <w:highlight w:val="none"/>
          <w:lang w:val="en-US" w:eastAsia="zh-CN" w:bidi="ar-SA"/>
        </w:rPr>
        <w:t>技术</w:t>
      </w:r>
      <w:r>
        <w:rPr>
          <w:rFonts w:hint="eastAsia" w:eastAsia="仿宋_GB2312" w:cs="仿宋_GB2312" w:asciiTheme="minorEastAsia" w:hAnsiTheme="minorEastAsia"/>
          <w:b w:val="0"/>
          <w:bCs w:val="0"/>
          <w:color w:val="auto"/>
          <w:kern w:val="2"/>
          <w:sz w:val="32"/>
          <w:szCs w:val="32"/>
          <w:highlight w:val="none"/>
          <w:lang w:val="en-US" w:eastAsia="zh-CN" w:bidi="ar-SA"/>
        </w:rPr>
        <w:t>构建</w:t>
      </w:r>
      <w:r>
        <w:rPr>
          <w:rFonts w:hint="default" w:eastAsia="仿宋_GB2312" w:cs="仿宋_GB2312" w:asciiTheme="minorEastAsia" w:hAnsiTheme="minorEastAsia"/>
          <w:b w:val="0"/>
          <w:bCs w:val="0"/>
          <w:color w:val="auto"/>
          <w:kern w:val="2"/>
          <w:sz w:val="32"/>
          <w:szCs w:val="32"/>
          <w:highlight w:val="none"/>
          <w:lang w:val="en-US" w:eastAsia="zh-CN" w:bidi="ar-SA"/>
        </w:rPr>
        <w:t>风险评估与预警模型，实现</w:t>
      </w:r>
      <w:r>
        <w:rPr>
          <w:rFonts w:hint="eastAsia" w:eastAsia="仿宋_GB2312" w:cs="仿宋_GB2312" w:asciiTheme="minorEastAsia" w:hAnsiTheme="minorEastAsia"/>
          <w:b w:val="0"/>
          <w:bCs w:val="0"/>
          <w:color w:val="auto"/>
          <w:kern w:val="2"/>
          <w:sz w:val="32"/>
          <w:szCs w:val="32"/>
          <w:highlight w:val="none"/>
          <w:lang w:val="en-US" w:eastAsia="zh-CN" w:bidi="ar-SA"/>
        </w:rPr>
        <w:t>救助服务</w:t>
      </w:r>
      <w:r>
        <w:rPr>
          <w:rFonts w:hint="default" w:eastAsia="仿宋_GB2312" w:cs="仿宋_GB2312" w:asciiTheme="minorEastAsia" w:hAnsiTheme="minorEastAsia"/>
          <w:b w:val="0"/>
          <w:bCs w:val="0"/>
          <w:color w:val="auto"/>
          <w:kern w:val="2"/>
          <w:sz w:val="32"/>
          <w:szCs w:val="32"/>
          <w:highlight w:val="none"/>
          <w:lang w:val="en-US" w:eastAsia="zh-CN" w:bidi="ar-SA"/>
        </w:rPr>
        <w:t>从“人找政策”</w:t>
      </w:r>
      <w:r>
        <w:rPr>
          <w:rFonts w:hint="eastAsia" w:eastAsia="仿宋_GB2312" w:cs="仿宋_GB2312" w:asciiTheme="minorEastAsia" w:hAnsiTheme="minorEastAsia"/>
          <w:b w:val="0"/>
          <w:bCs w:val="0"/>
          <w:color w:val="auto"/>
          <w:kern w:val="2"/>
          <w:sz w:val="32"/>
          <w:szCs w:val="32"/>
          <w:highlight w:val="none"/>
          <w:lang w:val="en-US" w:eastAsia="zh-CN" w:bidi="ar-SA"/>
        </w:rPr>
        <w:t>向</w:t>
      </w:r>
      <w:r>
        <w:rPr>
          <w:rFonts w:hint="default" w:eastAsia="仿宋_GB2312" w:cs="仿宋_GB2312" w:asciiTheme="minorEastAsia" w:hAnsiTheme="minorEastAsia"/>
          <w:b w:val="0"/>
          <w:bCs w:val="0"/>
          <w:color w:val="auto"/>
          <w:kern w:val="2"/>
          <w:sz w:val="32"/>
          <w:szCs w:val="32"/>
          <w:highlight w:val="none"/>
          <w:lang w:val="en-US" w:eastAsia="zh-CN" w:bidi="ar-SA"/>
        </w:rPr>
        <w:t>“政策找人”的主动预防</w:t>
      </w:r>
      <w:r>
        <w:rPr>
          <w:rFonts w:hint="eastAsia" w:eastAsia="仿宋_GB2312" w:cs="仿宋_GB2312" w:asciiTheme="minorEastAsia" w:hAnsiTheme="minorEastAsia"/>
          <w:b w:val="0"/>
          <w:bCs w:val="0"/>
          <w:color w:val="auto"/>
          <w:kern w:val="2"/>
          <w:sz w:val="32"/>
          <w:szCs w:val="32"/>
          <w:highlight w:val="none"/>
          <w:lang w:val="en-US" w:eastAsia="zh-CN" w:bidi="ar-SA"/>
        </w:rPr>
        <w:t>型</w:t>
      </w:r>
      <w:r>
        <w:rPr>
          <w:rFonts w:hint="default" w:eastAsia="仿宋_GB2312" w:cs="仿宋_GB2312" w:asciiTheme="minorEastAsia" w:hAnsiTheme="minorEastAsia"/>
          <w:b w:val="0"/>
          <w:bCs w:val="0"/>
          <w:color w:val="auto"/>
          <w:kern w:val="2"/>
          <w:sz w:val="32"/>
          <w:szCs w:val="32"/>
          <w:highlight w:val="none"/>
          <w:lang w:val="en-US" w:eastAsia="zh-CN" w:bidi="ar-SA"/>
        </w:rPr>
        <w:t>转变</w:t>
      </w:r>
      <w:r>
        <w:rPr>
          <w:rFonts w:hint="eastAsia" w:eastAsia="仿宋_GB2312" w:cs="仿宋_GB2312" w:asciiTheme="minorEastAsia" w:hAnsiTheme="minorEastAsia"/>
          <w:b w:val="0"/>
          <w:bCs w:val="0"/>
          <w:color w:val="auto"/>
          <w:kern w:val="2"/>
          <w:sz w:val="32"/>
          <w:szCs w:val="32"/>
          <w:highlight w:val="none"/>
          <w:lang w:val="en-US" w:eastAsia="zh-CN" w:bidi="ar-SA"/>
        </w:rPr>
        <w:t>。</w:t>
      </w:r>
    </w:p>
    <w:p w14:paraId="656D06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43" w:firstLineChars="200"/>
        <w:textAlignment w:val="auto"/>
        <w:outlineLvl w:val="9"/>
        <w:rPr>
          <w:rFonts w:hint="eastAsia" w:eastAsia="仿宋_GB2312" w:cs="仿宋_GB2312" w:asciiTheme="minorEastAsia" w:hAnsiTheme="minorEastAsia"/>
          <w:b w:val="0"/>
          <w:bCs w:val="0"/>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优化闭环管理。</w:t>
      </w:r>
      <w:r>
        <w:rPr>
          <w:rFonts w:hint="eastAsia" w:eastAsia="仿宋_GB2312" w:cs="仿宋_GB2312" w:asciiTheme="minorEastAsia" w:hAnsiTheme="minorEastAsia"/>
          <w:b w:val="0"/>
          <w:bCs w:val="0"/>
          <w:color w:val="auto"/>
          <w:kern w:val="2"/>
          <w:sz w:val="32"/>
          <w:szCs w:val="32"/>
          <w:highlight w:val="none"/>
          <w:lang w:val="en-US" w:eastAsia="zh-CN" w:bidi="ar-SA"/>
        </w:rPr>
        <w:t>健全完善“精准认定、动态监测、分层分类、因需推送、结果反馈”的救助闭环运行机制，强化各环节衔接联动与全程跟踪督办，实现救助服务全流程可追溯、可核查，压实各层级工作责任，持续提升救助服务质效。</w:t>
      </w:r>
    </w:p>
    <w:tbl>
      <w:tblPr>
        <w:tblStyle w:val="19"/>
        <w:tblW w:w="89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970"/>
      </w:tblGrid>
      <w:tr w14:paraId="24F280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8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0451D11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561"/>
              <w:jc w:val="center"/>
              <w:textAlignment w:val="auto"/>
              <w:rPr>
                <w:rFonts w:hint="default"/>
                <w:color w:val="auto"/>
                <w:highlight w:val="none"/>
                <w:lang w:val="en-US"/>
              </w:rPr>
            </w:pPr>
            <w:r>
              <w:rPr>
                <w:rFonts w:hint="eastAsia" w:ascii="黑体" w:hAnsi="黑体" w:eastAsia="黑体" w:cs="黑体"/>
                <w:b w:val="0"/>
                <w:bCs w:val="0"/>
                <w:color w:val="auto"/>
                <w:kern w:val="24"/>
                <w:sz w:val="28"/>
                <w:szCs w:val="28"/>
                <w:highlight w:val="none"/>
                <w:lang w:val="en-US" w:eastAsia="zh-CN" w:bidi="ar-SA"/>
                <w14:ligatures w14:val="none"/>
              </w:rPr>
              <w:t xml:space="preserve">专栏三  社会救助能力提升工程  </w:t>
            </w:r>
          </w:p>
        </w:tc>
      </w:tr>
      <w:tr w14:paraId="73CE24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970" w:type="dxa"/>
            <w:tcBorders>
              <w:top w:val="nil"/>
              <w:left w:val="single" w:color="auto" w:sz="6" w:space="0"/>
              <w:bottom w:val="single" w:color="auto" w:sz="4" w:space="0"/>
              <w:right w:val="single" w:color="auto" w:sz="6" w:space="0"/>
            </w:tcBorders>
            <w:shd w:val="clear" w:color="auto" w:fill="auto"/>
            <w:tcMar>
              <w:left w:w="105" w:type="dxa"/>
              <w:right w:w="105" w:type="dxa"/>
            </w:tcMar>
          </w:tcPr>
          <w:p w14:paraId="5D5EBD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i w:val="0"/>
                <w:iCs w:val="0"/>
                <w:caps w:val="0"/>
                <w:color w:val="auto"/>
                <w:spacing w:val="0"/>
                <w:sz w:val="24"/>
                <w:szCs w:val="24"/>
                <w:highlight w:val="none"/>
                <w:shd w:val="clear" w:fill="FFFFFF"/>
                <w:lang w:val="en-US" w:eastAsia="zh-CN"/>
              </w:rPr>
              <w:t>1.</w:t>
            </w:r>
            <w:r>
              <w:rPr>
                <w:rFonts w:hint="eastAsia" w:ascii="黑体" w:hAnsi="黑体" w:eastAsia="黑体" w:cs="黑体"/>
                <w:i w:val="0"/>
                <w:iCs w:val="0"/>
                <w:caps w:val="0"/>
                <w:color w:val="auto"/>
                <w:spacing w:val="0"/>
                <w:sz w:val="24"/>
                <w:szCs w:val="24"/>
                <w:highlight w:val="none"/>
                <w:shd w:val="clear" w:fill="FFFFFF"/>
              </w:rPr>
              <w:t>培育“物质+服务”综合型救助主体</w:t>
            </w:r>
          </w:p>
          <w:p w14:paraId="7B20F3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全市探索培育“物质+服务”的综合型社会救助市场主体，强化社会救助服务供给能力，精准对接特殊困难群体的急难愁盼问题，更好满足困难群众日益增长的多元化、差异化需求，充分保障其基本生活质量与人格尊严。到2030年，市级层面培育3家以上专业机构提供专业服务型社会救助，稳步提升救助对象覆盖率。</w:t>
            </w:r>
          </w:p>
        </w:tc>
      </w:tr>
      <w:bookmarkEnd w:id="43"/>
    </w:tbl>
    <w:p w14:paraId="36710E4C">
      <w:pPr>
        <w:keepNext/>
        <w:keepLines/>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eastAsia" w:ascii="华文中宋" w:hAnsi="华文中宋" w:eastAsia="华文中宋" w:cs="华文中宋"/>
          <w:color w:val="auto"/>
          <w:sz w:val="32"/>
          <w:szCs w:val="32"/>
          <w:highlight w:val="none"/>
          <w:lang w:val="en-US" w:eastAsia="zh-CN"/>
        </w:rPr>
      </w:pPr>
      <w:bookmarkStart w:id="54" w:name="_Toc8792"/>
      <w:bookmarkStart w:id="55" w:name="_Toc11785"/>
      <w:r>
        <w:rPr>
          <w:rFonts w:hint="eastAsia" w:ascii="华文中宋" w:hAnsi="华文中宋" w:eastAsia="华文中宋" w:cs="华文中宋"/>
          <w:color w:val="auto"/>
          <w:sz w:val="32"/>
          <w:szCs w:val="32"/>
          <w:highlight w:val="none"/>
          <w:lang w:val="en-US" w:eastAsia="zh-CN"/>
        </w:rPr>
        <w:t>（四）推动儿童福利工作提质增效</w:t>
      </w:r>
      <w:bookmarkEnd w:id="54"/>
      <w:bookmarkEnd w:id="55"/>
    </w:p>
    <w:p w14:paraId="1F384FD4">
      <w:pPr>
        <w:widowControl/>
        <w:spacing w:before="156" w:beforeLines="50" w:line="360" w:lineRule="auto"/>
        <w:ind w:firstLine="643" w:firstLineChars="200"/>
        <w:rPr>
          <w:rFonts w:eastAsia="仿宋_GB2312" w:cs="仿宋_GB2312" w:asciiTheme="minorEastAsia" w:hAnsiTheme="minorEastAsia"/>
          <w:color w:val="auto"/>
          <w:sz w:val="32"/>
          <w:szCs w:val="32"/>
          <w:highlight w:val="none"/>
        </w:rPr>
      </w:pPr>
      <w:bookmarkStart w:id="56" w:name="_Toc24835"/>
      <w:r>
        <w:rPr>
          <w:rFonts w:ascii="华文楷体" w:hAnsi="华文楷体" w:eastAsia="华文楷体" w:cs="华文楷体"/>
          <w:b/>
          <w:bCs/>
          <w:color w:val="auto"/>
          <w:sz w:val="32"/>
          <w:szCs w:val="32"/>
          <w:highlight w:val="none"/>
        </w:rPr>
        <w:t>健全政策保障体系</w:t>
      </w:r>
      <w:r>
        <w:rPr>
          <w:rFonts w:hint="eastAsia" w:ascii="华文楷体" w:hAnsi="华文楷体" w:eastAsia="华文楷体" w:cs="华文楷体"/>
          <w:b/>
          <w:bCs/>
          <w:color w:val="auto"/>
          <w:sz w:val="32"/>
          <w:szCs w:val="32"/>
          <w:highlight w:val="none"/>
        </w:rPr>
        <w:t>。</w:t>
      </w:r>
      <w:r>
        <w:rPr>
          <w:rFonts w:hint="eastAsia" w:eastAsia="仿宋_GB2312" w:cs="仿宋_GB2312" w:asciiTheme="minorEastAsia" w:hAnsiTheme="minorEastAsia"/>
          <w:color w:val="auto"/>
          <w:sz w:val="32"/>
          <w:szCs w:val="32"/>
          <w:highlight w:val="none"/>
        </w:rPr>
        <w:t>进一步推动</w:t>
      </w:r>
      <w:r>
        <w:rPr>
          <w:rFonts w:eastAsia="仿宋_GB2312" w:cs="仿宋_GB2312" w:asciiTheme="minorEastAsia" w:hAnsiTheme="minorEastAsia"/>
          <w:color w:val="auto"/>
          <w:sz w:val="32"/>
          <w:szCs w:val="32"/>
          <w:highlight w:val="none"/>
        </w:rPr>
        <w:t>完善本地困境儿童分类保障制度</w:t>
      </w:r>
      <w:r>
        <w:rPr>
          <w:rFonts w:hint="eastAsia" w:eastAsia="仿宋_GB2312" w:cs="仿宋_GB2312" w:asciiTheme="minorEastAsia" w:hAnsiTheme="minorEastAsia"/>
          <w:color w:val="auto"/>
          <w:sz w:val="32"/>
          <w:szCs w:val="32"/>
          <w:highlight w:val="none"/>
        </w:rPr>
        <w:t>，比照孤儿保障标准探索</w:t>
      </w:r>
      <w:r>
        <w:rPr>
          <w:rFonts w:eastAsia="仿宋_GB2312" w:cs="仿宋_GB2312" w:asciiTheme="minorEastAsia" w:hAnsiTheme="minorEastAsia"/>
          <w:color w:val="auto"/>
          <w:sz w:val="32"/>
          <w:szCs w:val="32"/>
          <w:highlight w:val="none"/>
        </w:rPr>
        <w:t>事实无人抚养儿童医疗保障救助政策</w:t>
      </w:r>
      <w:r>
        <w:rPr>
          <w:rFonts w:hint="eastAsia" w:eastAsia="仿宋_GB2312" w:cs="仿宋_GB2312" w:asciiTheme="minorEastAsia" w:hAnsiTheme="minorEastAsia"/>
          <w:color w:val="auto"/>
          <w:sz w:val="32"/>
          <w:szCs w:val="32"/>
          <w:highlight w:val="none"/>
        </w:rPr>
        <w:t>实施</w:t>
      </w:r>
      <w:r>
        <w:rPr>
          <w:rFonts w:eastAsia="仿宋_GB2312" w:cs="仿宋_GB2312" w:asciiTheme="minorEastAsia" w:hAnsiTheme="minorEastAsia"/>
          <w:color w:val="auto"/>
          <w:sz w:val="32"/>
          <w:szCs w:val="32"/>
          <w:highlight w:val="none"/>
        </w:rPr>
        <w:t>。完善针对流动儿童、留守儿童及事实无人抚养儿童的关爱保护实施方案</w:t>
      </w:r>
      <w:r>
        <w:rPr>
          <w:rFonts w:hint="eastAsia" w:eastAsia="仿宋_GB2312" w:cs="仿宋_GB2312" w:asciiTheme="minorEastAsia" w:hAnsiTheme="minorEastAsia"/>
          <w:color w:val="auto"/>
          <w:sz w:val="32"/>
          <w:szCs w:val="32"/>
          <w:highlight w:val="none"/>
          <w:lang w:eastAsia="zh-CN"/>
        </w:rPr>
        <w:t>。</w:t>
      </w:r>
      <w:r>
        <w:rPr>
          <w:rFonts w:eastAsia="仿宋_GB2312" w:cs="仿宋_GB2312" w:asciiTheme="minorEastAsia" w:hAnsiTheme="minorEastAsia"/>
          <w:color w:val="auto"/>
          <w:sz w:val="32"/>
          <w:szCs w:val="32"/>
          <w:highlight w:val="none"/>
        </w:rPr>
        <w:t>着力构建覆盖基本生活、医疗康复、教育权益、心理健康及兜底监护等核心需求的分类保障政策框架</w:t>
      </w:r>
      <w:r>
        <w:rPr>
          <w:rFonts w:hint="eastAsia" w:eastAsia="仿宋_GB2312" w:cs="仿宋_GB2312" w:asciiTheme="minorEastAsia" w:hAnsiTheme="minorEastAsia"/>
          <w:color w:val="auto"/>
          <w:sz w:val="32"/>
          <w:szCs w:val="32"/>
          <w:highlight w:val="none"/>
        </w:rPr>
        <w:t>。</w:t>
      </w:r>
    </w:p>
    <w:p w14:paraId="1F395F92">
      <w:pPr>
        <w:widowControl/>
        <w:spacing w:before="156" w:beforeLines="50" w:line="360" w:lineRule="auto"/>
        <w:ind w:firstLine="643" w:firstLineChars="200"/>
        <w:rPr>
          <w:rFonts w:eastAsia="仿宋_GB2312" w:cs="仿宋_GB2312" w:asciiTheme="minorEastAsia" w:hAnsiTheme="minorEastAsia"/>
          <w:color w:val="auto"/>
          <w:sz w:val="32"/>
          <w:szCs w:val="32"/>
          <w:highlight w:val="none"/>
        </w:rPr>
      </w:pPr>
      <w:r>
        <w:rPr>
          <w:rFonts w:ascii="华文楷体" w:hAnsi="华文楷体" w:eastAsia="华文楷体" w:cs="华文楷体"/>
          <w:b/>
          <w:bCs/>
          <w:color w:val="auto"/>
          <w:sz w:val="32"/>
          <w:szCs w:val="32"/>
          <w:highlight w:val="none"/>
        </w:rPr>
        <w:t>加大兜底保障力度</w:t>
      </w:r>
      <w:r>
        <w:rPr>
          <w:rFonts w:hint="eastAsia" w:ascii="华文楷体" w:hAnsi="华文楷体" w:eastAsia="华文楷体" w:cs="华文楷体"/>
          <w:b/>
          <w:bCs/>
          <w:color w:val="auto"/>
          <w:sz w:val="32"/>
          <w:szCs w:val="32"/>
          <w:highlight w:val="none"/>
        </w:rPr>
        <w:t>。</w:t>
      </w:r>
      <w:r>
        <w:rPr>
          <w:rFonts w:eastAsia="仿宋_GB2312" w:cs="仿宋_GB2312" w:asciiTheme="minorEastAsia" w:hAnsiTheme="minorEastAsia"/>
          <w:color w:val="auto"/>
          <w:sz w:val="32"/>
          <w:szCs w:val="32"/>
          <w:highlight w:val="none"/>
        </w:rPr>
        <w:t>落实孤儿、事实无人抚养儿童基本生活保障标准动态调整机制，加强与低保标准的统筹衔接</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全面推进委托照护协议签订，实现监护责任落实全覆盖。逐步建立从家庭预防、早期发现到监护干预、兜底监护的全链条关爱保护体系</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通过购买专业服务，为留守儿童、困境儿童提供心理疏导、精神抚慰等个性化支持。规范风险筛查评估，加强宣传教育，健全危机干预与转介帮扶机制</w:t>
      </w:r>
      <w:r>
        <w:rPr>
          <w:rFonts w:hint="eastAsia" w:eastAsia="仿宋_GB2312" w:cs="仿宋_GB2312" w:asciiTheme="minorEastAsia" w:hAnsiTheme="minorEastAsia"/>
          <w:color w:val="auto"/>
          <w:sz w:val="32"/>
          <w:szCs w:val="32"/>
          <w:highlight w:val="none"/>
        </w:rPr>
        <w:t>。</w:t>
      </w:r>
    </w:p>
    <w:p w14:paraId="3D4F65D2">
      <w:pPr>
        <w:widowControl/>
        <w:spacing w:before="156" w:beforeLines="50" w:line="360" w:lineRule="auto"/>
        <w:ind w:firstLine="643" w:firstLineChars="200"/>
        <w:rPr>
          <w:rFonts w:hint="eastAsia" w:eastAsia="仿宋_GB2312" w:cs="仿宋_GB2312" w:asciiTheme="minorEastAsia" w:hAnsiTheme="minorEastAsia"/>
          <w:color w:val="auto"/>
          <w:sz w:val="32"/>
          <w:szCs w:val="32"/>
          <w:highlight w:val="none"/>
        </w:rPr>
      </w:pPr>
      <w:r>
        <w:rPr>
          <w:rFonts w:hint="eastAsia" w:ascii="华文楷体" w:hAnsi="华文楷体" w:eastAsia="华文楷体" w:cs="华文楷体"/>
          <w:b/>
          <w:bCs/>
          <w:color w:val="auto"/>
          <w:sz w:val="32"/>
          <w:szCs w:val="32"/>
          <w:highlight w:val="none"/>
        </w:rPr>
        <w:t>加强未成年人救助保护机构能力建设。</w:t>
      </w:r>
      <w:r>
        <w:rPr>
          <w:rFonts w:eastAsia="仿宋_GB2312" w:cs="仿宋_GB2312" w:asciiTheme="minorEastAsia" w:hAnsiTheme="minorEastAsia"/>
          <w:color w:val="auto"/>
          <w:sz w:val="32"/>
          <w:szCs w:val="32"/>
          <w:highlight w:val="none"/>
        </w:rPr>
        <w:t>实现乡镇（街道）儿童督导员、村（居）儿童主任配备全覆盖。组织开展全员培训，推动完善儿童主任等基层人员的激励保障措施</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加强未成年人救助保护机构实体化、规范化建设，常态化开展困境儿童走访摸排</w:t>
      </w:r>
      <w:r>
        <w:rPr>
          <w:rFonts w:hint="eastAsia" w:eastAsia="仿宋_GB2312" w:cs="仿宋_GB2312" w:asciiTheme="minorEastAsia" w:hAnsiTheme="minorEastAsia"/>
          <w:color w:val="auto"/>
          <w:sz w:val="32"/>
          <w:szCs w:val="32"/>
          <w:highlight w:val="none"/>
        </w:rPr>
        <w:t>与</w:t>
      </w:r>
      <w:r>
        <w:rPr>
          <w:rFonts w:eastAsia="仿宋_GB2312" w:cs="仿宋_GB2312" w:asciiTheme="minorEastAsia" w:hAnsiTheme="minorEastAsia"/>
          <w:color w:val="auto"/>
          <w:sz w:val="32"/>
          <w:szCs w:val="32"/>
          <w:highlight w:val="none"/>
        </w:rPr>
        <w:t>动态监测，针对重点个案提供法律援助、个案会商等精准帮扶</w:t>
      </w:r>
      <w:r>
        <w:rPr>
          <w:rFonts w:hint="eastAsia" w:eastAsia="仿宋_GB2312" w:cs="仿宋_GB2312" w:asciiTheme="minorEastAsia" w:hAnsiTheme="minorEastAsia"/>
          <w:color w:val="auto"/>
          <w:sz w:val="32"/>
          <w:szCs w:val="32"/>
          <w:highlight w:val="none"/>
        </w:rPr>
        <w:t>。</w:t>
      </w:r>
      <w:r>
        <w:rPr>
          <w:rFonts w:eastAsia="仿宋_GB2312" w:cs="仿宋_GB2312" w:asciiTheme="minorEastAsia" w:hAnsiTheme="minorEastAsia"/>
          <w:color w:val="auto"/>
          <w:sz w:val="32"/>
          <w:szCs w:val="32"/>
          <w:highlight w:val="none"/>
        </w:rPr>
        <w:t>推动乡镇（街道）未成年人保护工作站全覆盖，统筹好“儿童之家”、青少年活动中心等各类阵地资源，有效发挥生活帮扶、监护支持等功能</w:t>
      </w:r>
      <w:r>
        <w:rPr>
          <w:rFonts w:hint="eastAsia" w:eastAsia="仿宋_GB2312" w:cs="仿宋_GB2312" w:asciiTheme="minorEastAsia" w:hAnsiTheme="minorEastAsia"/>
          <w:color w:val="auto"/>
          <w:sz w:val="32"/>
          <w:szCs w:val="32"/>
          <w:highlight w:val="none"/>
        </w:rPr>
        <w:t>。</w:t>
      </w:r>
    </w:p>
    <w:p w14:paraId="41186652">
      <w:pPr>
        <w:widowControl/>
        <w:spacing w:before="156" w:beforeLines="50" w:line="360" w:lineRule="auto"/>
        <w:ind w:firstLine="643" w:firstLineChars="20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华文楷体" w:hAnsi="华文楷体" w:eastAsia="华文楷体" w:cs="仿宋_GB2312"/>
          <w:b/>
          <w:color w:val="auto"/>
          <w:sz w:val="32"/>
          <w:szCs w:val="32"/>
          <w:highlight w:val="none"/>
        </w:rPr>
        <w:t>推进儿童福利机构优化提质与开门办院。</w:t>
      </w:r>
      <w:r>
        <w:rPr>
          <w:rFonts w:hint="eastAsia" w:ascii="仿宋_GB2312" w:hAnsi="仿宋_GB2312" w:eastAsia="仿宋_GB2312" w:cs="仿宋_GB2312"/>
          <w:color w:val="auto"/>
          <w:kern w:val="2"/>
          <w:sz w:val="32"/>
          <w:szCs w:val="32"/>
          <w:highlight w:val="none"/>
          <w:lang w:val="en-US" w:eastAsia="zh-CN" w:bidi="ar-SA"/>
        </w:rPr>
        <w:t>以深化“养、治、康、教、社”一体化服务为核心，积极引入并依托专业力量重点拓展康复医疗、日间照料、家长喘息等服务，为孤独症儿童配备标准化康复训练室、专业康复设备及个性化课程，针对孤独症家庭开展专项喘息服务，缓解监护压力切实提升康复服务精准度；依托校外心理辅导站及服务热线开展专业心理服务；开设寒暑期公益托管班为留守、困境儿童提供安置照料及学业辅导；联动高校打造社会实践基地、引进志愿者开展日间照料、艺术培训等服务，推动服务覆盖全市困境儿童。同时，着力与残联、医院、特教学校、社区、社工机构等建立稳固的个案转介机制与协作网络，形成跨部门、跨领域的全链条协作体系，构建多元协同的儿童福利服务新格局，推动儿童福利工作从“生存型保障”向“发展型服务”升级。</w:t>
      </w:r>
    </w:p>
    <w:p w14:paraId="3B89B7F4">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640" w:firstLineChars="200"/>
        <w:jc w:val="both"/>
        <w:textAlignment w:val="auto"/>
        <w:outlineLvl w:val="2"/>
        <w:rPr>
          <w:rFonts w:ascii="华文中宋" w:hAnsi="华文中宋" w:eastAsia="华文中宋" w:cs="华文中宋"/>
          <w:color w:val="auto"/>
          <w:sz w:val="32"/>
          <w:szCs w:val="32"/>
          <w:highlight w:val="none"/>
        </w:rPr>
      </w:pPr>
      <w:bookmarkStart w:id="57" w:name="_Toc11369"/>
      <w:r>
        <w:rPr>
          <w:rFonts w:hint="eastAsia" w:ascii="华文中宋" w:hAnsi="华文中宋" w:eastAsia="华文中宋" w:cs="华文中宋"/>
          <w:color w:val="auto"/>
          <w:sz w:val="32"/>
          <w:szCs w:val="32"/>
          <w:highlight w:val="none"/>
        </w:rPr>
        <w:t>（</w:t>
      </w:r>
      <w:r>
        <w:rPr>
          <w:rFonts w:hint="eastAsia" w:ascii="华文中宋" w:hAnsi="华文中宋" w:eastAsia="华文中宋" w:cs="华文中宋"/>
          <w:color w:val="auto"/>
          <w:sz w:val="32"/>
          <w:szCs w:val="32"/>
          <w:highlight w:val="none"/>
          <w:lang w:val="en-US" w:eastAsia="zh-CN"/>
        </w:rPr>
        <w:t>五</w:t>
      </w:r>
      <w:r>
        <w:rPr>
          <w:rFonts w:hint="eastAsia" w:ascii="华文中宋" w:hAnsi="华文中宋" w:eastAsia="华文中宋" w:cs="华文中宋"/>
          <w:color w:val="auto"/>
          <w:sz w:val="32"/>
          <w:szCs w:val="32"/>
          <w:highlight w:val="none"/>
        </w:rPr>
        <w:t>）完善残疾人社会保障制度</w:t>
      </w:r>
      <w:bookmarkEnd w:id="56"/>
      <w:bookmarkEnd w:id="57"/>
    </w:p>
    <w:p w14:paraId="7367B55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0" w:firstLineChars="200"/>
        <w:jc w:val="both"/>
        <w:textAlignment w:val="auto"/>
        <w:outlineLvl w:val="9"/>
        <w:rPr>
          <w:rFonts w:hint="eastAsia" w:ascii="国标仿宋" w:hAnsi="国标仿宋" w:eastAsia="国标仿宋" w:cs="国标仿宋"/>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完善残疾人“两项补贴”制度，做好困难残疾人生活补贴和重度残疾人护理补贴的精准发放管理，建立补助标准动态调整机制，确保政策精准落实。全面推进精神障碍社区康复服务。在“十五五”期间，实现精神障碍患者社区康复服务全覆盖，依托“精康融合行动”，在每个乡镇至少建设1处社区康复服务中心，逐步构建布局合理、功能完善的社区康复网络。</w:t>
      </w:r>
    </w:p>
    <w:tbl>
      <w:tblPr>
        <w:tblStyle w:val="19"/>
        <w:tblW w:w="89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970"/>
      </w:tblGrid>
      <w:tr w14:paraId="214296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0510271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561"/>
              <w:jc w:val="center"/>
              <w:textAlignment w:val="auto"/>
              <w:rPr>
                <w:rFonts w:hint="default"/>
                <w:color w:val="auto"/>
                <w:highlight w:val="none"/>
                <w:lang w:val="en-US"/>
              </w:rPr>
            </w:pPr>
            <w:r>
              <w:rPr>
                <w:rFonts w:hint="eastAsia" w:ascii="黑体" w:hAnsi="黑体" w:eastAsia="黑体" w:cs="黑体"/>
                <w:b w:val="0"/>
                <w:bCs w:val="0"/>
                <w:color w:val="auto"/>
                <w:kern w:val="24"/>
                <w:sz w:val="28"/>
                <w:szCs w:val="28"/>
                <w:highlight w:val="none"/>
                <w:lang w:val="en-US" w:eastAsia="zh-CN" w:bidi="ar-SA"/>
                <w14:ligatures w14:val="none"/>
              </w:rPr>
              <w:t xml:space="preserve">专栏四  残疾人福利设施建设工程   </w:t>
            </w:r>
          </w:p>
        </w:tc>
      </w:tr>
      <w:tr w14:paraId="288705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17" w:hRule="atLeast"/>
        </w:trPr>
        <w:tc>
          <w:tcPr>
            <w:tcW w:w="89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32883A5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1.精神障碍患者社区康复全覆盖工程</w:t>
            </w:r>
          </w:p>
          <w:p w14:paraId="2BF5731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总投资</w:t>
            </w:r>
            <w:r>
              <w:rPr>
                <w:rFonts w:hint="eastAsia" w:ascii="宋体" w:hAnsi="宋体" w:eastAsia="宋体" w:cs="宋体"/>
                <w:i w:val="0"/>
                <w:iCs w:val="0"/>
                <w:caps w:val="0"/>
                <w:color w:val="auto"/>
                <w:spacing w:val="0"/>
                <w:sz w:val="24"/>
                <w:szCs w:val="24"/>
                <w:highlight w:val="none"/>
                <w:shd w:val="clear" w:fill="FFFFFF"/>
                <w:lang w:val="en-US" w:eastAsia="zh-CN"/>
              </w:rPr>
              <w:t>460</w:t>
            </w:r>
            <w:r>
              <w:rPr>
                <w:rFonts w:hint="eastAsia" w:ascii="宋体" w:hAnsi="宋体" w:eastAsia="宋体" w:cs="宋体"/>
                <w:i w:val="0"/>
                <w:iCs w:val="0"/>
                <w:caps w:val="0"/>
                <w:color w:val="auto"/>
                <w:spacing w:val="0"/>
                <w:sz w:val="24"/>
                <w:szCs w:val="24"/>
                <w:highlight w:val="none"/>
                <w:shd w:val="clear" w:fill="FFFFFF"/>
              </w:rPr>
              <w:t>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计划在“十五五”期间，按照每个乡镇至少建设</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处社区康复服务中心的标准，实现辖区内服务网络全覆盖</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本项目</w:t>
            </w:r>
            <w:r>
              <w:rPr>
                <w:rFonts w:hint="eastAsia" w:ascii="宋体" w:hAnsi="宋体" w:eastAsia="宋体" w:cs="宋体"/>
                <w:i w:val="0"/>
                <w:iCs w:val="0"/>
                <w:caps w:val="0"/>
                <w:color w:val="auto"/>
                <w:spacing w:val="0"/>
                <w:sz w:val="24"/>
                <w:szCs w:val="24"/>
                <w:highlight w:val="none"/>
                <w:shd w:val="clear" w:fill="FFFFFF"/>
              </w:rPr>
              <w:t>旨在全面推进精神障碍患者社区康复服务体系建设，</w:t>
            </w:r>
          </w:p>
        </w:tc>
      </w:tr>
      <w:tr w14:paraId="4F30AE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92" w:hRule="atLeast"/>
        </w:trPr>
        <w:tc>
          <w:tcPr>
            <w:tcW w:w="89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08C1FB6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2.重度残疾人托养机构建设项目</w:t>
            </w:r>
          </w:p>
          <w:p w14:paraId="63B8CB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预计</w:t>
            </w:r>
            <w:r>
              <w:rPr>
                <w:rFonts w:hint="eastAsia" w:ascii="宋体" w:hAnsi="宋体" w:eastAsia="宋体" w:cs="宋体"/>
                <w:i w:val="0"/>
                <w:iCs w:val="0"/>
                <w:caps w:val="0"/>
                <w:color w:val="auto"/>
                <w:spacing w:val="0"/>
                <w:sz w:val="24"/>
                <w:szCs w:val="24"/>
                <w:highlight w:val="none"/>
                <w:shd w:val="clear" w:fill="FFFFFF"/>
              </w:rPr>
              <w:t>总投资3200万元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依托现有乡镇福利院基础设施，探索性建设8处重度残疾人专业托养机构，旨在为重度残疾人提供集中、专业的照护与托养服务，缓解家庭照护压力，完善残疾人社会保障与服务体系</w:t>
            </w:r>
            <w:r>
              <w:rPr>
                <w:rFonts w:hint="eastAsia" w:ascii="宋体" w:hAnsi="宋体" w:eastAsia="宋体" w:cs="宋体"/>
                <w:i w:val="0"/>
                <w:iCs w:val="0"/>
                <w:caps w:val="0"/>
                <w:color w:val="auto"/>
                <w:spacing w:val="0"/>
                <w:sz w:val="24"/>
                <w:szCs w:val="24"/>
                <w:highlight w:val="none"/>
                <w:shd w:val="clear" w:fill="FFFFFF"/>
                <w:lang w:eastAsia="zh-CN"/>
              </w:rPr>
              <w:t>。</w:t>
            </w:r>
          </w:p>
        </w:tc>
      </w:tr>
    </w:tbl>
    <w:p w14:paraId="7710F76C">
      <w:pPr>
        <w:snapToGrid w:val="0"/>
        <w:spacing w:before="312" w:beforeLines="100" w:line="360" w:lineRule="auto"/>
        <w:ind w:firstLine="640" w:firstLineChars="200"/>
        <w:outlineLvl w:val="1"/>
        <w:rPr>
          <w:rFonts w:hint="default" w:ascii="黑体" w:hAnsi="黑体" w:eastAsia="黑体" w:cs="黑体"/>
          <w:color w:val="auto"/>
          <w:sz w:val="32"/>
          <w:szCs w:val="32"/>
          <w:highlight w:val="none"/>
          <w:lang w:val="en-US" w:eastAsia="zh-CN"/>
        </w:rPr>
      </w:pPr>
      <w:bookmarkStart w:id="58" w:name="_Toc11323"/>
      <w:bookmarkStart w:id="59" w:name="_Toc2693"/>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val="en-US" w:eastAsia="zh-CN"/>
        </w:rPr>
        <w:t>坚持高质量发展，</w:t>
      </w:r>
      <w:r>
        <w:rPr>
          <w:rFonts w:hint="eastAsia" w:ascii="黑体" w:hAnsi="黑体" w:eastAsia="黑体" w:cs="黑体"/>
          <w:color w:val="auto"/>
          <w:sz w:val="32"/>
          <w:szCs w:val="32"/>
          <w:highlight w:val="none"/>
        </w:rPr>
        <w:t>激活治理新动能</w:t>
      </w:r>
      <w:bookmarkEnd w:id="58"/>
      <w:bookmarkEnd w:id="59"/>
    </w:p>
    <w:p w14:paraId="645DF5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60" w:name="_Toc2718"/>
      <w:bookmarkStart w:id="61" w:name="_Toc2537"/>
      <w:r>
        <w:rPr>
          <w:rFonts w:hint="eastAsia" w:ascii="华文中宋" w:hAnsi="华文中宋" w:eastAsia="华文中宋" w:cs="华文中宋"/>
          <w:color w:val="auto"/>
          <w:sz w:val="32"/>
          <w:szCs w:val="32"/>
          <w:highlight w:val="none"/>
        </w:rPr>
        <w:t>（一）</w:t>
      </w:r>
      <w:r>
        <w:rPr>
          <w:rFonts w:hint="eastAsia" w:ascii="华文中宋" w:hAnsi="华文中宋" w:eastAsia="华文中宋" w:cs="华文中宋"/>
          <w:color w:val="auto"/>
          <w:sz w:val="32"/>
          <w:szCs w:val="32"/>
          <w:highlight w:val="none"/>
          <w:lang w:val="en-US" w:eastAsia="zh-CN"/>
        </w:rPr>
        <w:t>加强</w:t>
      </w:r>
      <w:r>
        <w:rPr>
          <w:rFonts w:hint="eastAsia" w:ascii="华文中宋" w:hAnsi="华文中宋" w:eastAsia="华文中宋" w:cs="华文中宋"/>
          <w:color w:val="auto"/>
          <w:sz w:val="32"/>
          <w:szCs w:val="32"/>
          <w:highlight w:val="none"/>
        </w:rPr>
        <w:t>社会组织</w:t>
      </w:r>
      <w:bookmarkEnd w:id="60"/>
      <w:r>
        <w:rPr>
          <w:rFonts w:hint="eastAsia" w:ascii="华文中宋" w:hAnsi="华文中宋" w:eastAsia="华文中宋" w:cs="华文中宋"/>
          <w:color w:val="auto"/>
          <w:sz w:val="32"/>
          <w:szCs w:val="32"/>
          <w:highlight w:val="none"/>
          <w:lang w:val="en-US" w:eastAsia="zh-CN"/>
        </w:rPr>
        <w:t>培育管理</w:t>
      </w:r>
      <w:bookmarkEnd w:id="61"/>
    </w:p>
    <w:p w14:paraId="01E2CC1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
        </w:rPr>
        <w:t>健全监管制度。</w:t>
      </w:r>
      <w:r>
        <w:rPr>
          <w:rFonts w:hint="eastAsia" w:ascii="仿宋_GB2312" w:hAnsi="仿宋_GB2312" w:eastAsia="仿宋_GB2312" w:cs="仿宋_GB2312"/>
          <w:color w:val="auto"/>
          <w:kern w:val="2"/>
          <w:sz w:val="32"/>
          <w:szCs w:val="32"/>
          <w:highlight w:val="none"/>
          <w:lang w:val="en-US" w:eastAsia="zh-CN" w:bidi="ar-SA"/>
        </w:rPr>
        <w:t>严格落实党委政府研究决定社会组织重大事项制度。理顺行业协会、学会、商会等党建工作管理体制，落实健全行业协会商会退出、终止、注销等管理措施。加强社会组织登记审查与会商，推进登记告知及承诺制度。</w:t>
      </w:r>
      <w:r>
        <w:rPr>
          <w:rFonts w:hint="default" w:ascii="仿宋_GB2312" w:hAnsi="仿宋_GB2312" w:eastAsia="仿宋_GB2312" w:cs="仿宋_GB2312"/>
          <w:color w:val="auto"/>
          <w:kern w:val="2"/>
          <w:sz w:val="32"/>
          <w:szCs w:val="32"/>
          <w:highlight w:val="none"/>
          <w:lang w:val="en-US" w:eastAsia="zh-CN" w:bidi="ar-SA"/>
        </w:rPr>
        <w:t>推行“双随机、一公开”监管与专项整治相结合，持续开展年检与抽查审计。重点整治行业协会商会涉企违规收费、“僵尸型”社会组织等问题</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健全信用监管与失信联合惩戒制度，将违法违规信息纳入信用平台，对严重失信主体依法限制参与政府购买服务</w:t>
      </w:r>
      <w:r>
        <w:rPr>
          <w:rFonts w:hint="eastAsia" w:ascii="仿宋_GB2312" w:hAnsi="仿宋_GB2312" w:eastAsia="仿宋_GB2312" w:cs="仿宋_GB2312"/>
          <w:color w:val="auto"/>
          <w:kern w:val="2"/>
          <w:sz w:val="32"/>
          <w:szCs w:val="32"/>
          <w:highlight w:val="none"/>
          <w:lang w:val="en-US" w:eastAsia="zh-CN" w:bidi="ar-SA"/>
        </w:rPr>
        <w:t>等</w:t>
      </w:r>
      <w:r>
        <w:rPr>
          <w:rFonts w:hint="default" w:ascii="仿宋_GB2312" w:hAnsi="仿宋_GB2312" w:eastAsia="仿宋_GB2312" w:cs="仿宋_GB2312"/>
          <w:color w:val="auto"/>
          <w:kern w:val="2"/>
          <w:sz w:val="32"/>
          <w:szCs w:val="32"/>
          <w:highlight w:val="none"/>
          <w:lang w:val="en-US" w:eastAsia="zh-CN" w:bidi="ar-SA"/>
        </w:rPr>
        <w:t>。畅通退出渠道，依法</w:t>
      </w:r>
      <w:r>
        <w:rPr>
          <w:rFonts w:hint="eastAsia" w:ascii="仿宋_GB2312" w:hAnsi="仿宋_GB2312" w:eastAsia="仿宋_GB2312" w:cs="仿宋_GB2312"/>
          <w:color w:val="auto"/>
          <w:kern w:val="2"/>
          <w:sz w:val="32"/>
          <w:szCs w:val="32"/>
          <w:highlight w:val="none"/>
          <w:lang w:val="en-US" w:eastAsia="zh-CN" w:bidi="ar-SA"/>
        </w:rPr>
        <w:t>规范</w:t>
      </w:r>
      <w:r>
        <w:rPr>
          <w:rFonts w:hint="default" w:ascii="仿宋_GB2312" w:hAnsi="仿宋_GB2312" w:eastAsia="仿宋_GB2312" w:cs="仿宋_GB2312"/>
          <w:color w:val="auto"/>
          <w:kern w:val="2"/>
          <w:sz w:val="32"/>
          <w:szCs w:val="32"/>
          <w:highlight w:val="none"/>
          <w:lang w:val="en-US" w:eastAsia="zh-CN" w:bidi="ar-SA"/>
        </w:rPr>
        <w:t>撤销、注销</w:t>
      </w:r>
      <w:r>
        <w:rPr>
          <w:rFonts w:hint="eastAsia" w:ascii="仿宋_GB2312" w:hAnsi="仿宋_GB2312" w:eastAsia="仿宋_GB2312" w:cs="仿宋_GB2312"/>
          <w:color w:val="auto"/>
          <w:kern w:val="2"/>
          <w:sz w:val="32"/>
          <w:szCs w:val="32"/>
          <w:highlight w:val="none"/>
          <w:lang w:val="en-US" w:eastAsia="zh-CN" w:bidi="ar-SA"/>
        </w:rPr>
        <w:t>、吊销</w:t>
      </w:r>
      <w:r>
        <w:rPr>
          <w:rFonts w:hint="default" w:ascii="仿宋_GB2312" w:hAnsi="仿宋_GB2312" w:eastAsia="仿宋_GB2312" w:cs="仿宋_GB2312"/>
          <w:color w:val="auto"/>
          <w:kern w:val="2"/>
          <w:sz w:val="32"/>
          <w:szCs w:val="32"/>
          <w:highlight w:val="none"/>
          <w:lang w:val="en-US" w:eastAsia="zh-CN" w:bidi="ar-SA"/>
        </w:rPr>
        <w:t>程序，探索推行“兼并重组”模式以优化资源配置</w:t>
      </w:r>
      <w:r>
        <w:rPr>
          <w:rFonts w:hint="eastAsia" w:ascii="仿宋_GB2312" w:hAnsi="仿宋_GB2312" w:eastAsia="仿宋_GB2312" w:cs="仿宋_GB2312"/>
          <w:color w:val="auto"/>
          <w:kern w:val="2"/>
          <w:sz w:val="32"/>
          <w:szCs w:val="32"/>
          <w:highlight w:val="none"/>
          <w:lang w:val="en-US" w:eastAsia="zh-CN" w:bidi="ar-SA"/>
        </w:rPr>
        <w:t>。</w:t>
      </w:r>
    </w:p>
    <w:p w14:paraId="36B417B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
        </w:rPr>
        <w:t>优化培育体系。</w:t>
      </w:r>
      <w:r>
        <w:rPr>
          <w:rFonts w:hint="eastAsia" w:ascii="仿宋_GB2312" w:hAnsi="仿宋_GB2312" w:eastAsia="仿宋_GB2312" w:cs="仿宋_GB2312"/>
          <w:color w:val="auto"/>
          <w:kern w:val="2"/>
          <w:sz w:val="32"/>
          <w:szCs w:val="32"/>
          <w:highlight w:val="none"/>
          <w:lang w:val="en-US" w:eastAsia="zh-CN" w:bidi="ar-SA"/>
        </w:rPr>
        <w:t>围绕国家战略及本市发展大局，重点培育服务新质生产力、战略性新兴产业、科技创新、产业升级、绿色低碳、民生保障及基层治理等领域的社会组织。推动完善政府购买服务、人才激励、财税支持等政策体系，支持社会组织加强项目设计、资源整合与品牌建设，营造公平有序的发展环境，提升其可持续发展与服务能力。</w:t>
      </w:r>
    </w:p>
    <w:p w14:paraId="7B90BE12">
      <w:pPr>
        <w:spacing w:before="156" w:beforeLines="50" w:line="360" w:lineRule="auto"/>
        <w:ind w:firstLine="640" w:firstLineChars="200"/>
        <w:outlineLvl w:val="2"/>
        <w:rPr>
          <w:rFonts w:hint="eastAsia" w:ascii="华文中宋" w:hAnsi="华文中宋" w:eastAsia="华文中宋" w:cs="华文中宋"/>
          <w:color w:val="auto"/>
          <w:sz w:val="32"/>
          <w:szCs w:val="32"/>
          <w:highlight w:val="none"/>
          <w:lang w:eastAsia="zh-CN"/>
        </w:rPr>
      </w:pPr>
      <w:bookmarkStart w:id="62" w:name="_Toc29667"/>
      <w:r>
        <w:rPr>
          <w:rFonts w:hint="eastAsia" w:ascii="华文中宋" w:hAnsi="华文中宋" w:eastAsia="华文中宋" w:cs="华文中宋"/>
          <w:color w:val="auto"/>
          <w:sz w:val="32"/>
          <w:szCs w:val="32"/>
          <w:highlight w:val="none"/>
        </w:rPr>
        <w:t>（二）</w:t>
      </w:r>
      <w:r>
        <w:rPr>
          <w:rFonts w:hint="eastAsia" w:ascii="华文中宋" w:hAnsi="华文中宋" w:eastAsia="华文中宋" w:cs="华文中宋"/>
          <w:color w:val="auto"/>
          <w:sz w:val="32"/>
          <w:szCs w:val="32"/>
          <w:highlight w:val="none"/>
          <w:lang w:eastAsia="zh-CN"/>
        </w:rPr>
        <w:t>推动</w:t>
      </w:r>
      <w:r>
        <w:rPr>
          <w:rFonts w:hint="eastAsia" w:ascii="华文中宋" w:hAnsi="华文中宋" w:eastAsia="华文中宋" w:cs="华文中宋"/>
          <w:color w:val="auto"/>
          <w:sz w:val="32"/>
          <w:szCs w:val="32"/>
          <w:highlight w:val="none"/>
        </w:rPr>
        <w:t>慈善事业高质量发展</w:t>
      </w:r>
      <w:bookmarkEnd w:id="62"/>
    </w:p>
    <w:p w14:paraId="23DE15DC">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360" w:lineRule="auto"/>
        <w:ind w:leftChars="0" w:rightChars="0" w:firstLine="643" w:firstLineChars="200"/>
        <w:jc w:val="left"/>
        <w:textAlignment w:val="auto"/>
        <w:rPr>
          <w:rFonts w:hint="eastAsia" w:ascii="华文楷体" w:hAnsi="华文楷体" w:eastAsia="华文楷体" w:cs="华文楷体"/>
          <w:b/>
          <w:bCs/>
          <w:color w:val="auto"/>
          <w:kern w:val="2"/>
          <w:sz w:val="32"/>
          <w:szCs w:val="32"/>
          <w:highlight w:val="none"/>
          <w:lang w:val="en-US" w:eastAsia="zh-CN" w:bidi="ar-SA"/>
        </w:rPr>
      </w:pPr>
      <w:r>
        <w:rPr>
          <w:rFonts w:hint="eastAsia" w:ascii="华文楷体" w:hAnsi="华文楷体" w:eastAsia="华文楷体" w:cs="华文楷体"/>
          <w:b/>
          <w:bCs/>
          <w:color w:val="auto"/>
          <w:kern w:val="2"/>
          <w:sz w:val="32"/>
          <w:szCs w:val="32"/>
          <w:highlight w:val="none"/>
          <w:lang w:val="en-US" w:eastAsia="zh-CN" w:bidi="ar-SA"/>
        </w:rPr>
        <w:t>促进慈善事业健康发展。</w:t>
      </w:r>
      <w:r>
        <w:rPr>
          <w:rFonts w:hint="eastAsia" w:ascii="仿宋" w:hAnsi="仿宋" w:eastAsia="仿宋" w:cs="仿宋"/>
          <w:color w:val="auto"/>
          <w:sz w:val="32"/>
          <w:szCs w:val="32"/>
          <w:highlight w:val="none"/>
          <w:lang w:val="en-US" w:eastAsia="zh-CN"/>
        </w:rPr>
        <w:t>持续做好《慈善法》宣传贯彻实施，推动依法行善、依法治善、依法兴善。推动社会各界设立慈善信托，拓宽财富向慈善流通渠道。推进社区公益基金建设，提升“数</w:t>
      </w:r>
      <w:bookmarkStart w:id="94" w:name="_GoBack"/>
      <w:bookmarkEnd w:id="94"/>
      <w:r>
        <w:rPr>
          <w:rFonts w:hint="eastAsia" w:ascii="仿宋" w:hAnsi="仿宋" w:eastAsia="仿宋" w:cs="仿宋"/>
          <w:color w:val="auto"/>
          <w:sz w:val="32"/>
          <w:szCs w:val="32"/>
          <w:highlight w:val="none"/>
          <w:lang w:val="en-US" w:eastAsia="zh-CN"/>
        </w:rPr>
        <w:t>字公益节”、“幸福家园”村社互助等项目品牌影响力。大力弘扬慈善文化，开展慈善文化“进机关、进企业、进乡村、进社区、进家庭”活动。加强自身建设，凝聚慈善事业新动能。锻造队伍、提升能力，在加强慈善从业人员专业化方面积极探索，加强慈善人才培养，为慈善事业高效发展聚力赋能。</w:t>
      </w:r>
    </w:p>
    <w:p w14:paraId="2BEC05E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643" w:firstLineChars="200"/>
        <w:jc w:val="both"/>
        <w:textAlignment w:val="auto"/>
        <w:outlineLvl w:val="9"/>
        <w:rPr>
          <w:rFonts w:hint="eastAsia" w:ascii="Times New Roman" w:hAnsi="仿宋_GB2312" w:eastAsia="仿宋_GB2312" w:cs="仿宋_GB2312"/>
          <w:b w:val="0"/>
          <w:i w:val="0"/>
          <w:color w:val="auto"/>
          <w:sz w:val="32"/>
          <w:highlight w:val="none"/>
        </w:rPr>
      </w:pPr>
      <w:r>
        <w:rPr>
          <w:rFonts w:hint="eastAsia" w:ascii="华文楷体" w:hAnsi="华文楷体" w:eastAsia="华文楷体" w:cs="华文楷体"/>
          <w:b/>
          <w:bCs/>
          <w:color w:val="auto"/>
          <w:kern w:val="2"/>
          <w:sz w:val="32"/>
          <w:szCs w:val="32"/>
          <w:highlight w:val="none"/>
          <w:lang w:val="en-US" w:eastAsia="zh-CN" w:bidi="ar-SA"/>
        </w:rPr>
        <w:t>加强慈善活动规范管理。</w:t>
      </w:r>
      <w:r>
        <w:rPr>
          <w:rFonts w:hint="eastAsia" w:ascii="Times New Roman" w:hAnsi="仿宋_GB2312" w:eastAsia="仿宋_GB2312" w:cs="仿宋_GB2312"/>
          <w:b w:val="0"/>
          <w:i w:val="0"/>
          <w:color w:val="auto"/>
          <w:sz w:val="32"/>
          <w:highlight w:val="none"/>
        </w:rPr>
        <w:t>深入推进“阳光慈善”工程，建立健全跨部门慈善综合监管机制，强化登记管理机关、业务主管单位及相关职能部门的协同</w:t>
      </w:r>
      <w:r>
        <w:rPr>
          <w:rFonts w:hint="eastAsia" w:ascii="Times New Roman" w:hAnsi="仿宋_GB2312" w:eastAsia="仿宋_GB2312" w:cs="仿宋_GB2312"/>
          <w:b w:val="0"/>
          <w:i w:val="0"/>
          <w:color w:val="auto"/>
          <w:sz w:val="32"/>
          <w:highlight w:val="none"/>
          <w:lang w:eastAsia="zh-CN"/>
        </w:rPr>
        <w:t>配合</w:t>
      </w:r>
      <w:r>
        <w:rPr>
          <w:rFonts w:hint="eastAsia" w:ascii="Times New Roman" w:hAnsi="仿宋_GB2312" w:eastAsia="仿宋_GB2312" w:cs="仿宋_GB2312"/>
          <w:b w:val="0"/>
          <w:i w:val="0"/>
          <w:color w:val="auto"/>
          <w:sz w:val="32"/>
          <w:highlight w:val="none"/>
        </w:rPr>
        <w:t>。健全完善慈善行业自律机制，进一步畅通社会监督渠道，督促慈善组织全面、及时、准确公开慈善活动、资金使用等关键信息，切实保障社会公众知情权、参与权和监督权。完善慈善组织及负责人信用记录机制，构建覆盖慈善活动全流程的规范化管理体系，持续提升慈善事业的社会透明度、公信力和公众认可度。</w:t>
      </w:r>
    </w:p>
    <w:p w14:paraId="06604EE4">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outlineLvl w:val="2"/>
        <w:rPr>
          <w:rFonts w:hint="eastAsia" w:ascii="华文中宋" w:hAnsi="华文中宋" w:eastAsia="华文中宋" w:cs="华文中宋"/>
          <w:color w:val="auto"/>
          <w:sz w:val="32"/>
          <w:szCs w:val="32"/>
          <w:highlight w:val="none"/>
        </w:rPr>
      </w:pPr>
      <w:bookmarkStart w:id="63" w:name="_Toc7576"/>
      <w:r>
        <w:rPr>
          <w:rFonts w:hint="eastAsia" w:ascii="华文中宋" w:hAnsi="华文中宋" w:eastAsia="华文中宋" w:cs="华文中宋"/>
          <w:color w:val="auto"/>
          <w:sz w:val="32"/>
          <w:szCs w:val="32"/>
          <w:highlight w:val="none"/>
        </w:rPr>
        <w:t>（三）提升区划地名管理水平</w:t>
      </w:r>
      <w:bookmarkEnd w:id="63"/>
    </w:p>
    <w:p w14:paraId="31390B8F">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kern w:val="2"/>
          <w:sz w:val="32"/>
          <w:szCs w:val="32"/>
          <w:highlight w:val="none"/>
          <w:lang w:val="en-US" w:eastAsia="zh-CN" w:bidi="ar-SA"/>
        </w:rPr>
        <w:t>优化行政区划设置。</w:t>
      </w:r>
      <w:r>
        <w:rPr>
          <w:rFonts w:hint="eastAsia" w:ascii="仿宋_GB2312" w:hAnsi="仿宋_GB2312" w:eastAsia="仿宋_GB2312" w:cs="仿宋_GB2312"/>
          <w:color w:val="auto"/>
          <w:sz w:val="32"/>
          <w:szCs w:val="32"/>
          <w:highlight w:val="none"/>
        </w:rPr>
        <w:t>坚持和加强党的全面领导，以提升区划地名管理效能为核心，深化全市行政区划总体规划研究。审慎推进乡镇、街道行政区划规范管理和管理区（农场）、功能区的行政区划优化调整。</w:t>
      </w:r>
    </w:p>
    <w:p w14:paraId="7D164F01">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kern w:val="2"/>
          <w:sz w:val="32"/>
          <w:szCs w:val="32"/>
          <w:highlight w:val="none"/>
          <w:lang w:val="en-US" w:eastAsia="zh-CN" w:bidi="ar-SA"/>
        </w:rPr>
        <w:t>加强地名文化保护。</w:t>
      </w:r>
      <w:r>
        <w:rPr>
          <w:rFonts w:hint="eastAsia" w:ascii="仿宋_GB2312" w:hAnsi="仿宋_GB2312" w:eastAsia="仿宋_GB2312" w:cs="仿宋_GB2312"/>
          <w:color w:val="auto"/>
          <w:sz w:val="32"/>
          <w:szCs w:val="32"/>
          <w:highlight w:val="none"/>
        </w:rPr>
        <w:t>深化潜江市域重要地名文化挖掘，推动地名文化成果转化利用，强化地名文化遗产系统性保护，广泛凝聚社会力量参与。围绕“乡村著名行动”指南规范乡村地名标志、地名体制机制建设，加强乡村地名文化与乡村历史文化邮寄融合，促进乡村地名管理服务水平跃升。全面推进乡村地名文化保护、信息服务于应用赋能，激活地名文化价值与传承功能。积极构建全域覆盖、信息共享、多跨协同的地名数字化展示服务体系，充分释放地名文化活力。</w:t>
      </w:r>
    </w:p>
    <w:p w14:paraId="705FDC82">
      <w:pPr>
        <w:ind w:firstLine="643" w:firstLineChars="200"/>
        <w:rPr>
          <w:rFonts w:hint="eastAsia" w:ascii="仿宋_GB2312" w:hAnsi="仿宋_GB2312" w:eastAsia="仿宋_GB2312" w:cs="仿宋_GB2312"/>
          <w:color w:val="auto"/>
          <w:sz w:val="32"/>
          <w:szCs w:val="32"/>
          <w:highlight w:val="none"/>
        </w:rPr>
      </w:pPr>
      <w:r>
        <w:rPr>
          <w:rFonts w:hint="eastAsia" w:ascii="华文楷体" w:hAnsi="华文楷体" w:eastAsia="华文楷体" w:cs="华文楷体"/>
          <w:b/>
          <w:bCs/>
          <w:color w:val="auto"/>
          <w:kern w:val="2"/>
          <w:sz w:val="32"/>
          <w:szCs w:val="32"/>
          <w:highlight w:val="none"/>
          <w:lang w:val="en-US" w:eastAsia="zh-CN" w:bidi="ar-SA"/>
        </w:rPr>
        <w:t>深化勘界成果应用。</w:t>
      </w:r>
      <w:r>
        <w:rPr>
          <w:rFonts w:hint="eastAsia" w:ascii="仿宋_GB2312" w:hAnsi="仿宋_GB2312" w:eastAsia="仿宋_GB2312" w:cs="仿宋_GB2312"/>
          <w:color w:val="auto"/>
          <w:sz w:val="32"/>
          <w:szCs w:val="32"/>
          <w:highlight w:val="none"/>
        </w:rPr>
        <w:t>综合运用全市乡级行政区域界线勘定成果，深入构建市、镇、村三级精细化管理网络。积极推进“城市数字公共基础设施建设”，强化区划地名信息大数据在基层治理、公共服务等领域的深度应用。扎实开展市、镇、村三级行政区域界线联合检查，促进毗邻市州之间经济持续发展，推动乡镇之间合作联动发展，维护村居百姓平安稳定生活。</w:t>
      </w:r>
    </w:p>
    <w:p w14:paraId="00347C8F">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640" w:firstLineChars="200"/>
        <w:textAlignment w:val="auto"/>
        <w:outlineLvl w:val="1"/>
        <w:rPr>
          <w:rFonts w:ascii="黑体" w:hAnsi="黑体" w:eastAsia="黑体" w:cs="黑体"/>
          <w:color w:val="auto"/>
          <w:sz w:val="32"/>
          <w:szCs w:val="32"/>
          <w:highlight w:val="none"/>
        </w:rPr>
      </w:pPr>
      <w:bookmarkStart w:id="64" w:name="_Toc22399"/>
      <w:bookmarkStart w:id="65" w:name="_Toc2895"/>
      <w:r>
        <w:rPr>
          <w:rFonts w:hint="eastAsia" w:ascii="黑体" w:hAnsi="黑体" w:eastAsia="黑体" w:cs="黑体"/>
          <w:color w:val="auto"/>
          <w:sz w:val="32"/>
          <w:szCs w:val="32"/>
          <w:highlight w:val="none"/>
        </w:rPr>
        <w:t>四、聚力便民惠民</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促进专项社会事务提质增效</w:t>
      </w:r>
      <w:bookmarkEnd w:id="64"/>
      <w:bookmarkEnd w:id="65"/>
    </w:p>
    <w:p w14:paraId="230987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66" w:name="_Toc17314"/>
      <w:bookmarkStart w:id="67" w:name="_Toc31459"/>
      <w:bookmarkStart w:id="68" w:name="_Toc27819"/>
      <w:r>
        <w:rPr>
          <w:rFonts w:hint="eastAsia" w:ascii="华文中宋" w:hAnsi="华文中宋" w:eastAsia="华文中宋" w:cs="华文中宋"/>
          <w:color w:val="auto"/>
          <w:sz w:val="32"/>
          <w:szCs w:val="32"/>
          <w:highlight w:val="none"/>
        </w:rPr>
        <w:t>（</w:t>
      </w:r>
      <w:r>
        <w:rPr>
          <w:rFonts w:hint="eastAsia" w:ascii="华文中宋" w:hAnsi="华文中宋" w:eastAsia="华文中宋" w:cs="华文中宋"/>
          <w:color w:val="auto"/>
          <w:sz w:val="32"/>
          <w:szCs w:val="32"/>
          <w:highlight w:val="none"/>
          <w:lang w:val="en-US" w:eastAsia="zh-CN"/>
        </w:rPr>
        <w:t>一</w:t>
      </w:r>
      <w:r>
        <w:rPr>
          <w:rFonts w:hint="eastAsia" w:ascii="华文中宋" w:hAnsi="华文中宋" w:eastAsia="华文中宋" w:cs="华文中宋"/>
          <w:color w:val="auto"/>
          <w:sz w:val="32"/>
          <w:szCs w:val="32"/>
          <w:highlight w:val="none"/>
        </w:rPr>
        <w:t>）</w:t>
      </w:r>
      <w:bookmarkEnd w:id="66"/>
      <w:r>
        <w:rPr>
          <w:rFonts w:hint="eastAsia" w:ascii="华文中宋" w:hAnsi="华文中宋" w:eastAsia="华文中宋" w:cs="华文中宋"/>
          <w:color w:val="auto"/>
          <w:sz w:val="32"/>
          <w:szCs w:val="32"/>
          <w:highlight w:val="none"/>
          <w:lang w:val="en-US" w:eastAsia="zh-CN"/>
        </w:rPr>
        <w:t>完善殡葬事务管理机制</w:t>
      </w:r>
      <w:bookmarkEnd w:id="67"/>
    </w:p>
    <w:p w14:paraId="4F7DF357">
      <w:pPr>
        <w:keepNext w:val="0"/>
        <w:keepLines w:val="0"/>
        <w:pageBreakBefore w:val="0"/>
        <w:widowControl w:val="0"/>
        <w:kinsoku/>
        <w:wordWrap/>
        <w:overflowPunct w:val="0"/>
        <w:topLinePunct w:val="0"/>
        <w:autoSpaceDE/>
        <w:autoSpaceDN/>
        <w:bidi w:val="0"/>
        <w:adjustRightInd w:val="0"/>
        <w:snapToGrid w:val="0"/>
        <w:spacing w:before="156" w:beforeLines="50" w:line="360" w:lineRule="auto"/>
        <w:ind w:firstLine="641"/>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加强监督管理。</w:t>
      </w:r>
      <w:r>
        <w:rPr>
          <w:rFonts w:hint="default" w:ascii="仿宋" w:hAnsi="仿宋" w:eastAsia="仿宋" w:cs="仿宋"/>
          <w:color w:val="auto"/>
          <w:sz w:val="32"/>
          <w:szCs w:val="32"/>
          <w:highlight w:val="none"/>
          <w:lang w:val="en-US" w:eastAsia="zh-CN"/>
        </w:rPr>
        <w:t>完善配套政策，持续推进殡葬综合改革试点。坚持殡葬服务的公益属性，巩固拓展专项治理成果，加强服务机构监督管理。深入推进丧葬礼俗改革，强化党员干部带头作用，大力倡导文明节俭治丧，推广鲜花祭扫、居家追思、网络祭扫等绿色低碳祭扫方式，助力乡村振兴</w:t>
      </w:r>
      <w:r>
        <w:rPr>
          <w:rFonts w:hint="eastAsia" w:ascii="仿宋" w:hAnsi="仿宋" w:eastAsia="仿宋" w:cs="仿宋"/>
          <w:color w:val="auto"/>
          <w:sz w:val="32"/>
          <w:szCs w:val="32"/>
          <w:highlight w:val="none"/>
          <w:lang w:val="en-US" w:eastAsia="zh-CN"/>
        </w:rPr>
        <w:t>。</w:t>
      </w:r>
    </w:p>
    <w:p w14:paraId="2F0E1D11">
      <w:pPr>
        <w:overflowPunct w:val="0"/>
        <w:adjustRightInd w:val="0"/>
        <w:snapToGrid w:val="0"/>
        <w:spacing w:before="156" w:beforeLines="50" w:line="360" w:lineRule="auto"/>
        <w:ind w:firstLine="643"/>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健全基本殡葬服务体系。</w:t>
      </w:r>
      <w:r>
        <w:rPr>
          <w:rFonts w:hint="default" w:ascii="仿宋" w:hAnsi="仿宋" w:eastAsia="仿宋" w:cs="仿宋"/>
          <w:color w:val="auto"/>
          <w:sz w:val="32"/>
          <w:szCs w:val="32"/>
          <w:highlight w:val="none"/>
          <w:lang w:val="en-US" w:eastAsia="zh-CN"/>
        </w:rPr>
        <w:t>“十五五”期间，</w:t>
      </w:r>
      <w:r>
        <w:rPr>
          <w:rFonts w:hint="eastAsia" w:ascii="仿宋" w:hAnsi="仿宋" w:eastAsia="仿宋" w:cs="仿宋"/>
          <w:color w:val="auto"/>
          <w:sz w:val="32"/>
          <w:szCs w:val="32"/>
          <w:highlight w:val="none"/>
          <w:lang w:val="en-US" w:eastAsia="zh-CN"/>
        </w:rPr>
        <w:t>建设集停灵、火化、骨灰寄存、指挥调度等功能于一体的现代化殡葬综合服务场所</w:t>
      </w:r>
      <w:r>
        <w:rPr>
          <w:rFonts w:hint="default" w:ascii="仿宋" w:hAnsi="仿宋" w:eastAsia="仿宋" w:cs="仿宋"/>
          <w:color w:val="auto"/>
          <w:sz w:val="32"/>
          <w:szCs w:val="32"/>
          <w:highlight w:val="none"/>
          <w:lang w:val="en-US" w:eastAsia="zh-CN"/>
        </w:rPr>
        <w:t>，有效整合现有殡葬服务机构，优化殡葬服务</w:t>
      </w:r>
      <w:r>
        <w:rPr>
          <w:rFonts w:hint="eastAsia" w:ascii="仿宋" w:hAnsi="仿宋" w:eastAsia="仿宋" w:cs="仿宋"/>
          <w:color w:val="auto"/>
          <w:sz w:val="32"/>
          <w:szCs w:val="32"/>
          <w:highlight w:val="none"/>
          <w:lang w:val="en-US" w:eastAsia="zh-CN"/>
        </w:rPr>
        <w:t>功能</w:t>
      </w:r>
      <w:r>
        <w:rPr>
          <w:rFonts w:hint="default" w:ascii="仿宋" w:hAnsi="仿宋" w:eastAsia="仿宋" w:cs="仿宋"/>
          <w:color w:val="auto"/>
          <w:sz w:val="32"/>
          <w:szCs w:val="32"/>
          <w:highlight w:val="none"/>
          <w:lang w:val="en-US" w:eastAsia="zh-CN"/>
        </w:rPr>
        <w:t>，为人民群众提供更加经济、实惠、优质的殡葬服</w:t>
      </w:r>
      <w:r>
        <w:rPr>
          <w:rFonts w:hint="default" w:ascii="仿宋_GB2312" w:hAnsi="仿宋_GB2312" w:eastAsia="仿宋_GB2312" w:cs="仿宋_GB2312"/>
          <w:b w:val="0"/>
          <w:bCs w:val="0"/>
          <w:color w:val="auto"/>
          <w:sz w:val="32"/>
          <w:szCs w:val="32"/>
          <w:highlight w:val="none"/>
          <w:lang w:val="en-US" w:eastAsia="zh-CN"/>
        </w:rPr>
        <w:t>务</w:t>
      </w:r>
      <w:r>
        <w:rPr>
          <w:rFonts w:hint="default" w:ascii="仿宋" w:hAnsi="仿宋" w:eastAsia="仿宋" w:cs="仿宋"/>
          <w:color w:val="auto"/>
          <w:sz w:val="32"/>
          <w:szCs w:val="32"/>
          <w:highlight w:val="none"/>
          <w:lang w:val="en-US" w:eastAsia="zh-CN"/>
        </w:rPr>
        <w:t>。按照“先中心村带动、三沿五区跟进、鼓励联片建设、逐步全域覆盖”的路径，实现公益性安葬设施乡镇中心村全覆盖，构建全民公益安葬保障网</w:t>
      </w:r>
      <w:r>
        <w:rPr>
          <w:rFonts w:hint="eastAsia" w:ascii="仿宋" w:hAnsi="仿宋" w:eastAsia="仿宋" w:cs="仿宋"/>
          <w:color w:val="auto"/>
          <w:sz w:val="32"/>
          <w:szCs w:val="32"/>
          <w:highlight w:val="none"/>
          <w:lang w:val="en-US" w:eastAsia="zh-CN"/>
        </w:rPr>
        <w:t>。</w:t>
      </w:r>
    </w:p>
    <w:p w14:paraId="2B340F77">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推动绿色与智慧发展。</w:t>
      </w:r>
      <w:r>
        <w:rPr>
          <w:rFonts w:hint="default" w:ascii="仿宋" w:hAnsi="仿宋" w:eastAsia="仿宋" w:cs="仿宋"/>
          <w:color w:val="auto"/>
          <w:sz w:val="32"/>
          <w:szCs w:val="32"/>
          <w:highlight w:val="none"/>
          <w:lang w:val="en-US" w:eastAsia="zh-CN"/>
        </w:rPr>
        <w:t>深化绿色殡葬改革，大力推广节地生态安葬。增强数字化服务能力，加快发展“互联网+殡葬服务”，推动“智慧殡葬”系统全面接入城市数字化平台，切实提升行业管理效能与便民服务水平</w:t>
      </w:r>
      <w:r>
        <w:rPr>
          <w:rFonts w:hint="eastAsia" w:ascii="仿宋" w:hAnsi="仿宋" w:eastAsia="仿宋" w:cs="仿宋"/>
          <w:color w:val="auto"/>
          <w:sz w:val="32"/>
          <w:szCs w:val="32"/>
          <w:highlight w:val="none"/>
          <w:lang w:val="en-US" w:eastAsia="zh-CN"/>
        </w:rPr>
        <w:t>。</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60"/>
      </w:tblGrid>
      <w:tr w14:paraId="0DF46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jc w:val="center"/>
        </w:trPr>
        <w:tc>
          <w:tcPr>
            <w:tcW w:w="0" w:type="auto"/>
            <w:tcBorders>
              <w:bottom w:val="single" w:color="000000" w:sz="8" w:space="0"/>
            </w:tcBorders>
            <w:shd w:val="clear" w:color="auto" w:fill="FFFFFF" w:themeFill="background1"/>
            <w:tcMar>
              <w:top w:w="72" w:type="dxa"/>
              <w:left w:w="144" w:type="dxa"/>
              <w:bottom w:w="72" w:type="dxa"/>
              <w:right w:w="144" w:type="dxa"/>
            </w:tcMar>
            <w:vAlign w:val="top"/>
          </w:tcPr>
          <w:p w14:paraId="3EFAF3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0"/>
                <w:sz w:val="24"/>
                <w:szCs w:val="24"/>
                <w:highlight w:val="none"/>
                <w14:ligatures w14:val="none"/>
              </w:rPr>
            </w:pPr>
            <w:r>
              <w:rPr>
                <w:rFonts w:hint="eastAsia" w:ascii="黑体" w:hAnsi="黑体" w:eastAsia="黑体" w:cs="黑体"/>
                <w:b w:val="0"/>
                <w:bCs w:val="0"/>
                <w:color w:val="auto"/>
                <w:kern w:val="24"/>
                <w:sz w:val="28"/>
                <w:szCs w:val="28"/>
                <w:highlight w:val="none"/>
                <w14:ligatures w14:val="none"/>
              </w:rPr>
              <w:t>专栏</w:t>
            </w:r>
            <w:r>
              <w:rPr>
                <w:rFonts w:hint="eastAsia" w:ascii="黑体" w:hAnsi="黑体" w:eastAsia="黑体" w:cs="黑体"/>
                <w:b w:val="0"/>
                <w:bCs w:val="0"/>
                <w:color w:val="auto"/>
                <w:kern w:val="24"/>
                <w:sz w:val="28"/>
                <w:szCs w:val="28"/>
                <w:highlight w:val="none"/>
                <w:lang w:val="en-US" w:eastAsia="zh-CN"/>
                <w14:ligatures w14:val="none"/>
              </w:rPr>
              <w:t>五  殡葬服务设施</w:t>
            </w:r>
            <w:r>
              <w:rPr>
                <w:rFonts w:hint="eastAsia" w:ascii="黑体" w:hAnsi="黑体" w:eastAsia="黑体" w:cs="黑体"/>
                <w:b w:val="0"/>
                <w:bCs w:val="0"/>
                <w:color w:val="auto"/>
                <w:kern w:val="24"/>
                <w:sz w:val="28"/>
                <w:szCs w:val="28"/>
                <w:highlight w:val="none"/>
                <w14:ligatures w14:val="none"/>
              </w:rPr>
              <w:t>建设项目</w:t>
            </w:r>
          </w:p>
        </w:tc>
      </w:tr>
      <w:tr w14:paraId="6864E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2" w:hRule="atLeast"/>
          <w:jc w:val="center"/>
        </w:trPr>
        <w:tc>
          <w:tcPr>
            <w:tcW w:w="0" w:type="auto"/>
            <w:shd w:val="clear" w:color="auto" w:fill="FFFFFF" w:themeFill="background1"/>
            <w:tcMar>
              <w:top w:w="72" w:type="dxa"/>
              <w:left w:w="144" w:type="dxa"/>
              <w:bottom w:w="72" w:type="dxa"/>
              <w:right w:w="144" w:type="dxa"/>
            </w:tcMar>
          </w:tcPr>
          <w:p w14:paraId="1FBD8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1.潜江市广华寺殡仪服务中心新建项目</w:t>
            </w:r>
          </w:p>
          <w:p w14:paraId="29D6A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预计</w:t>
            </w:r>
            <w:r>
              <w:rPr>
                <w:rFonts w:hint="eastAsia" w:ascii="宋体" w:hAnsi="宋体" w:eastAsia="宋体" w:cs="宋体"/>
                <w:i w:val="0"/>
                <w:iCs w:val="0"/>
                <w:caps w:val="0"/>
                <w:color w:val="auto"/>
                <w:spacing w:val="0"/>
                <w:sz w:val="24"/>
                <w:szCs w:val="24"/>
                <w:highlight w:val="none"/>
                <w:shd w:val="clear" w:fill="FFFFFF"/>
              </w:rPr>
              <w:t>总投资</w:t>
            </w:r>
            <w:r>
              <w:rPr>
                <w:rFonts w:hint="eastAsia" w:ascii="宋体" w:hAnsi="宋体" w:eastAsia="宋体" w:cs="宋体"/>
                <w:i w:val="0"/>
                <w:iCs w:val="0"/>
                <w:caps w:val="0"/>
                <w:color w:val="auto"/>
                <w:spacing w:val="0"/>
                <w:sz w:val="24"/>
                <w:szCs w:val="24"/>
                <w:highlight w:val="none"/>
                <w:shd w:val="clear" w:fill="FFFFFF"/>
                <w:lang w:val="en-US" w:eastAsia="zh-CN"/>
              </w:rPr>
              <w:t>1亿</w:t>
            </w:r>
            <w:r>
              <w:rPr>
                <w:rFonts w:hint="eastAsia" w:ascii="宋体" w:hAnsi="宋体" w:eastAsia="宋体" w:cs="宋体"/>
                <w:i w:val="0"/>
                <w:iCs w:val="0"/>
                <w:caps w:val="0"/>
                <w:color w:val="auto"/>
                <w:spacing w:val="0"/>
                <w:sz w:val="24"/>
                <w:szCs w:val="24"/>
                <w:highlight w:val="none"/>
                <w:shd w:val="clear" w:fill="FFFFFF"/>
              </w:rPr>
              <w:t>元，其中</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中央预算内投资</w:t>
            </w:r>
            <w:r>
              <w:rPr>
                <w:rFonts w:hint="eastAsia" w:ascii="宋体" w:hAnsi="宋体" w:eastAsia="宋体" w:cs="宋体"/>
                <w:i w:val="0"/>
                <w:iCs w:val="0"/>
                <w:caps w:val="0"/>
                <w:color w:val="auto"/>
                <w:spacing w:val="0"/>
                <w:sz w:val="24"/>
                <w:szCs w:val="24"/>
                <w:highlight w:val="none"/>
                <w:shd w:val="clear" w:fill="FFFFFF"/>
                <w:lang w:val="en-US" w:eastAsia="zh-CN"/>
              </w:rPr>
              <w:t>3500</w:t>
            </w:r>
            <w:r>
              <w:rPr>
                <w:rFonts w:hint="eastAsia" w:ascii="宋体" w:hAnsi="宋体" w:eastAsia="宋体" w:cs="宋体"/>
                <w:i w:val="0"/>
                <w:iCs w:val="0"/>
                <w:caps w:val="0"/>
                <w:color w:val="auto"/>
                <w:spacing w:val="0"/>
                <w:sz w:val="24"/>
                <w:szCs w:val="24"/>
                <w:highlight w:val="none"/>
                <w:shd w:val="clear" w:fill="FFFFFF"/>
              </w:rPr>
              <w:t>万元。本项目</w:t>
            </w:r>
            <w:r>
              <w:rPr>
                <w:rFonts w:hint="eastAsia" w:ascii="宋体" w:hAnsi="宋体" w:eastAsia="宋体" w:cs="宋体"/>
                <w:i w:val="0"/>
                <w:iCs w:val="0"/>
                <w:caps w:val="0"/>
                <w:color w:val="auto"/>
                <w:spacing w:val="0"/>
                <w:sz w:val="24"/>
                <w:szCs w:val="24"/>
                <w:highlight w:val="none"/>
                <w:shd w:val="clear" w:fill="FFFFFF"/>
                <w:lang w:val="en-US" w:eastAsia="zh-CN"/>
              </w:rPr>
              <w:t>占地面积</w:t>
            </w:r>
            <w:r>
              <w:rPr>
                <w:rFonts w:hint="eastAsia" w:ascii="宋体" w:hAnsi="宋体" w:eastAsia="宋体" w:cs="宋体"/>
                <w:i w:val="0"/>
                <w:iCs w:val="0"/>
                <w:caps w:val="0"/>
                <w:color w:val="auto"/>
                <w:spacing w:val="0"/>
                <w:sz w:val="24"/>
                <w:szCs w:val="24"/>
                <w:highlight w:val="none"/>
                <w:shd w:val="clear" w:fill="FFFFFF"/>
              </w:rPr>
              <w:t>50亩，新建建筑面积</w:t>
            </w:r>
            <w:r>
              <w:rPr>
                <w:rFonts w:hint="eastAsia" w:ascii="宋体" w:hAnsi="宋体" w:eastAsia="宋体" w:cs="宋体"/>
                <w:i w:val="0"/>
                <w:iCs w:val="0"/>
                <w:caps w:val="0"/>
                <w:color w:val="auto"/>
                <w:spacing w:val="0"/>
                <w:sz w:val="24"/>
                <w:szCs w:val="24"/>
                <w:highlight w:val="none"/>
                <w:shd w:val="clear" w:fill="FFFFFF"/>
                <w:lang w:val="en-US" w:eastAsia="zh-CN"/>
              </w:rPr>
              <w:t>14040</w:t>
            </w:r>
            <w:r>
              <w:rPr>
                <w:rFonts w:hint="eastAsia" w:ascii="宋体" w:hAnsi="宋体" w:eastAsia="宋体" w:cs="宋体"/>
                <w:i w:val="0"/>
                <w:iCs w:val="0"/>
                <w:caps w:val="0"/>
                <w:color w:val="auto"/>
                <w:spacing w:val="0"/>
                <w:sz w:val="24"/>
                <w:szCs w:val="24"/>
                <w:highlight w:val="none"/>
                <w:shd w:val="clear" w:fill="FFFFFF"/>
              </w:rPr>
              <w:t>平方米，</w:t>
            </w:r>
            <w:r>
              <w:rPr>
                <w:rFonts w:hint="eastAsia" w:ascii="宋体" w:hAnsi="宋体" w:eastAsia="宋体" w:cs="宋体"/>
                <w:i w:val="0"/>
                <w:iCs w:val="0"/>
                <w:caps w:val="0"/>
                <w:color w:val="auto"/>
                <w:spacing w:val="0"/>
                <w:sz w:val="24"/>
                <w:szCs w:val="24"/>
                <w:highlight w:val="none"/>
                <w:shd w:val="clear" w:fill="FFFFFF"/>
                <w:lang w:val="en-US" w:eastAsia="zh-CN"/>
              </w:rPr>
              <w:t>主要建设内容：综合服务用房、火化区、骨灰寄存区、遗体处理区、悼念区(停灵大厅)、焚烧池、垃圾站、配电房、门房、公共卫生间、多功能用房等以及相关配套基础设施。预期</w:t>
            </w:r>
            <w:r>
              <w:rPr>
                <w:rFonts w:hint="eastAsia" w:ascii="宋体" w:hAnsi="宋体" w:eastAsia="宋体" w:cs="宋体"/>
                <w:i w:val="0"/>
                <w:iCs w:val="0"/>
                <w:caps w:val="0"/>
                <w:color w:val="auto"/>
                <w:spacing w:val="0"/>
                <w:sz w:val="24"/>
                <w:szCs w:val="24"/>
                <w:highlight w:val="none"/>
                <w:shd w:val="clear" w:fill="FFFFFF"/>
              </w:rPr>
              <w:t>形成集停灵、火化、骨灰寄存及指挥调度等功能于一体的一站式殡葬服务</w:t>
            </w:r>
            <w:r>
              <w:rPr>
                <w:rFonts w:hint="eastAsia" w:ascii="宋体" w:hAnsi="宋体" w:eastAsia="宋体" w:cs="宋体"/>
                <w:i w:val="0"/>
                <w:iCs w:val="0"/>
                <w:caps w:val="0"/>
                <w:color w:val="auto"/>
                <w:spacing w:val="0"/>
                <w:sz w:val="24"/>
                <w:szCs w:val="24"/>
                <w:highlight w:val="none"/>
                <w:shd w:val="clear" w:fill="FFFFFF"/>
                <w:lang w:val="en-US" w:eastAsia="zh-CN"/>
              </w:rPr>
              <w:t>场所</w:t>
            </w:r>
            <w:r>
              <w:rPr>
                <w:rFonts w:hint="eastAsia" w:ascii="宋体" w:hAnsi="宋体" w:eastAsia="宋体" w:cs="宋体"/>
                <w:i w:val="0"/>
                <w:iCs w:val="0"/>
                <w:caps w:val="0"/>
                <w:color w:val="auto"/>
                <w:spacing w:val="0"/>
                <w:sz w:val="24"/>
                <w:szCs w:val="24"/>
                <w:highlight w:val="none"/>
                <w:shd w:val="clear" w:fill="FFFFFF"/>
              </w:rPr>
              <w:t>，以提升服务集约化水平，满足群众治丧需求。</w:t>
            </w:r>
          </w:p>
        </w:tc>
      </w:tr>
      <w:tr w14:paraId="62F9C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8" w:hRule="atLeast"/>
          <w:jc w:val="center"/>
        </w:trPr>
        <w:tc>
          <w:tcPr>
            <w:tcW w:w="0" w:type="auto"/>
            <w:shd w:val="clear" w:color="auto" w:fill="FFFFFF" w:themeFill="background1"/>
            <w:tcMar>
              <w:top w:w="72" w:type="dxa"/>
              <w:left w:w="144" w:type="dxa"/>
              <w:bottom w:w="72" w:type="dxa"/>
              <w:right w:w="144" w:type="dxa"/>
            </w:tcMar>
          </w:tcPr>
          <w:p w14:paraId="7CB32CC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2.潜江市农村公益性公墓建设以奖代补项目</w:t>
            </w:r>
          </w:p>
          <w:p w14:paraId="02E26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计划总投资1</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000万元</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新建公益性安葬设施</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拟新增建设用地1502亩，规划总建筑面积约100万平方米。主要建设内容</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新建覆盖目标行政村的公益性安葬设施（如公墓、骨灰堂等）及相关配套设施</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旨在“十五五”期间实现辖区内</w:t>
            </w:r>
            <w:r>
              <w:rPr>
                <w:rFonts w:hint="eastAsia" w:ascii="宋体" w:hAnsi="宋体" w:eastAsia="宋体" w:cs="宋体"/>
                <w:i w:val="0"/>
                <w:iCs w:val="0"/>
                <w:caps w:val="0"/>
                <w:color w:val="auto"/>
                <w:spacing w:val="0"/>
                <w:sz w:val="24"/>
                <w:szCs w:val="24"/>
                <w:highlight w:val="none"/>
                <w:shd w:val="clear" w:fill="FFFFFF"/>
                <w:lang w:val="en-US" w:eastAsia="zh-CN"/>
              </w:rPr>
              <w:t>329</w:t>
            </w:r>
            <w:r>
              <w:rPr>
                <w:rFonts w:hint="eastAsia" w:ascii="宋体" w:hAnsi="宋体" w:eastAsia="宋体" w:cs="宋体"/>
                <w:i w:val="0"/>
                <w:iCs w:val="0"/>
                <w:caps w:val="0"/>
                <w:color w:val="auto"/>
                <w:spacing w:val="0"/>
                <w:sz w:val="24"/>
                <w:szCs w:val="24"/>
                <w:highlight w:val="none"/>
                <w:shd w:val="clear" w:fill="FFFFFF"/>
              </w:rPr>
              <w:t>个行政村公益性安葬设施全覆盖，并完成20余万座散葬旧坟的搬迁工作，系统改善农村殡葬环境。</w:t>
            </w:r>
          </w:p>
        </w:tc>
      </w:tr>
      <w:tr w14:paraId="795DD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5" w:hRule="atLeast"/>
          <w:jc w:val="center"/>
        </w:trPr>
        <w:tc>
          <w:tcPr>
            <w:tcW w:w="0" w:type="auto"/>
            <w:shd w:val="clear" w:color="auto" w:fill="FFFFFF" w:themeFill="background1"/>
            <w:tcMar>
              <w:top w:w="72" w:type="dxa"/>
              <w:left w:w="144" w:type="dxa"/>
              <w:bottom w:w="72" w:type="dxa"/>
              <w:right w:w="144" w:type="dxa"/>
            </w:tcMar>
          </w:tcPr>
          <w:p w14:paraId="68D2C09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3.潜江市紫云公墓节地生态安葬建设项目</w:t>
            </w:r>
          </w:p>
          <w:p w14:paraId="7B0ED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eastAsia="zh-CN"/>
              </w:rPr>
              <w:t>计划投资500万元，拟新增10亩用地，</w:t>
            </w:r>
            <w:r>
              <w:rPr>
                <w:rFonts w:hint="eastAsia" w:ascii="宋体" w:hAnsi="宋体" w:eastAsia="宋体" w:cs="宋体"/>
                <w:i w:val="0"/>
                <w:iCs w:val="0"/>
                <w:caps w:val="0"/>
                <w:color w:val="auto"/>
                <w:spacing w:val="0"/>
                <w:sz w:val="24"/>
                <w:szCs w:val="24"/>
                <w:highlight w:val="none"/>
                <w:shd w:val="clear" w:fill="FFFFFF"/>
                <w:lang w:val="en-US" w:eastAsia="zh-CN"/>
              </w:rPr>
              <w:t>开展潜江市紫云公墓</w:t>
            </w:r>
            <w:r>
              <w:rPr>
                <w:rFonts w:hint="eastAsia" w:ascii="宋体" w:hAnsi="宋体" w:eastAsia="宋体" w:cs="宋体"/>
                <w:i w:val="0"/>
                <w:iCs w:val="0"/>
                <w:caps w:val="0"/>
                <w:color w:val="auto"/>
                <w:spacing w:val="0"/>
                <w:sz w:val="24"/>
                <w:szCs w:val="24"/>
                <w:highlight w:val="none"/>
                <w:shd w:val="clear" w:fill="FFFFFF"/>
              </w:rPr>
              <w:t>扩建工程</w:t>
            </w:r>
            <w:r>
              <w:rPr>
                <w:rFonts w:hint="eastAsia" w:ascii="宋体" w:hAnsi="宋体" w:eastAsia="宋体" w:cs="宋体"/>
                <w:i w:val="0"/>
                <w:iCs w:val="0"/>
                <w:caps w:val="0"/>
                <w:color w:val="auto"/>
                <w:spacing w:val="0"/>
                <w:sz w:val="24"/>
                <w:szCs w:val="24"/>
                <w:highlight w:val="none"/>
                <w:shd w:val="clear" w:fill="FFFFFF"/>
                <w:lang w:eastAsia="zh-CN"/>
              </w:rPr>
              <w:t>，以缓解</w:t>
            </w:r>
            <w:r>
              <w:rPr>
                <w:rFonts w:hint="eastAsia" w:ascii="宋体" w:hAnsi="宋体" w:eastAsia="宋体" w:cs="宋体"/>
                <w:i w:val="0"/>
                <w:iCs w:val="0"/>
                <w:caps w:val="0"/>
                <w:color w:val="auto"/>
                <w:spacing w:val="0"/>
                <w:sz w:val="24"/>
                <w:szCs w:val="24"/>
                <w:highlight w:val="none"/>
                <w:shd w:val="clear" w:fill="FFFFFF"/>
                <w:lang w:val="en-US" w:eastAsia="zh-CN"/>
              </w:rPr>
              <w:t>节地生态</w:t>
            </w:r>
            <w:r>
              <w:rPr>
                <w:rFonts w:hint="eastAsia" w:ascii="宋体" w:hAnsi="宋体" w:eastAsia="宋体" w:cs="宋体"/>
                <w:i w:val="0"/>
                <w:iCs w:val="0"/>
                <w:caps w:val="0"/>
                <w:color w:val="auto"/>
                <w:spacing w:val="0"/>
                <w:sz w:val="24"/>
                <w:szCs w:val="24"/>
                <w:highlight w:val="none"/>
                <w:shd w:val="clear" w:fill="FFFFFF"/>
                <w:lang w:eastAsia="zh-CN"/>
              </w:rPr>
              <w:t>墓位紧张。项目将建设生态安葬区，大力推广壁葬、树葬、</w:t>
            </w:r>
            <w:r>
              <w:rPr>
                <w:rFonts w:hint="eastAsia" w:ascii="宋体" w:hAnsi="宋体" w:eastAsia="宋体" w:cs="宋体"/>
                <w:i w:val="0"/>
                <w:iCs w:val="0"/>
                <w:caps w:val="0"/>
                <w:color w:val="auto"/>
                <w:spacing w:val="0"/>
                <w:sz w:val="24"/>
                <w:szCs w:val="24"/>
                <w:highlight w:val="none"/>
                <w:shd w:val="clear" w:fill="FFFFFF"/>
                <w:lang w:val="en-US" w:eastAsia="zh-CN"/>
              </w:rPr>
              <w:t>草坪葬</w:t>
            </w:r>
            <w:r>
              <w:rPr>
                <w:rFonts w:hint="eastAsia" w:ascii="宋体" w:hAnsi="宋体" w:eastAsia="宋体" w:cs="宋体"/>
                <w:i w:val="0"/>
                <w:iCs w:val="0"/>
                <w:caps w:val="0"/>
                <w:color w:val="auto"/>
                <w:spacing w:val="0"/>
                <w:sz w:val="24"/>
                <w:szCs w:val="24"/>
                <w:highlight w:val="none"/>
                <w:shd w:val="clear" w:fill="FFFFFF"/>
                <w:lang w:eastAsia="zh-CN"/>
              </w:rPr>
              <w:t>等节地葬法。打造</w:t>
            </w:r>
            <w:r>
              <w:rPr>
                <w:rFonts w:hint="eastAsia" w:ascii="宋体" w:hAnsi="宋体" w:eastAsia="宋体" w:cs="宋体"/>
                <w:i w:val="0"/>
                <w:iCs w:val="0"/>
                <w:caps w:val="0"/>
                <w:color w:val="auto"/>
                <w:spacing w:val="0"/>
                <w:sz w:val="24"/>
                <w:szCs w:val="24"/>
                <w:highlight w:val="none"/>
                <w:shd w:val="clear" w:fill="FFFFFF"/>
                <w:lang w:val="en-US" w:eastAsia="zh-CN"/>
              </w:rPr>
              <w:t>20</w:t>
            </w:r>
            <w:r>
              <w:rPr>
                <w:rFonts w:hint="eastAsia" w:ascii="宋体" w:hAnsi="宋体" w:eastAsia="宋体" w:cs="宋体"/>
                <w:i w:val="0"/>
                <w:iCs w:val="0"/>
                <w:caps w:val="0"/>
                <w:color w:val="auto"/>
                <w:spacing w:val="0"/>
                <w:sz w:val="24"/>
                <w:szCs w:val="24"/>
                <w:highlight w:val="none"/>
                <w:shd w:val="clear" w:fill="FFFFFF"/>
                <w:lang w:eastAsia="zh-CN"/>
              </w:rPr>
              <w:t>00个</w:t>
            </w:r>
            <w:r>
              <w:rPr>
                <w:rFonts w:hint="eastAsia" w:ascii="宋体" w:hAnsi="宋体" w:eastAsia="宋体" w:cs="宋体"/>
                <w:i w:val="0"/>
                <w:iCs w:val="0"/>
                <w:caps w:val="0"/>
                <w:color w:val="auto"/>
                <w:spacing w:val="0"/>
                <w:sz w:val="24"/>
                <w:szCs w:val="24"/>
                <w:highlight w:val="none"/>
                <w:shd w:val="clear" w:fill="FFFFFF"/>
                <w:lang w:val="en-US" w:eastAsia="zh-CN"/>
              </w:rPr>
              <w:t>生态</w:t>
            </w:r>
            <w:r>
              <w:rPr>
                <w:rFonts w:hint="eastAsia" w:ascii="宋体" w:hAnsi="宋体" w:eastAsia="宋体" w:cs="宋体"/>
                <w:i w:val="0"/>
                <w:iCs w:val="0"/>
                <w:caps w:val="0"/>
                <w:color w:val="auto"/>
                <w:spacing w:val="0"/>
                <w:sz w:val="24"/>
                <w:szCs w:val="24"/>
                <w:highlight w:val="none"/>
                <w:shd w:val="clear" w:fill="FFFFFF"/>
                <w:lang w:eastAsia="zh-CN"/>
              </w:rPr>
              <w:t>、艺术性的墓穴（</w:t>
            </w:r>
            <w:r>
              <w:rPr>
                <w:rFonts w:hint="eastAsia" w:ascii="宋体" w:hAnsi="宋体" w:eastAsia="宋体" w:cs="宋体"/>
                <w:i w:val="0"/>
                <w:iCs w:val="0"/>
                <w:caps w:val="0"/>
                <w:color w:val="auto"/>
                <w:spacing w:val="0"/>
                <w:sz w:val="24"/>
                <w:szCs w:val="24"/>
                <w:highlight w:val="none"/>
                <w:shd w:val="clear" w:fill="FFFFFF"/>
                <w:lang w:val="en-US" w:eastAsia="zh-CN"/>
              </w:rPr>
              <w:t>卧碑、立碑</w:t>
            </w:r>
            <w:r>
              <w:rPr>
                <w:rFonts w:hint="eastAsia" w:ascii="宋体" w:hAnsi="宋体" w:eastAsia="宋体" w:cs="宋体"/>
                <w:i w:val="0"/>
                <w:iCs w:val="0"/>
                <w:caps w:val="0"/>
                <w:color w:val="auto"/>
                <w:spacing w:val="0"/>
                <w:sz w:val="24"/>
                <w:szCs w:val="24"/>
                <w:highlight w:val="none"/>
                <w:shd w:val="clear" w:fill="FFFFFF"/>
                <w:lang w:eastAsia="zh-CN"/>
              </w:rPr>
              <w:t>）。同时，逐步推进经营性公墓向公益性转型，优化资源配置，践行绿色殡葬理念，推动公墓实现可持续、高质量发展。</w:t>
            </w:r>
          </w:p>
        </w:tc>
      </w:tr>
      <w:tr w14:paraId="37B4A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5" w:hRule="atLeast"/>
          <w:jc w:val="center"/>
        </w:trPr>
        <w:tc>
          <w:tcPr>
            <w:tcW w:w="0" w:type="auto"/>
            <w:shd w:val="clear" w:color="auto" w:fill="FFFFFF" w:themeFill="background1"/>
            <w:tcMar>
              <w:top w:w="72" w:type="dxa"/>
              <w:left w:w="144" w:type="dxa"/>
              <w:bottom w:w="72" w:type="dxa"/>
              <w:right w:w="144" w:type="dxa"/>
            </w:tcMar>
          </w:tcPr>
          <w:p w14:paraId="4934A58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4.潜江市殡仪馆设施设备升级改造项目</w:t>
            </w:r>
          </w:p>
          <w:p w14:paraId="412559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计划总投资2000万元，对潜江市殡仪馆设施设备进行系统性升级改造。更新火化炉、尾气处理设备及新风系统，确保排放达标、改善空气质量；购置冷藏棺、瞻仰棺及殡仪专用车辆，提升遗体接运与存放保障能力；优化悼念厅空调、电子显示屏等设施，改善治丧环境与服务体验；更新办公设备，提高管理效率与信息化水平。项目完成后，将进一步完善硬件设施，满足群众基本殡葬需求，落实环保要求，推动殡葬服务向规范化、现代化、绿色化发展。</w:t>
            </w:r>
          </w:p>
        </w:tc>
      </w:tr>
    </w:tbl>
    <w:p w14:paraId="21A2A665">
      <w:pPr>
        <w:ind w:firstLine="640" w:firstLineChars="200"/>
        <w:outlineLvl w:val="2"/>
        <w:rPr>
          <w:rFonts w:ascii="华文中宋" w:hAnsi="华文中宋" w:eastAsia="华文中宋" w:cs="华文中宋"/>
          <w:b w:val="0"/>
          <w:bCs w:val="0"/>
          <w:color w:val="auto"/>
          <w:sz w:val="32"/>
          <w:szCs w:val="32"/>
          <w:highlight w:val="none"/>
        </w:rPr>
      </w:pPr>
      <w:bookmarkStart w:id="69" w:name="_Toc31453"/>
      <w:r>
        <w:rPr>
          <w:rFonts w:hint="eastAsia" w:ascii="华文中宋" w:hAnsi="华文中宋" w:eastAsia="华文中宋" w:cs="华文中宋"/>
          <w:b w:val="0"/>
          <w:bCs w:val="0"/>
          <w:color w:val="auto"/>
          <w:sz w:val="32"/>
          <w:szCs w:val="32"/>
          <w:highlight w:val="none"/>
        </w:rPr>
        <w:t>（</w:t>
      </w:r>
      <w:r>
        <w:rPr>
          <w:rFonts w:hint="eastAsia" w:ascii="华文中宋" w:hAnsi="华文中宋" w:eastAsia="华文中宋" w:cs="华文中宋"/>
          <w:b w:val="0"/>
          <w:bCs w:val="0"/>
          <w:color w:val="auto"/>
          <w:sz w:val="32"/>
          <w:szCs w:val="32"/>
          <w:highlight w:val="none"/>
          <w:lang w:val="en-US" w:eastAsia="zh-CN"/>
        </w:rPr>
        <w:t>二</w:t>
      </w:r>
      <w:r>
        <w:rPr>
          <w:rFonts w:hint="eastAsia" w:ascii="华文中宋" w:hAnsi="华文中宋" w:eastAsia="华文中宋" w:cs="华文中宋"/>
          <w:b w:val="0"/>
          <w:bCs w:val="0"/>
          <w:color w:val="auto"/>
          <w:sz w:val="32"/>
          <w:szCs w:val="32"/>
          <w:highlight w:val="none"/>
        </w:rPr>
        <w:t>）加强婚姻管理服务</w:t>
      </w:r>
      <w:bookmarkEnd w:id="68"/>
      <w:bookmarkEnd w:id="69"/>
    </w:p>
    <w:p w14:paraId="18E226E2">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推进婚姻登记服务规范化与智能化。</w:t>
      </w:r>
      <w:r>
        <w:rPr>
          <w:rFonts w:hint="eastAsia" w:ascii="华文仿宋" w:hAnsi="华文仿宋" w:eastAsia="华文仿宋" w:cs="华文仿宋"/>
          <w:color w:val="auto"/>
          <w:sz w:val="32"/>
          <w:szCs w:val="32"/>
          <w:highlight w:val="none"/>
          <w:lang w:val="en-US" w:eastAsia="zh-CN"/>
        </w:rPr>
        <w:t>加强婚姻登记机关规范化、标准化建设，优化“互联网+婚姻服务”。持续推进婚姻登记信息化，推动实现婚姻登记数字化、智能化。巩固优化婚姻登记“全国通办”，提升服务便捷性。</w:t>
      </w:r>
    </w:p>
    <w:p w14:paraId="6464C975">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健全婚姻家庭辅导服务体系。</w:t>
      </w:r>
      <w:r>
        <w:rPr>
          <w:rFonts w:hint="eastAsia" w:ascii="华文仿宋" w:hAnsi="华文仿宋" w:eastAsia="华文仿宋" w:cs="华文仿宋"/>
          <w:color w:val="auto"/>
          <w:sz w:val="32"/>
          <w:szCs w:val="32"/>
          <w:highlight w:val="none"/>
          <w:lang w:val="en-US" w:eastAsia="zh-CN"/>
        </w:rPr>
        <w:t>拓展婚姻家庭辅导服务内涵与模式，扩大婚姻登记机关内设辅导室的覆盖面。引入专业社工、心理咨询师及政府购买服务，搭建多层次、广覆盖、便捷化的服务平台，为公众提供包括婚前指导、关系调适、心理疏导、纠纷化解及离婚冷静期内咨询在内的全方位专业服务。加强与专业调解组织、心理咨询机构的合作，建立有效转介机制，探索婚姻家庭辅导专业队伍的培育工作，弘扬优良家风，促进家庭和睦与社会和谐。</w:t>
      </w:r>
    </w:p>
    <w:p w14:paraId="31ABED12">
      <w:pPr>
        <w:keepNext w:val="0"/>
        <w:keepLines w:val="0"/>
        <w:pageBreakBefore w:val="0"/>
        <w:widowControl w:val="0"/>
        <w:kinsoku/>
        <w:wordWrap/>
        <w:overflowPunct/>
        <w:topLinePunct w:val="0"/>
        <w:autoSpaceDE/>
        <w:autoSpaceDN/>
        <w:bidi w:val="0"/>
        <w:adjustRightInd/>
        <w:snapToGrid/>
        <w:spacing w:after="157" w:afterLines="50" w:line="360" w:lineRule="auto"/>
        <w:ind w:firstLine="643"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楷体" w:hAnsi="华文楷体" w:eastAsia="华文楷体" w:cs="华文楷体"/>
          <w:b/>
          <w:bCs/>
          <w:color w:val="auto"/>
          <w:kern w:val="2"/>
          <w:sz w:val="32"/>
          <w:szCs w:val="32"/>
          <w:highlight w:val="none"/>
          <w:lang w:val="en-US" w:eastAsia="zh-CN" w:bidi="ar-SA"/>
        </w:rPr>
        <w:t>深化婚俗改革。</w:t>
      </w:r>
      <w:r>
        <w:rPr>
          <w:rFonts w:hint="eastAsia" w:ascii="华文仿宋" w:hAnsi="华文仿宋" w:eastAsia="华文仿宋" w:cs="华文仿宋"/>
          <w:color w:val="auto"/>
          <w:sz w:val="32"/>
          <w:szCs w:val="32"/>
          <w:highlight w:val="none"/>
          <w:lang w:val="en-US" w:eastAsia="zh-CN"/>
        </w:rPr>
        <w:t>积极开展婚俗改革，通过开展爱家辅导、倡导移风易俗等活动，营造积极健康的婚姻家庭文化。争取上级支持，加强婚俗文化阵地建设。</w:t>
      </w:r>
    </w:p>
    <w:p w14:paraId="56D5A28E">
      <w:pPr>
        <w:keepNext/>
        <w:keepLines/>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outlineLvl w:val="2"/>
        <w:rPr>
          <w:rFonts w:hint="default" w:ascii="华文中宋" w:hAnsi="华文中宋" w:eastAsia="华文中宋" w:cs="华文中宋"/>
          <w:color w:val="auto"/>
          <w:sz w:val="32"/>
          <w:szCs w:val="32"/>
          <w:highlight w:val="none"/>
          <w:lang w:val="en-US" w:eastAsia="zh-CN"/>
        </w:rPr>
      </w:pPr>
      <w:bookmarkStart w:id="70" w:name="_Toc25645"/>
      <w:r>
        <w:rPr>
          <w:rFonts w:hint="eastAsia" w:ascii="华文中宋" w:hAnsi="华文中宋" w:eastAsia="华文中宋" w:cs="华文中宋"/>
          <w:color w:val="auto"/>
          <w:sz w:val="32"/>
          <w:szCs w:val="32"/>
          <w:highlight w:val="none"/>
          <w:lang w:val="en-US" w:eastAsia="zh-CN"/>
        </w:rPr>
        <w:t>（三）推动救助管理服务转型升级</w:t>
      </w:r>
      <w:bookmarkEnd w:id="70"/>
    </w:p>
    <w:p w14:paraId="61F9CF3C">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提升救助管理工作效能。进一步加强同公安、城管、卫健、大数据等部门的协同联动，推动相关信息数据共享，完善突发情况多部门应急响应机制。依托市镇两级联席会议协调机制，定期会商研究，协调解决工作中存在的困难与问题。在保障基本生活、医疗及返乡救助的同时，根据受助对象的实际需求，拓展提供心理辅导、就业培训、法律援助等多元化服务。不断完善纵向到底、横向到边的工作网络，依托各区（镇、街道）党群服务中心、便民服务大厅等公共资源，持续推进临时救助点建设工作。积极争取上级支持，推动站内基础设施整体提档升级，为精神障碍康复站点提供场地支持。加强救助宣传，引导社会组织、专业社工、志愿者、爱心企业等力量参与救助服务，构建政府主导、社会协同、公众参与的多元救助生态。</w:t>
      </w:r>
    </w:p>
    <w:p w14:paraId="041C0163">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p>
    <w:p w14:paraId="6426FB31">
      <w:pPr>
        <w:keepNext w:val="0"/>
        <w:keepLines w:val="0"/>
        <w:pageBreakBefore w:val="0"/>
        <w:widowControl w:val="0"/>
        <w:kinsoku/>
        <w:wordWrap/>
        <w:overflowPunct w:val="0"/>
        <w:topLinePunct w:val="0"/>
        <w:autoSpaceDE/>
        <w:autoSpaceDN/>
        <w:bidi w:val="0"/>
        <w:adjustRightInd w:val="0"/>
        <w:snapToGrid w:val="0"/>
        <w:spacing w:before="156" w:beforeLines="50" w:after="157" w:afterLines="50" w:line="360" w:lineRule="auto"/>
        <w:ind w:firstLine="641"/>
        <w:textAlignment w:val="auto"/>
        <w:rPr>
          <w:rFonts w:hint="eastAsia" w:ascii="仿宋" w:hAnsi="仿宋" w:eastAsia="仿宋" w:cs="仿宋"/>
          <w:color w:val="auto"/>
          <w:sz w:val="32"/>
          <w:szCs w:val="32"/>
          <w:highlight w:val="none"/>
          <w:lang w:val="en-US" w:eastAsia="zh-CN"/>
        </w:rPr>
      </w:pPr>
    </w:p>
    <w:p w14:paraId="28500BEF">
      <w:pPr>
        <w:keepNext w:val="0"/>
        <w:keepLines w:val="0"/>
        <w:pageBreakBefore w:val="0"/>
        <w:widowControl w:val="0"/>
        <w:kinsoku/>
        <w:wordWrap/>
        <w:overflowPunct/>
        <w:topLinePunct w:val="0"/>
        <w:autoSpaceDE/>
        <w:autoSpaceDN/>
        <w:bidi w:val="0"/>
        <w:adjustRightInd/>
        <w:snapToGrid w:val="0"/>
        <w:spacing w:before="469" w:beforeLines="150" w:after="313" w:afterLines="100" w:line="360" w:lineRule="auto"/>
        <w:ind w:firstLine="320" w:firstLineChars="100"/>
        <w:jc w:val="center"/>
        <w:textAlignment w:val="auto"/>
        <w:outlineLvl w:val="0"/>
        <w:rPr>
          <w:rFonts w:hint="eastAsia" w:ascii="黑体" w:hAnsi="黑体" w:eastAsia="黑体"/>
          <w:color w:val="auto"/>
          <w:sz w:val="32"/>
          <w:szCs w:val="32"/>
          <w:highlight w:val="none"/>
          <w:lang w:eastAsia="zh-CN"/>
        </w:rPr>
      </w:pPr>
      <w:bookmarkStart w:id="71" w:name="_Toc13685"/>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章  保障措施</w:t>
      </w:r>
      <w:bookmarkEnd w:id="71"/>
    </w:p>
    <w:p w14:paraId="3FA647E5">
      <w:pPr>
        <w:snapToGrid w:val="0"/>
        <w:spacing w:before="156" w:beforeLines="50" w:line="360" w:lineRule="auto"/>
        <w:ind w:firstLine="640" w:firstLineChars="200"/>
        <w:outlineLvl w:val="1"/>
        <w:rPr>
          <w:rFonts w:ascii="黑体" w:hAnsi="黑体" w:eastAsia="黑体" w:cs="黑体"/>
          <w:color w:val="auto"/>
          <w:sz w:val="32"/>
          <w:szCs w:val="32"/>
          <w:highlight w:val="none"/>
        </w:rPr>
      </w:pPr>
      <w:bookmarkStart w:id="72" w:name="_Toc25073"/>
      <w:bookmarkStart w:id="73" w:name="_Toc5472"/>
      <w:bookmarkStart w:id="74" w:name="_Toc32551"/>
      <w:bookmarkStart w:id="75" w:name="_Toc14331"/>
      <w:bookmarkStart w:id="76" w:name="_Toc32751"/>
      <w:r>
        <w:rPr>
          <w:rFonts w:hint="eastAsia" w:ascii="黑体" w:hAnsi="黑体" w:eastAsia="黑体" w:cs="黑体"/>
          <w:color w:val="auto"/>
          <w:sz w:val="32"/>
          <w:szCs w:val="32"/>
          <w:highlight w:val="none"/>
        </w:rPr>
        <w:t>一、加强党建引领</w:t>
      </w:r>
      <w:bookmarkEnd w:id="72"/>
      <w:bookmarkEnd w:id="73"/>
      <w:bookmarkEnd w:id="74"/>
    </w:p>
    <w:bookmarkEnd w:id="75"/>
    <w:p w14:paraId="2608FE31">
      <w:pPr>
        <w:ind w:firstLine="640" w:firstLineChars="200"/>
        <w:rPr>
          <w:rFonts w:hint="eastAsia" w:ascii="仿宋" w:hAnsi="仿宋" w:eastAsia="仿宋" w:cs="仿宋"/>
          <w:sz w:val="32"/>
          <w:szCs w:val="32"/>
          <w:lang w:eastAsia="zh-CN"/>
        </w:rPr>
      </w:pPr>
      <w:bookmarkStart w:id="77" w:name="_Toc31204"/>
      <w:bookmarkStart w:id="78" w:name="_Toc1021"/>
      <w:bookmarkStart w:id="79" w:name="_Toc4853"/>
      <w:bookmarkStart w:id="80" w:name="_Toc16289"/>
      <w:r>
        <w:rPr>
          <w:rFonts w:hint="eastAsia" w:ascii="仿宋" w:hAnsi="仿宋" w:eastAsia="仿宋" w:cs="仿宋"/>
          <w:sz w:val="32"/>
          <w:szCs w:val="32"/>
          <w:lang w:val="en-US" w:eastAsia="zh-CN"/>
        </w:rPr>
        <w:t>坚持和加强党对民政局工作的全面领导，严格落实“第一议题”，学习传达习近平总书记重要讲话、重要指示批示精神，特别是习近平总书记关于民政工作的重要论述，聚焦民生实事项目落地见效，扎实推进重点工作，以实际行动坚定拥护“两个确立”、坚决做到“两个维护”。把党的创新理论武装作为首要政治任务，将党员教育培训与民政事业高质量发展深度融合，锻造政治坚定、作风优良、业务精湛、为民务实的党员队伍。坚定不移推进全面从严治党，坚持无禁区、全覆盖、零容忍，一体推进不敢腐、不能腐、不想腐，坚决整治侵害群众利益的腐败问题。</w:t>
      </w:r>
      <w:r>
        <w:rPr>
          <w:rFonts w:hint="eastAsia" w:ascii="仿宋" w:hAnsi="仿宋" w:eastAsia="仿宋" w:cs="仿宋"/>
          <w:sz w:val="32"/>
          <w:szCs w:val="32"/>
          <w:lang w:eastAsia="zh-CN"/>
        </w:rPr>
        <w:t>持之以恒强化作风建设，驰而不息纠“四风”，深入落实中央八项规定及其实施细则精神，坚决防范和纠治形式主义、官僚主义。扎实走好新时代党的群众路线，想群众之所想、急群众之所急，用心用情解决人民群众急难愁盼问题。</w:t>
      </w:r>
    </w:p>
    <w:p w14:paraId="460D261A">
      <w:pPr>
        <w:overflowPunct w:val="0"/>
        <w:spacing w:before="156" w:beforeLines="50" w:line="360" w:lineRule="auto"/>
        <w:ind w:firstLine="643" w:firstLineChars="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二、强化统筹布局</w:t>
      </w:r>
      <w:bookmarkEnd w:id="77"/>
    </w:p>
    <w:p w14:paraId="6E642233">
      <w:pPr>
        <w:widowControl/>
        <w:kinsoku w:val="0"/>
        <w:autoSpaceDE w:val="0"/>
        <w:autoSpaceDN w:val="0"/>
        <w:spacing w:before="156" w:beforeLines="50" w:line="360" w:lineRule="auto"/>
        <w:ind w:firstLine="640" w:firstLineChars="200"/>
        <w:textAlignment w:val="baseline"/>
        <w:rPr>
          <w:rFonts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按照老年人口密度、需求变化等因素，结合现有养老服务、殡葬、社会福利等领域的设施分布，</w:t>
      </w:r>
      <w:r>
        <w:rPr>
          <w:rFonts w:hint="eastAsia" w:eastAsia="仿宋_GB2312" w:cs="仿宋_GB2312" w:asciiTheme="minorEastAsia" w:hAnsiTheme="minorEastAsia"/>
          <w:color w:val="auto"/>
          <w:sz w:val="32"/>
          <w:szCs w:val="32"/>
          <w:highlight w:val="none"/>
        </w:rPr>
        <w:t>科学确定设施等级体系、服务半径和建设标准，</w:t>
      </w:r>
      <w:r>
        <w:rPr>
          <w:rFonts w:hint="eastAsia" w:ascii="仿宋" w:hAnsi="仿宋" w:eastAsia="仿宋" w:cs="仿宋"/>
          <w:snapToGrid w:val="0"/>
          <w:color w:val="auto"/>
          <w:kern w:val="0"/>
          <w:sz w:val="32"/>
          <w:szCs w:val="32"/>
          <w:highlight w:val="none"/>
        </w:rPr>
        <w:t>合理规划民政设施项目，并</w:t>
      </w:r>
      <w:r>
        <w:rPr>
          <w:rFonts w:hint="eastAsia" w:eastAsia="仿宋_GB2312" w:cs="仿宋_GB2312" w:asciiTheme="minorEastAsia" w:hAnsiTheme="minorEastAsia"/>
          <w:color w:val="auto"/>
          <w:sz w:val="32"/>
          <w:szCs w:val="32"/>
          <w:highlight w:val="none"/>
        </w:rPr>
        <w:t>主动融入国民经济与社会发展规划、国土空间总体规划，确保项目实施落地，避免重复建设和资源错配。</w:t>
      </w:r>
    </w:p>
    <w:p w14:paraId="6F079048">
      <w:pPr>
        <w:overflowPunct w:val="0"/>
        <w:spacing w:before="156" w:beforeLines="50" w:line="360" w:lineRule="auto"/>
        <w:ind w:firstLine="643" w:firstLineChars="0"/>
        <w:outlineLvl w:val="1"/>
        <w:rPr>
          <w:rFonts w:ascii="黑体" w:hAnsi="黑体" w:eastAsia="黑体" w:cs="黑体"/>
          <w:color w:val="auto"/>
          <w:sz w:val="32"/>
          <w:szCs w:val="32"/>
          <w:highlight w:val="none"/>
        </w:rPr>
      </w:pPr>
      <w:bookmarkStart w:id="81" w:name="_Toc13489"/>
      <w:bookmarkStart w:id="82" w:name="_Toc9581"/>
      <w:bookmarkStart w:id="83" w:name="_Toc4320"/>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val="en-US" w:eastAsia="zh-CN"/>
        </w:rPr>
        <w:t>健全投入保障机制</w:t>
      </w:r>
      <w:bookmarkEnd w:id="81"/>
      <w:bookmarkEnd w:id="82"/>
      <w:bookmarkEnd w:id="83"/>
    </w:p>
    <w:bookmarkEnd w:id="78"/>
    <w:p w14:paraId="2F51292C">
      <w:pPr>
        <w:widowControl/>
        <w:kinsoku w:val="0"/>
        <w:autoSpaceDE w:val="0"/>
        <w:autoSpaceDN w:val="0"/>
        <w:spacing w:before="156" w:beforeLines="50" w:line="360" w:lineRule="auto"/>
        <w:ind w:firstLine="640" w:firstLineChars="200"/>
        <w:textAlignment w:val="baseline"/>
        <w:rPr>
          <w:rFonts w:hint="eastAsia" w:ascii="仿宋" w:hAnsi="仿宋" w:eastAsia="仿宋" w:cs="仿宋"/>
          <w:snapToGrid w:val="0"/>
          <w:color w:val="auto"/>
          <w:kern w:val="0"/>
          <w:sz w:val="32"/>
          <w:szCs w:val="32"/>
          <w:highlight w:val="none"/>
          <w:lang w:eastAsia="zh-CN"/>
        </w:rPr>
      </w:pPr>
      <w:r>
        <w:rPr>
          <w:rFonts w:hint="eastAsia" w:ascii="仿宋" w:hAnsi="仿宋" w:eastAsia="仿宋" w:cs="仿宋"/>
          <w:snapToGrid w:val="0"/>
          <w:color w:val="auto"/>
          <w:kern w:val="0"/>
          <w:sz w:val="32"/>
          <w:szCs w:val="32"/>
          <w:highlight w:val="none"/>
        </w:rPr>
        <w:t>健全财政支持机制，加大对兜底性、基础性民政事业的财政投入，引导资金更多向基本民生保障、基层社会治理、基本社会服务等重点领域倾斜。建立完善以人口为基础、与实际需求相适应的民政事业经费保障机制，明确划分民政事业的事权与财权，合理确定经费支出责任。加强民政事业经费支出预算管理，完善项目评审和全过程绩效管理监督检查机制，切实提高经费使用效率</w:t>
      </w:r>
      <w:r>
        <w:rPr>
          <w:rFonts w:hint="eastAsia" w:ascii="仿宋" w:hAnsi="仿宋" w:eastAsia="仿宋" w:cs="仿宋"/>
          <w:snapToGrid w:val="0"/>
          <w:color w:val="auto"/>
          <w:kern w:val="0"/>
          <w:sz w:val="32"/>
          <w:szCs w:val="32"/>
          <w:highlight w:val="none"/>
          <w:lang w:eastAsia="zh-CN"/>
        </w:rPr>
        <w:t>。</w:t>
      </w:r>
      <w:r>
        <w:rPr>
          <w:rFonts w:hint="eastAsia" w:ascii="仿宋" w:hAnsi="仿宋" w:eastAsia="仿宋" w:cs="仿宋"/>
          <w:snapToGrid w:val="0"/>
          <w:color w:val="auto"/>
          <w:kern w:val="0"/>
          <w:sz w:val="32"/>
          <w:szCs w:val="32"/>
          <w:highlight w:val="none"/>
        </w:rPr>
        <w:t>鼓励和引导各类社会资金参与民政事业发展，畅通多元化投入渠道，保障民政事业健康发展。充分发挥财政资金杠杆作用，综合运用税费减免、资金引导、培育孵化、人才支持、精神奖励、共建共治等多种手段，多渠道、多方式支持社会资本参与民政事业，形成政府主导、社会参与的多元投入格局</w:t>
      </w:r>
      <w:r>
        <w:rPr>
          <w:rFonts w:hint="eastAsia" w:ascii="仿宋" w:hAnsi="仿宋" w:eastAsia="仿宋" w:cs="仿宋"/>
          <w:snapToGrid w:val="0"/>
          <w:color w:val="auto"/>
          <w:kern w:val="0"/>
          <w:sz w:val="32"/>
          <w:szCs w:val="32"/>
          <w:highlight w:val="none"/>
          <w:lang w:eastAsia="zh-CN"/>
        </w:rPr>
        <w:t>。</w:t>
      </w:r>
    </w:p>
    <w:bookmarkEnd w:id="79"/>
    <w:p w14:paraId="7B290A47">
      <w:pPr>
        <w:numPr>
          <w:ilvl w:val="0"/>
          <w:numId w:val="0"/>
        </w:numPr>
        <w:overflowPunct w:val="0"/>
        <w:spacing w:before="156" w:beforeLines="50" w:line="360" w:lineRule="auto"/>
        <w:ind w:firstLine="643" w:firstLineChars="0"/>
        <w:outlineLvl w:val="1"/>
        <w:rPr>
          <w:rFonts w:hint="default" w:ascii="黑体" w:hAnsi="黑体" w:eastAsia="黑体" w:cs="黑体"/>
          <w:color w:val="auto"/>
          <w:sz w:val="32"/>
          <w:szCs w:val="32"/>
          <w:highlight w:val="none"/>
          <w:lang w:val="en-US" w:eastAsia="zh-CN"/>
        </w:rPr>
      </w:pPr>
      <w:bookmarkStart w:id="84" w:name="_Toc19879"/>
      <w:bookmarkStart w:id="85" w:name="_Toc24941"/>
      <w:bookmarkStart w:id="86" w:name="_Toc19008"/>
      <w:bookmarkStart w:id="87" w:name="_Toc14197"/>
      <w:r>
        <w:rPr>
          <w:rFonts w:hint="eastAsia" w:ascii="黑体" w:hAnsi="黑体" w:eastAsia="黑体" w:cs="黑体"/>
          <w:color w:val="auto"/>
          <w:kern w:val="2"/>
          <w:sz w:val="32"/>
          <w:szCs w:val="32"/>
          <w:highlight w:val="none"/>
          <w:lang w:val="en-US" w:eastAsia="zh-CN" w:bidi="ar-SA"/>
        </w:rPr>
        <w:t>四、</w:t>
      </w:r>
      <w:bookmarkEnd w:id="84"/>
      <w:bookmarkEnd w:id="85"/>
      <w:bookmarkStart w:id="88" w:name="_Toc19114"/>
      <w:r>
        <w:rPr>
          <w:rFonts w:hint="eastAsia" w:ascii="黑体" w:hAnsi="黑体" w:eastAsia="黑体" w:cs="黑体"/>
          <w:color w:val="auto"/>
          <w:sz w:val="32"/>
          <w:szCs w:val="32"/>
          <w:highlight w:val="none"/>
          <w:lang w:val="en-US" w:eastAsia="zh-CN"/>
        </w:rPr>
        <w:t>加强民政人才队伍建设</w:t>
      </w:r>
      <w:bookmarkEnd w:id="86"/>
    </w:p>
    <w:p w14:paraId="132941CE">
      <w:pPr>
        <w:widowControl/>
        <w:kinsoku w:val="0"/>
        <w:autoSpaceDE w:val="0"/>
        <w:autoSpaceDN w:val="0"/>
        <w:spacing w:before="156" w:beforeLines="50" w:line="360" w:lineRule="auto"/>
        <w:ind w:firstLine="640" w:firstLineChars="200"/>
        <w:textAlignment w:val="baseline"/>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坚持以党的政治建设为统领加强领导班子建设，着力提高民政干部履职能力。强化干部教育培训，健全精准高效的培训体系，聚焦基层民政工作人员实操需求，开展分层分类培训，提升干部队伍专业化水平。严格干部管理监督，以正确的选人用人导向激发干事创业的热情和责任担当，强化对敢担当善作为干部的激励和保护。健全引育用留机制，拓宽引才渠道、完善激励保障，充实人才储备，为民政事业高质量发展筑牢人才根基。</w:t>
      </w:r>
    </w:p>
    <w:bookmarkEnd w:id="80"/>
    <w:bookmarkEnd w:id="87"/>
    <w:bookmarkEnd w:id="88"/>
    <w:p w14:paraId="10E610D1">
      <w:pPr>
        <w:snapToGrid w:val="0"/>
        <w:spacing w:before="156" w:beforeLines="50" w:line="360" w:lineRule="auto"/>
        <w:ind w:firstLine="640" w:firstLineChars="200"/>
        <w:outlineLvl w:val="1"/>
        <w:rPr>
          <w:rFonts w:hint="eastAsia" w:ascii="黑体" w:hAnsi="黑体" w:eastAsia="黑体" w:cs="黑体"/>
          <w:color w:val="auto"/>
          <w:sz w:val="32"/>
          <w:szCs w:val="32"/>
          <w:highlight w:val="none"/>
        </w:rPr>
      </w:pPr>
      <w:bookmarkStart w:id="89" w:name="_Toc13119"/>
      <w:bookmarkStart w:id="90" w:name="_Toc10072"/>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、推进民政数字化转型</w:t>
      </w:r>
      <w:bookmarkEnd w:id="89"/>
      <w:bookmarkEnd w:id="90"/>
    </w:p>
    <w:p w14:paraId="474D79D7">
      <w:pPr>
        <w:snapToGrid w:val="0"/>
        <w:spacing w:before="156" w:beforeLines="50" w:line="360" w:lineRule="auto"/>
        <w:ind w:firstLine="640" w:firstLineChars="200"/>
        <w:rPr>
          <w:rFonts w:hint="eastAsia" w:eastAsia="仿宋_GB2312" w:cs="仿宋_GB2312" w:asciiTheme="minorEastAsia" w:hAnsiTheme="minorEastAsia"/>
          <w:color w:val="auto"/>
          <w:sz w:val="32"/>
          <w:szCs w:val="32"/>
          <w:highlight w:val="none"/>
        </w:rPr>
      </w:pPr>
      <w:r>
        <w:rPr>
          <w:rFonts w:hint="eastAsia" w:eastAsia="仿宋_GB2312" w:cs="仿宋_GB2312" w:asciiTheme="minorEastAsia" w:hAnsiTheme="minorEastAsia"/>
          <w:color w:val="auto"/>
          <w:sz w:val="32"/>
          <w:szCs w:val="32"/>
          <w:highlight w:val="none"/>
        </w:rPr>
        <w:t>以数据整合、场景应用为重点，全方位推进</w:t>
      </w:r>
      <w:r>
        <w:rPr>
          <w:rFonts w:hint="eastAsia" w:eastAsia="仿宋_GB2312" w:cs="仿宋_GB2312" w:asciiTheme="minorEastAsia" w:hAnsiTheme="minorEastAsia"/>
          <w:color w:val="auto"/>
          <w:sz w:val="32"/>
          <w:szCs w:val="32"/>
          <w:highlight w:val="none"/>
          <w:lang w:eastAsia="zh-CN"/>
        </w:rPr>
        <w:t>潜江</w:t>
      </w:r>
      <w:r>
        <w:rPr>
          <w:rFonts w:hint="eastAsia" w:eastAsia="仿宋_GB2312" w:cs="仿宋_GB2312" w:asciiTheme="minorEastAsia" w:hAnsiTheme="minorEastAsia"/>
          <w:color w:val="auto"/>
          <w:sz w:val="32"/>
          <w:szCs w:val="32"/>
          <w:highlight w:val="none"/>
        </w:rPr>
        <w:t>民政数字化转型，推进民政全领域一体化平台建设，加快实施养老、救助、婚姻、殡葬等信息系统升级改造，优化系统功能，支撑民政业务。加大民政数据治理力度，持续开展数据的归集、共享、开放和应用。落实网络安全责任，提升民政网络安全防范能力。</w:t>
      </w:r>
    </w:p>
    <w:p w14:paraId="1B903154">
      <w:pPr>
        <w:overflowPunct w:val="0"/>
        <w:spacing w:before="156" w:beforeLines="50" w:line="360" w:lineRule="auto"/>
        <w:ind w:firstLine="643" w:firstLineChars="0"/>
        <w:outlineLvl w:val="1"/>
        <w:rPr>
          <w:rFonts w:ascii="黑体" w:hAnsi="黑体" w:eastAsia="黑体" w:cs="黑体"/>
          <w:color w:val="auto"/>
          <w:sz w:val="32"/>
          <w:szCs w:val="32"/>
          <w:highlight w:val="none"/>
        </w:rPr>
      </w:pPr>
      <w:bookmarkStart w:id="91" w:name="_Toc21666"/>
      <w:bookmarkStart w:id="92" w:name="_Toc10204"/>
      <w:bookmarkStart w:id="93" w:name="_Toc786"/>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、加强监测评估</w:t>
      </w:r>
      <w:bookmarkEnd w:id="91"/>
      <w:bookmarkEnd w:id="92"/>
    </w:p>
    <w:p w14:paraId="6021D692">
      <w:pPr>
        <w:overflowPunct w:val="0"/>
        <w:adjustRightInd w:val="0"/>
        <w:snapToGrid w:val="0"/>
        <w:spacing w:before="156" w:beforeLines="50" w:line="360" w:lineRule="auto"/>
        <w:ind w:firstLine="640" w:firstLineChars="200"/>
        <w:rPr>
          <w:rFonts w:eastAsia="仿宋_GB2312" w:cs="仿宋_GB2312" w:asciiTheme="minorEastAsia" w:hAnsiTheme="minorEastAsia"/>
          <w:color w:val="auto"/>
          <w:sz w:val="32"/>
          <w:szCs w:val="32"/>
          <w:highlight w:val="none"/>
        </w:rPr>
      </w:pPr>
      <w:r>
        <w:rPr>
          <w:rFonts w:hint="eastAsia" w:ascii="仿宋" w:hAnsi="仿宋" w:eastAsia="仿宋" w:cs="仿宋"/>
          <w:snapToGrid w:val="0"/>
          <w:color w:val="auto"/>
          <w:kern w:val="0"/>
          <w:sz w:val="32"/>
          <w:szCs w:val="32"/>
          <w:highlight w:val="none"/>
        </w:rPr>
        <w:t>建立规划实施评估机制，加强规划实施情况年度监测分析、中期评估、督促检查，开展第三方评估，科学精准评估规划落地情况，并适时向社会公布评估结果。发挥社会群众、服务对象的监督作用。</w:t>
      </w:r>
      <w:r>
        <w:rPr>
          <w:rFonts w:hint="eastAsia" w:eastAsia="仿宋_GB2312" w:cs="仿宋_GB2312" w:asciiTheme="minorEastAsia" w:hAnsiTheme="minorEastAsia"/>
          <w:color w:val="auto"/>
          <w:sz w:val="32"/>
          <w:szCs w:val="32"/>
          <w:highlight w:val="none"/>
        </w:rPr>
        <w:t>动态掌握重点领域、重点项目的实施进展，综合采用实地调研、定期通报、综合评估等形式，扎实推进规划实施。</w:t>
      </w:r>
      <w:bookmarkEnd w:id="76"/>
      <w:bookmarkEnd w:id="93"/>
    </w:p>
    <w:sectPr>
      <w:footerReference r:id="rId4" w:type="default"/>
      <w:pgSz w:w="11906" w:h="16838"/>
      <w:pgMar w:top="1383"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国标仿宋">
    <w:panose1 w:val="02000500000000000000"/>
    <w:charset w:val="86"/>
    <w:family w:val="auto"/>
    <w:pitch w:val="default"/>
    <w:sig w:usb0="A00002BF" w:usb1="38C77CFA" w:usb2="00000016" w:usb3="00000000" w:csb0="00060007"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E7A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109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AE109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3F8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5944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55944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13"/>
    <w:rsid w:val="000D5D93"/>
    <w:rsid w:val="000E5B74"/>
    <w:rsid w:val="001E30C8"/>
    <w:rsid w:val="00420180"/>
    <w:rsid w:val="00572A91"/>
    <w:rsid w:val="006C648B"/>
    <w:rsid w:val="006E097B"/>
    <w:rsid w:val="006F7C13"/>
    <w:rsid w:val="007930EA"/>
    <w:rsid w:val="008B5A7E"/>
    <w:rsid w:val="00B26F33"/>
    <w:rsid w:val="013108A6"/>
    <w:rsid w:val="02A37247"/>
    <w:rsid w:val="034E748A"/>
    <w:rsid w:val="05714345"/>
    <w:rsid w:val="06614229"/>
    <w:rsid w:val="06A317B7"/>
    <w:rsid w:val="07AF20CC"/>
    <w:rsid w:val="08711C7D"/>
    <w:rsid w:val="0A0B50CF"/>
    <w:rsid w:val="0A325073"/>
    <w:rsid w:val="0B1C7E8E"/>
    <w:rsid w:val="0B252225"/>
    <w:rsid w:val="0B41524D"/>
    <w:rsid w:val="0D1D75F3"/>
    <w:rsid w:val="0EF83554"/>
    <w:rsid w:val="108F8EB0"/>
    <w:rsid w:val="11B85B3D"/>
    <w:rsid w:val="12D27B90"/>
    <w:rsid w:val="151A266A"/>
    <w:rsid w:val="157633EA"/>
    <w:rsid w:val="177D5037"/>
    <w:rsid w:val="17E23913"/>
    <w:rsid w:val="17EE46A5"/>
    <w:rsid w:val="188938F1"/>
    <w:rsid w:val="18FBF370"/>
    <w:rsid w:val="19401E23"/>
    <w:rsid w:val="1AC217DA"/>
    <w:rsid w:val="1E477A1D"/>
    <w:rsid w:val="1EBE2B93"/>
    <w:rsid w:val="20111794"/>
    <w:rsid w:val="20B41D10"/>
    <w:rsid w:val="21226B96"/>
    <w:rsid w:val="21E13260"/>
    <w:rsid w:val="22F33663"/>
    <w:rsid w:val="239F1F14"/>
    <w:rsid w:val="244119C2"/>
    <w:rsid w:val="24743B45"/>
    <w:rsid w:val="25F5268F"/>
    <w:rsid w:val="26955FF5"/>
    <w:rsid w:val="26EE1664"/>
    <w:rsid w:val="27FE6BEF"/>
    <w:rsid w:val="28EA3BEC"/>
    <w:rsid w:val="29DA08EE"/>
    <w:rsid w:val="29DB91A2"/>
    <w:rsid w:val="2BDBE374"/>
    <w:rsid w:val="2CFE0D4A"/>
    <w:rsid w:val="2E6F342E"/>
    <w:rsid w:val="2ED7155A"/>
    <w:rsid w:val="2F7BC96E"/>
    <w:rsid w:val="2FEF0D98"/>
    <w:rsid w:val="2FFECE31"/>
    <w:rsid w:val="302C418E"/>
    <w:rsid w:val="303F76FD"/>
    <w:rsid w:val="325D5A49"/>
    <w:rsid w:val="32C1089D"/>
    <w:rsid w:val="34230CEA"/>
    <w:rsid w:val="359F58E9"/>
    <w:rsid w:val="35C984F2"/>
    <w:rsid w:val="36051E20"/>
    <w:rsid w:val="360B187E"/>
    <w:rsid w:val="37BF5224"/>
    <w:rsid w:val="37E6F4CC"/>
    <w:rsid w:val="37FD5C87"/>
    <w:rsid w:val="37FFC814"/>
    <w:rsid w:val="3877A7F2"/>
    <w:rsid w:val="38AD60AD"/>
    <w:rsid w:val="397BF703"/>
    <w:rsid w:val="39EB0C49"/>
    <w:rsid w:val="3A73E40E"/>
    <w:rsid w:val="3A7DABBE"/>
    <w:rsid w:val="3B335003"/>
    <w:rsid w:val="3B552ADD"/>
    <w:rsid w:val="3B5BB273"/>
    <w:rsid w:val="3BA744FC"/>
    <w:rsid w:val="3BEFCD6C"/>
    <w:rsid w:val="3BF2C5B9"/>
    <w:rsid w:val="3D5FC9E0"/>
    <w:rsid w:val="3D654BC6"/>
    <w:rsid w:val="3EFF2291"/>
    <w:rsid w:val="3F4FAE46"/>
    <w:rsid w:val="3F875962"/>
    <w:rsid w:val="3FFEC7C0"/>
    <w:rsid w:val="3FFFAAEA"/>
    <w:rsid w:val="3FFFDD0E"/>
    <w:rsid w:val="41291867"/>
    <w:rsid w:val="41583C21"/>
    <w:rsid w:val="42EC4060"/>
    <w:rsid w:val="453401F9"/>
    <w:rsid w:val="47836563"/>
    <w:rsid w:val="49F660A0"/>
    <w:rsid w:val="4AFB2925"/>
    <w:rsid w:val="4B733AA1"/>
    <w:rsid w:val="4B8A2C55"/>
    <w:rsid w:val="4BAE52DF"/>
    <w:rsid w:val="4C786D95"/>
    <w:rsid w:val="4D6B54B7"/>
    <w:rsid w:val="4D9E1851"/>
    <w:rsid w:val="4DB3A520"/>
    <w:rsid w:val="4DCDCB28"/>
    <w:rsid w:val="4E7960D8"/>
    <w:rsid w:val="4EDA46FF"/>
    <w:rsid w:val="4F6E275D"/>
    <w:rsid w:val="4FB9B0C3"/>
    <w:rsid w:val="4FF49244"/>
    <w:rsid w:val="4FFD5BDD"/>
    <w:rsid w:val="50A13664"/>
    <w:rsid w:val="50AC4ED0"/>
    <w:rsid w:val="51DF48FC"/>
    <w:rsid w:val="52FF59EF"/>
    <w:rsid w:val="53634EBA"/>
    <w:rsid w:val="53EF4D74"/>
    <w:rsid w:val="557D063C"/>
    <w:rsid w:val="557FB712"/>
    <w:rsid w:val="56FE711B"/>
    <w:rsid w:val="577F7212"/>
    <w:rsid w:val="587A6C75"/>
    <w:rsid w:val="58D12C9E"/>
    <w:rsid w:val="595D7771"/>
    <w:rsid w:val="5972691C"/>
    <w:rsid w:val="5996622D"/>
    <w:rsid w:val="5AE27401"/>
    <w:rsid w:val="5BE5651D"/>
    <w:rsid w:val="5BFC2080"/>
    <w:rsid w:val="5D521F6E"/>
    <w:rsid w:val="5DBE8E17"/>
    <w:rsid w:val="5E37D9F9"/>
    <w:rsid w:val="5FB200D2"/>
    <w:rsid w:val="5FBA8429"/>
    <w:rsid w:val="5FBFD682"/>
    <w:rsid w:val="5FCF0179"/>
    <w:rsid w:val="5FF00BCA"/>
    <w:rsid w:val="5FF5EA71"/>
    <w:rsid w:val="5FF74294"/>
    <w:rsid w:val="5FFB478A"/>
    <w:rsid w:val="5FFE7D8A"/>
    <w:rsid w:val="611217CC"/>
    <w:rsid w:val="61C1375D"/>
    <w:rsid w:val="61FDA471"/>
    <w:rsid w:val="62573980"/>
    <w:rsid w:val="660E0591"/>
    <w:rsid w:val="66A001EE"/>
    <w:rsid w:val="66F146A8"/>
    <w:rsid w:val="67DF80B8"/>
    <w:rsid w:val="67F7169E"/>
    <w:rsid w:val="67FF2C20"/>
    <w:rsid w:val="6B7049A5"/>
    <w:rsid w:val="6CAF1238"/>
    <w:rsid w:val="6CDC0AF5"/>
    <w:rsid w:val="6CDF32CA"/>
    <w:rsid w:val="6CFF4346"/>
    <w:rsid w:val="6D0D7C60"/>
    <w:rsid w:val="6D49739B"/>
    <w:rsid w:val="6D620092"/>
    <w:rsid w:val="6D7DEA18"/>
    <w:rsid w:val="6DF5B911"/>
    <w:rsid w:val="6DF7ECBB"/>
    <w:rsid w:val="6DFB853F"/>
    <w:rsid w:val="6F573DE7"/>
    <w:rsid w:val="6FFE74E0"/>
    <w:rsid w:val="703B4AE4"/>
    <w:rsid w:val="71305530"/>
    <w:rsid w:val="719B6B49"/>
    <w:rsid w:val="71E1DCA4"/>
    <w:rsid w:val="726B3654"/>
    <w:rsid w:val="75BF2879"/>
    <w:rsid w:val="75DECBD8"/>
    <w:rsid w:val="75FEE931"/>
    <w:rsid w:val="76843F62"/>
    <w:rsid w:val="768B0AE7"/>
    <w:rsid w:val="76F78429"/>
    <w:rsid w:val="76FF8A2F"/>
    <w:rsid w:val="777FA9EC"/>
    <w:rsid w:val="77A92C7B"/>
    <w:rsid w:val="77D952F4"/>
    <w:rsid w:val="77EF599B"/>
    <w:rsid w:val="77F73088"/>
    <w:rsid w:val="77FB3CFE"/>
    <w:rsid w:val="788068E3"/>
    <w:rsid w:val="78F9B195"/>
    <w:rsid w:val="79374F51"/>
    <w:rsid w:val="7ABCEB17"/>
    <w:rsid w:val="7ABD7B80"/>
    <w:rsid w:val="7AD3744D"/>
    <w:rsid w:val="7B27AD9B"/>
    <w:rsid w:val="7B5D6256"/>
    <w:rsid w:val="7B6F558A"/>
    <w:rsid w:val="7BE36A0F"/>
    <w:rsid w:val="7BED4631"/>
    <w:rsid w:val="7BFC800E"/>
    <w:rsid w:val="7BFE87FD"/>
    <w:rsid w:val="7CFF71E8"/>
    <w:rsid w:val="7D75F8B5"/>
    <w:rsid w:val="7D921CD2"/>
    <w:rsid w:val="7DEFEC4F"/>
    <w:rsid w:val="7DF7A419"/>
    <w:rsid w:val="7E1A2ECF"/>
    <w:rsid w:val="7E65C338"/>
    <w:rsid w:val="7EBFCAE7"/>
    <w:rsid w:val="7EC565EC"/>
    <w:rsid w:val="7EF73321"/>
    <w:rsid w:val="7EF74EB4"/>
    <w:rsid w:val="7EF7CBFE"/>
    <w:rsid w:val="7EFD307B"/>
    <w:rsid w:val="7F6BA8C1"/>
    <w:rsid w:val="7F7762BA"/>
    <w:rsid w:val="7F7FAA51"/>
    <w:rsid w:val="7F7FF210"/>
    <w:rsid w:val="7F9FAE78"/>
    <w:rsid w:val="7FB6FFFB"/>
    <w:rsid w:val="7FDD37EE"/>
    <w:rsid w:val="7FEFCC59"/>
    <w:rsid w:val="7FF8EEB1"/>
    <w:rsid w:val="7FFE2284"/>
    <w:rsid w:val="87EFBFFE"/>
    <w:rsid w:val="8F7EFD11"/>
    <w:rsid w:val="95FF8A44"/>
    <w:rsid w:val="9D7F102C"/>
    <w:rsid w:val="9DF6780D"/>
    <w:rsid w:val="9FAFC3BD"/>
    <w:rsid w:val="9FEF3B92"/>
    <w:rsid w:val="A57FDBEB"/>
    <w:rsid w:val="AC6BA573"/>
    <w:rsid w:val="AC6BDA2F"/>
    <w:rsid w:val="AEDFB5C9"/>
    <w:rsid w:val="AF3A0C22"/>
    <w:rsid w:val="AFDFC34C"/>
    <w:rsid w:val="B3E52329"/>
    <w:rsid w:val="B5B3212D"/>
    <w:rsid w:val="B5DF3485"/>
    <w:rsid w:val="BAD3E24F"/>
    <w:rsid w:val="BB9D8DE2"/>
    <w:rsid w:val="BBDDA3E6"/>
    <w:rsid w:val="BBFAE31E"/>
    <w:rsid w:val="BEBC95B6"/>
    <w:rsid w:val="BF7A25CF"/>
    <w:rsid w:val="BFAF13CA"/>
    <w:rsid w:val="BFBF4BC4"/>
    <w:rsid w:val="BFCF991D"/>
    <w:rsid w:val="BFD26A5F"/>
    <w:rsid w:val="BFEDB316"/>
    <w:rsid w:val="C7DF2506"/>
    <w:rsid w:val="CB6FFC83"/>
    <w:rsid w:val="CBD64130"/>
    <w:rsid w:val="CBDF61D3"/>
    <w:rsid w:val="CE7F5C91"/>
    <w:rsid w:val="CF6FF75C"/>
    <w:rsid w:val="D3E6B569"/>
    <w:rsid w:val="D6BFF415"/>
    <w:rsid w:val="D6DD0CB4"/>
    <w:rsid w:val="D73751B0"/>
    <w:rsid w:val="D7B7FF47"/>
    <w:rsid w:val="D7F71B7F"/>
    <w:rsid w:val="DCBE2D45"/>
    <w:rsid w:val="DD7BD810"/>
    <w:rsid w:val="DDB65A3A"/>
    <w:rsid w:val="DDE535BE"/>
    <w:rsid w:val="DF1FD0B6"/>
    <w:rsid w:val="DFF74C94"/>
    <w:rsid w:val="E4BF7158"/>
    <w:rsid w:val="E5E3E815"/>
    <w:rsid w:val="E6DF8C50"/>
    <w:rsid w:val="E7CD2A3E"/>
    <w:rsid w:val="E8DB33C5"/>
    <w:rsid w:val="E9BFADE6"/>
    <w:rsid w:val="EBF90D4D"/>
    <w:rsid w:val="EBFF0E1B"/>
    <w:rsid w:val="EF376478"/>
    <w:rsid w:val="EF9C82F0"/>
    <w:rsid w:val="EFAB9732"/>
    <w:rsid w:val="EFE97A4B"/>
    <w:rsid w:val="F0FCE04F"/>
    <w:rsid w:val="F1F7384D"/>
    <w:rsid w:val="F1FF7829"/>
    <w:rsid w:val="F26B1A25"/>
    <w:rsid w:val="F3BBCB0F"/>
    <w:rsid w:val="F3BFCD46"/>
    <w:rsid w:val="F3FCE3EA"/>
    <w:rsid w:val="F57C882A"/>
    <w:rsid w:val="F5FB210D"/>
    <w:rsid w:val="F67F2F1C"/>
    <w:rsid w:val="F67FEE08"/>
    <w:rsid w:val="F77DFED8"/>
    <w:rsid w:val="F79DEA9F"/>
    <w:rsid w:val="F7AEA392"/>
    <w:rsid w:val="F7BDD8E1"/>
    <w:rsid w:val="F7DFAB19"/>
    <w:rsid w:val="F8CF7CE5"/>
    <w:rsid w:val="F9CE62AB"/>
    <w:rsid w:val="FA24E422"/>
    <w:rsid w:val="FA5F8AC0"/>
    <w:rsid w:val="FA9F4A38"/>
    <w:rsid w:val="FAADE6B2"/>
    <w:rsid w:val="FAE6B0BA"/>
    <w:rsid w:val="FBDEF09B"/>
    <w:rsid w:val="FBDF97FC"/>
    <w:rsid w:val="FBE578F5"/>
    <w:rsid w:val="FBFEC2AA"/>
    <w:rsid w:val="FC7FF39F"/>
    <w:rsid w:val="FD7D29D6"/>
    <w:rsid w:val="FD9713B6"/>
    <w:rsid w:val="FDDFC56F"/>
    <w:rsid w:val="FE7FDA97"/>
    <w:rsid w:val="FEB8BF0E"/>
    <w:rsid w:val="FEEB2F61"/>
    <w:rsid w:val="FEF447C8"/>
    <w:rsid w:val="FEF68DA7"/>
    <w:rsid w:val="FEFDB0F4"/>
    <w:rsid w:val="FF5E443A"/>
    <w:rsid w:val="FF6F86E7"/>
    <w:rsid w:val="FF8F62F7"/>
    <w:rsid w:val="FFDEA1A4"/>
    <w:rsid w:val="FFED7965"/>
    <w:rsid w:val="FFF347B6"/>
    <w:rsid w:val="FFF7E3A6"/>
    <w:rsid w:val="FFFE0234"/>
    <w:rsid w:val="FFFE67D0"/>
    <w:rsid w:val="FFFFC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line="360" w:lineRule="auto"/>
      <w:jc w:val="left"/>
      <w:outlineLvl w:val="2"/>
    </w:pPr>
    <w:rPr>
      <w:rFonts w:eastAsia="宋体" w:cs="Times New Roman"/>
      <w:b/>
      <w:bCs/>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left="720"/>
    </w:pPr>
    <w:rPr>
      <w:rFonts w:ascii="Times New Roman" w:hAnsi="Times New Roman" w:eastAsia="宋体" w:cs="Times New Roman"/>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1"/>
    <w:qFormat/>
    <w:uiPriority w:val="99"/>
    <w:pPr>
      <w:ind w:firstLine="6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eastAsia="宋体" w:cs="Times New Roman"/>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spacing w:line="400" w:lineRule="exact"/>
      <w:jc w:val="left"/>
    </w:pPr>
    <w:rPr>
      <w:sz w:val="24"/>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qFormat/>
    <w:uiPriority w:val="0"/>
    <w:pPr>
      <w:ind w:left="420" w:leftChars="200"/>
    </w:p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Body Text First Indent 2"/>
    <w:basedOn w:val="8"/>
    <w:next w:val="1"/>
    <w:qFormat/>
    <w:uiPriority w:val="0"/>
    <w:pPr>
      <w:spacing w:after="120"/>
      <w:ind w:left="420" w:leftChars="200" w:firstLine="420" w:firstLineChars="200"/>
    </w:pPr>
    <w:rPr>
      <w:rFonts w:ascii="Times New Roman"/>
      <w:szCs w:val="20"/>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Plain Text1"/>
    <w:basedOn w:val="1"/>
    <w:qFormat/>
    <w:uiPriority w:val="99"/>
    <w:rPr>
      <w:rFonts w:ascii="宋体" w:hAnsi="Courier New" w:eastAsia="宋体" w:cs="宋体"/>
    </w:rPr>
  </w:style>
  <w:style w:type="character" w:customStyle="1" w:styleId="24">
    <w:name w:val="页眉 Char"/>
    <w:basedOn w:val="21"/>
    <w:link w:val="12"/>
    <w:qFormat/>
    <w:uiPriority w:val="0"/>
    <w:rPr>
      <w:kern w:val="2"/>
      <w:sz w:val="18"/>
      <w:szCs w:val="18"/>
    </w:rPr>
  </w:style>
  <w:style w:type="character" w:customStyle="1" w:styleId="25">
    <w:name w:val="页脚 Char"/>
    <w:basedOn w:val="21"/>
    <w:link w:val="11"/>
    <w:qFormat/>
    <w:uiPriority w:val="0"/>
    <w:rPr>
      <w:kern w:val="2"/>
      <w:sz w:val="18"/>
      <w:szCs w:val="18"/>
    </w:rPr>
  </w:style>
  <w:style w:type="paragraph" w:styleId="26">
    <w:name w:val="List Paragraph"/>
    <w:basedOn w:val="1"/>
    <w:unhideWhenUsed/>
    <w:qFormat/>
    <w:uiPriority w:val="99"/>
    <w:pPr>
      <w:ind w:firstLine="420" w:firstLineChars="200"/>
    </w:pPr>
  </w:style>
  <w:style w:type="character" w:customStyle="1" w:styleId="27">
    <w:name w:val="font41"/>
    <w:qFormat/>
    <w:uiPriority w:val="0"/>
    <w:rPr>
      <w:rFonts w:hint="eastAsia" w:ascii="宋体" w:hAnsi="宋体" w:eastAsia="宋体" w:cs="宋体"/>
      <w:color w:val="000000"/>
      <w:sz w:val="18"/>
      <w:szCs w:val="18"/>
      <w:u w:val="none"/>
    </w:rPr>
  </w:style>
  <w:style w:type="character" w:customStyle="1" w:styleId="28">
    <w:name w:val="font11"/>
    <w:qFormat/>
    <w:uiPriority w:val="0"/>
    <w:rPr>
      <w:rFonts w:ascii="楷体" w:hAnsi="楷体" w:eastAsia="楷体" w:cs="楷体"/>
      <w:color w:val="000000"/>
      <w:sz w:val="18"/>
      <w:szCs w:val="18"/>
      <w:u w:val="none"/>
    </w:rPr>
  </w:style>
  <w:style w:type="paragraph" w:customStyle="1" w:styleId="29">
    <w:name w:val="首行缩进"/>
    <w:basedOn w:val="1"/>
    <w:qFormat/>
    <w:uiPriority w:val="0"/>
    <w:pPr>
      <w:ind w:firstLine="480" w:firstLineChars="200"/>
    </w:pPr>
    <w:rPr>
      <w:rFonts w:ascii="Calibri" w:hAnsi="Calibri" w:eastAsia="宋体" w:cs="Times New Roman"/>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6237</Words>
  <Characters>6465</Characters>
  <Lines>134</Lines>
  <Paragraphs>37</Paragraphs>
  <TotalTime>10</TotalTime>
  <ScaleCrop>false</ScaleCrop>
  <LinksUpToDate>false</LinksUpToDate>
  <CharactersWithSpaces>6620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2025-08-28T08:28:00Z</dcterms:created>
  <dc:creator>HP</dc:creator>
  <cp:lastModifiedBy>bangongshi</cp:lastModifiedBy>
  <dcterms:modified xsi:type="dcterms:W3CDTF">2026-06-03T14:48:58Z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eyJoZGlkIjoiNDQ3NmQyM2Q0MWI0ZjhkNzU3NjM0MDBhMmViNDU4NzYiLCJ1c2VySWQiOiI5MzQ4NzkxOTAifQ==</vt:lpwstr>
  </property>
  <property fmtid="{D5CDD505-2E9C-101B-9397-08002B2CF9AE}" pid="4" name="ICV">
    <vt:lpwstr>F01B2B32D39041B194F41F4B4E99778B_13</vt:lpwstr>
  </property>
</Properties>
</file>