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42AA97">
      <w:pPr>
        <w:jc w:val="center"/>
        <w:rPr>
          <w:rFonts w:hint="eastAsia" w:ascii="华文中宋" w:hAnsi="华文中宋" w:eastAsia="华文中宋" w:cs="华文中宋"/>
          <w:color w:val="auto"/>
          <w:highlight w:val="none"/>
          <w:lang w:eastAsia="zh-CN"/>
        </w:rPr>
      </w:pPr>
      <w:r>
        <w:rPr>
          <w:rFonts w:hint="eastAsia" w:ascii="华文中宋" w:hAnsi="华文中宋" w:eastAsia="华文中宋" w:cs="华文中宋"/>
          <w:b/>
          <w:bCs/>
          <w:color w:val="auto"/>
          <w:spacing w:val="-6"/>
          <w:sz w:val="44"/>
          <w:szCs w:val="44"/>
          <w:highlight w:val="none"/>
          <w:lang w:val="en-US" w:eastAsia="zh-CN"/>
        </w:rPr>
        <w:t xml:space="preserve"> 潜江市</w:t>
      </w:r>
      <w:r>
        <w:rPr>
          <w:rFonts w:hint="eastAsia" w:ascii="华文中宋" w:hAnsi="华文中宋" w:eastAsia="华文中宋" w:cs="华文中宋"/>
          <w:b/>
          <w:bCs/>
          <w:color w:val="auto"/>
          <w:spacing w:val="-6"/>
          <w:sz w:val="44"/>
          <w:szCs w:val="44"/>
          <w:highlight w:val="none"/>
        </w:rPr>
        <w:t>民政事业发展“十五五”规划</w:t>
      </w:r>
    </w:p>
    <w:p w14:paraId="685658E0">
      <w:pPr>
        <w:rPr>
          <w:color w:val="auto"/>
          <w:highlight w:val="none"/>
        </w:rPr>
      </w:pPr>
    </w:p>
    <w:p w14:paraId="318EBD77">
      <w:pPr>
        <w:rPr>
          <w:color w:val="auto"/>
          <w:highlight w:val="none"/>
        </w:rPr>
      </w:pPr>
    </w:p>
    <w:sdt>
      <w:sdtPr>
        <w:rPr>
          <w:rFonts w:ascii="宋体" w:hAnsi="宋体" w:eastAsia="宋体" w:cstheme="minorBidi"/>
          <w:color w:val="auto"/>
          <w:kern w:val="2"/>
          <w:sz w:val="21"/>
          <w:szCs w:val="24"/>
          <w:highlight w:val="none"/>
          <w:lang w:val="en-US" w:eastAsia="zh-CN" w:bidi="ar-SA"/>
        </w:rPr>
        <w:id w:val="147455103"/>
        <w15:color w:val="DBDBDB"/>
        <w:docPartObj>
          <w:docPartGallery w:val="Table of Contents"/>
          <w:docPartUnique/>
        </w:docPartObj>
      </w:sdtPr>
      <w:sdtEndPr>
        <w:rPr>
          <w:rFonts w:ascii="仿宋_GB2312" w:hAnsi="仿宋_GB2312" w:eastAsia="仿宋_GB2312" w:cs="仿宋_GB2312"/>
          <w:color w:val="auto"/>
          <w:kern w:val="2"/>
          <w:sz w:val="21"/>
          <w:szCs w:val="32"/>
          <w:highlight w:val="none"/>
          <w:lang w:val="en-US" w:eastAsia="zh-CN" w:bidi="ar-SA"/>
        </w:rPr>
      </w:sdtEndPr>
      <w:sdtContent>
        <w:p w14:paraId="056AD1C2">
          <w:pPr>
            <w:keepNext w:val="0"/>
            <w:keepLines w:val="0"/>
            <w:pageBreakBefore w:val="0"/>
            <w:widowControl w:val="0"/>
            <w:kinsoku/>
            <w:wordWrap/>
            <w:overflowPunct/>
            <w:topLinePunct w:val="0"/>
            <w:autoSpaceDE/>
            <w:autoSpaceDN/>
            <w:bidi w:val="0"/>
            <w:adjustRightInd/>
            <w:snapToGrid/>
            <w:spacing w:before="0" w:beforeLines="0" w:after="0" w:afterLines="0" w:line="480" w:lineRule="auto"/>
            <w:ind w:left="0" w:leftChars="0" w:right="0" w:rightChars="0" w:firstLine="0" w:firstLineChars="0"/>
            <w:jc w:val="center"/>
            <w:textAlignment w:val="auto"/>
            <w:rPr>
              <w:rFonts w:hint="eastAsia" w:ascii="黑体" w:hAnsi="黑体" w:eastAsia="黑体" w:cs="黑体"/>
              <w:color w:val="auto"/>
              <w:sz w:val="48"/>
              <w:szCs w:val="48"/>
              <w:highlight w:val="none"/>
            </w:rPr>
          </w:pPr>
          <w:r>
            <w:rPr>
              <w:rFonts w:hint="eastAsia" w:ascii="黑体" w:hAnsi="黑体" w:eastAsia="黑体" w:cs="黑体"/>
              <w:color w:val="auto"/>
              <w:sz w:val="48"/>
              <w:szCs w:val="48"/>
              <w:highlight w:val="none"/>
            </w:rPr>
            <w:t>目</w:t>
          </w:r>
          <w:r>
            <w:rPr>
              <w:rFonts w:hint="eastAsia" w:ascii="黑体" w:hAnsi="黑体" w:eastAsia="黑体" w:cs="黑体"/>
              <w:color w:val="auto"/>
              <w:sz w:val="48"/>
              <w:szCs w:val="48"/>
              <w:highlight w:val="none"/>
              <w:lang w:val="en-US" w:eastAsia="zh-CN"/>
            </w:rPr>
            <w:t xml:space="preserve">  </w:t>
          </w:r>
          <w:r>
            <w:rPr>
              <w:rFonts w:hint="eastAsia" w:ascii="黑体" w:hAnsi="黑体" w:eastAsia="黑体" w:cs="黑体"/>
              <w:color w:val="auto"/>
              <w:sz w:val="48"/>
              <w:szCs w:val="48"/>
              <w:highlight w:val="none"/>
            </w:rPr>
            <w:t>录</w:t>
          </w:r>
        </w:p>
        <w:p w14:paraId="6CE82D26">
          <w:pPr>
            <w:pStyle w:val="13"/>
            <w:keepNext w:val="0"/>
            <w:keepLines w:val="0"/>
            <w:pageBreakBefore w:val="0"/>
            <w:widowControl w:val="0"/>
            <w:tabs>
              <w:tab w:val="right" w:leader="dot" w:pos="8689"/>
            </w:tabs>
            <w:kinsoku/>
            <w:wordWrap/>
            <w:overflowPunct/>
            <w:topLinePunct w:val="0"/>
            <w:autoSpaceDE/>
            <w:autoSpaceDN/>
            <w:bidi w:val="0"/>
            <w:adjustRightInd/>
            <w:snapToGrid/>
            <w:spacing w:line="480" w:lineRule="auto"/>
            <w:textAlignment w:val="auto"/>
            <w:rPr>
              <w:rFonts w:ascii="仿宋_GB2312" w:hAnsi="仿宋_GB2312" w:eastAsia="仿宋_GB2312" w:cs="仿宋_GB2312"/>
              <w:color w:val="auto"/>
              <w:sz w:val="32"/>
              <w:szCs w:val="32"/>
              <w:highlight w:val="none"/>
            </w:rPr>
          </w:pPr>
        </w:p>
        <w:p w14:paraId="322CA400">
          <w:pPr>
            <w:pStyle w:val="13"/>
            <w:keepNext w:val="0"/>
            <w:keepLines w:val="0"/>
            <w:pageBreakBefore w:val="0"/>
            <w:widowControl w:val="0"/>
            <w:tabs>
              <w:tab w:val="right" w:leader="dot" w:pos="8689"/>
            </w:tabs>
            <w:kinsoku/>
            <w:wordWrap/>
            <w:overflowPunct/>
            <w:topLinePunct w:val="0"/>
            <w:autoSpaceDE/>
            <w:autoSpaceDN/>
            <w:bidi w:val="0"/>
            <w:adjustRightInd/>
            <w:snapToGrid/>
            <w:spacing w:before="157" w:beforeLines="50"/>
            <w:textAlignment w:val="auto"/>
            <w:rPr>
              <w:sz w:val="30"/>
              <w:szCs w:val="30"/>
            </w:rPr>
          </w:pPr>
          <w:r>
            <w:rPr>
              <w:rFonts w:ascii="仿宋_GB2312" w:hAnsi="仿宋_GB2312" w:eastAsia="仿宋_GB2312" w:cs="仿宋_GB2312"/>
              <w:color w:val="auto"/>
              <w:sz w:val="32"/>
              <w:szCs w:val="32"/>
              <w:highlight w:val="none"/>
            </w:rPr>
            <w:fldChar w:fldCharType="begin"/>
          </w:r>
          <w:r>
            <w:rPr>
              <w:rFonts w:ascii="仿宋_GB2312" w:hAnsi="仿宋_GB2312" w:eastAsia="仿宋_GB2312" w:cs="仿宋_GB2312"/>
              <w:color w:val="auto"/>
              <w:sz w:val="32"/>
              <w:szCs w:val="32"/>
              <w:highlight w:val="none"/>
            </w:rPr>
            <w:instrText xml:space="preserve">TOC \o "1-3" \h \u </w:instrText>
          </w:r>
          <w:r>
            <w:rPr>
              <w:rFonts w:ascii="仿宋_GB2312" w:hAnsi="仿宋_GB2312" w:eastAsia="仿宋_GB2312" w:cs="仿宋_GB2312"/>
              <w:color w:val="auto"/>
              <w:sz w:val="32"/>
              <w:szCs w:val="32"/>
              <w:highlight w:val="none"/>
            </w:rPr>
            <w:fldChar w:fldCharType="separate"/>
          </w:r>
          <w:r>
            <w:rPr>
              <w:rFonts w:ascii="仿宋_GB2312" w:hAnsi="仿宋_GB2312" w:eastAsia="仿宋_GB2312" w:cs="仿宋_GB2312"/>
              <w:color w:val="auto"/>
              <w:sz w:val="30"/>
              <w:szCs w:val="30"/>
              <w:highlight w:val="none"/>
            </w:rPr>
            <w:fldChar w:fldCharType="begin"/>
          </w:r>
          <w:r>
            <w:rPr>
              <w:rFonts w:ascii="仿宋_GB2312" w:hAnsi="仿宋_GB2312" w:eastAsia="仿宋_GB2312" w:cs="仿宋_GB2312"/>
              <w:sz w:val="30"/>
              <w:szCs w:val="30"/>
              <w:highlight w:val="none"/>
            </w:rPr>
            <w:instrText xml:space="preserve"> HYPERLINK \l _Toc20185 </w:instrText>
          </w:r>
          <w:r>
            <w:rPr>
              <w:rFonts w:ascii="仿宋_GB2312" w:hAnsi="仿宋_GB2312" w:eastAsia="仿宋_GB2312" w:cs="仿宋_GB2312"/>
              <w:sz w:val="30"/>
              <w:szCs w:val="30"/>
              <w:highlight w:val="none"/>
            </w:rPr>
            <w:fldChar w:fldCharType="separate"/>
          </w:r>
          <w:r>
            <w:rPr>
              <w:rFonts w:hint="eastAsia" w:ascii="黑体" w:hAnsi="黑体" w:eastAsia="黑体"/>
              <w:sz w:val="30"/>
              <w:szCs w:val="30"/>
              <w:highlight w:val="none"/>
            </w:rPr>
            <w:t>第一章  规划背景</w:t>
          </w:r>
          <w:r>
            <w:rPr>
              <w:sz w:val="30"/>
              <w:szCs w:val="30"/>
            </w:rPr>
            <w:tab/>
          </w:r>
          <w:r>
            <w:rPr>
              <w:sz w:val="30"/>
              <w:szCs w:val="30"/>
            </w:rPr>
            <w:fldChar w:fldCharType="begin"/>
          </w:r>
          <w:r>
            <w:rPr>
              <w:sz w:val="30"/>
              <w:szCs w:val="30"/>
            </w:rPr>
            <w:instrText xml:space="preserve"> PAGEREF _Toc20185 \h </w:instrText>
          </w:r>
          <w:r>
            <w:rPr>
              <w:sz w:val="30"/>
              <w:szCs w:val="30"/>
            </w:rPr>
            <w:fldChar w:fldCharType="separate"/>
          </w:r>
          <w:r>
            <w:rPr>
              <w:sz w:val="30"/>
              <w:szCs w:val="30"/>
            </w:rPr>
            <w:t>1</w:t>
          </w:r>
          <w:r>
            <w:rPr>
              <w:sz w:val="30"/>
              <w:szCs w:val="30"/>
            </w:rPr>
            <w:fldChar w:fldCharType="end"/>
          </w:r>
          <w:r>
            <w:rPr>
              <w:rFonts w:ascii="仿宋_GB2312" w:hAnsi="仿宋_GB2312" w:eastAsia="仿宋_GB2312" w:cs="仿宋_GB2312"/>
              <w:color w:val="auto"/>
              <w:sz w:val="30"/>
              <w:szCs w:val="30"/>
              <w:highlight w:val="none"/>
            </w:rPr>
            <w:fldChar w:fldCharType="end"/>
          </w:r>
        </w:p>
        <w:p w14:paraId="51D1DB6B">
          <w:pPr>
            <w:pStyle w:val="16"/>
            <w:keepNext w:val="0"/>
            <w:keepLines w:val="0"/>
            <w:pageBreakBefore w:val="0"/>
            <w:widowControl w:val="0"/>
            <w:tabs>
              <w:tab w:val="right" w:leader="dot" w:pos="8689"/>
            </w:tabs>
            <w:kinsoku/>
            <w:wordWrap/>
            <w:overflowPunct/>
            <w:topLinePunct w:val="0"/>
            <w:autoSpaceDE/>
            <w:autoSpaceDN/>
            <w:bidi w:val="0"/>
            <w:adjustRightInd/>
            <w:snapToGrid/>
            <w:spacing w:before="157" w:beforeLines="50"/>
            <w:textAlignment w:val="auto"/>
            <w:rPr>
              <w:sz w:val="30"/>
              <w:szCs w:val="30"/>
            </w:rPr>
          </w:pPr>
          <w:r>
            <w:rPr>
              <w:rFonts w:ascii="仿宋_GB2312" w:hAnsi="仿宋_GB2312" w:eastAsia="仿宋_GB2312" w:cs="仿宋_GB2312"/>
              <w:color w:val="auto"/>
              <w:sz w:val="30"/>
              <w:szCs w:val="30"/>
              <w:highlight w:val="none"/>
            </w:rPr>
            <w:fldChar w:fldCharType="begin"/>
          </w:r>
          <w:r>
            <w:rPr>
              <w:rFonts w:ascii="仿宋_GB2312" w:hAnsi="仿宋_GB2312" w:eastAsia="仿宋_GB2312" w:cs="仿宋_GB2312"/>
              <w:sz w:val="30"/>
              <w:szCs w:val="30"/>
              <w:highlight w:val="none"/>
            </w:rPr>
            <w:instrText xml:space="preserve"> HYPERLINK \l _Toc779 </w:instrText>
          </w:r>
          <w:r>
            <w:rPr>
              <w:rFonts w:ascii="仿宋_GB2312" w:hAnsi="仿宋_GB2312" w:eastAsia="仿宋_GB2312" w:cs="仿宋_GB2312"/>
              <w:sz w:val="30"/>
              <w:szCs w:val="30"/>
              <w:highlight w:val="none"/>
            </w:rPr>
            <w:fldChar w:fldCharType="separate"/>
          </w:r>
          <w:r>
            <w:rPr>
              <w:rFonts w:hint="eastAsia" w:ascii="黑体" w:hAnsi="黑体" w:eastAsia="黑体" w:cs="黑体"/>
              <w:sz w:val="30"/>
              <w:szCs w:val="30"/>
              <w:highlight w:val="none"/>
            </w:rPr>
            <w:t>一、发展基础</w:t>
          </w:r>
          <w:r>
            <w:rPr>
              <w:sz w:val="30"/>
              <w:szCs w:val="30"/>
            </w:rPr>
            <w:tab/>
          </w:r>
          <w:r>
            <w:rPr>
              <w:sz w:val="30"/>
              <w:szCs w:val="30"/>
            </w:rPr>
            <w:fldChar w:fldCharType="begin"/>
          </w:r>
          <w:r>
            <w:rPr>
              <w:sz w:val="30"/>
              <w:szCs w:val="30"/>
            </w:rPr>
            <w:instrText xml:space="preserve"> PAGEREF _Toc779 \h </w:instrText>
          </w:r>
          <w:r>
            <w:rPr>
              <w:sz w:val="30"/>
              <w:szCs w:val="30"/>
            </w:rPr>
            <w:fldChar w:fldCharType="separate"/>
          </w:r>
          <w:r>
            <w:rPr>
              <w:sz w:val="30"/>
              <w:szCs w:val="30"/>
            </w:rPr>
            <w:t>1</w:t>
          </w:r>
          <w:r>
            <w:rPr>
              <w:sz w:val="30"/>
              <w:szCs w:val="30"/>
            </w:rPr>
            <w:fldChar w:fldCharType="end"/>
          </w:r>
          <w:r>
            <w:rPr>
              <w:rFonts w:ascii="仿宋_GB2312" w:hAnsi="仿宋_GB2312" w:eastAsia="仿宋_GB2312" w:cs="仿宋_GB2312"/>
              <w:color w:val="auto"/>
              <w:sz w:val="30"/>
              <w:szCs w:val="30"/>
              <w:highlight w:val="none"/>
            </w:rPr>
            <w:fldChar w:fldCharType="end"/>
          </w:r>
        </w:p>
        <w:p w14:paraId="75C51DDA">
          <w:pPr>
            <w:pStyle w:val="9"/>
            <w:keepNext w:val="0"/>
            <w:keepLines w:val="0"/>
            <w:pageBreakBefore w:val="0"/>
            <w:widowControl w:val="0"/>
            <w:tabs>
              <w:tab w:val="right" w:leader="dot" w:pos="8689"/>
            </w:tabs>
            <w:kinsoku/>
            <w:wordWrap/>
            <w:overflowPunct/>
            <w:topLinePunct w:val="0"/>
            <w:autoSpaceDE/>
            <w:autoSpaceDN/>
            <w:bidi w:val="0"/>
            <w:adjustRightInd/>
            <w:snapToGrid/>
            <w:spacing w:before="157" w:beforeLines="50"/>
            <w:textAlignment w:val="auto"/>
            <w:rPr>
              <w:sz w:val="30"/>
              <w:szCs w:val="30"/>
            </w:rPr>
          </w:pPr>
          <w:r>
            <w:rPr>
              <w:rFonts w:ascii="仿宋_GB2312" w:hAnsi="仿宋_GB2312" w:eastAsia="仿宋_GB2312" w:cs="仿宋_GB2312"/>
              <w:color w:val="auto"/>
              <w:sz w:val="30"/>
              <w:szCs w:val="30"/>
              <w:highlight w:val="none"/>
            </w:rPr>
            <w:fldChar w:fldCharType="begin"/>
          </w:r>
          <w:r>
            <w:rPr>
              <w:rFonts w:ascii="仿宋_GB2312" w:hAnsi="仿宋_GB2312" w:eastAsia="仿宋_GB2312" w:cs="仿宋_GB2312"/>
              <w:sz w:val="30"/>
              <w:szCs w:val="30"/>
              <w:highlight w:val="none"/>
            </w:rPr>
            <w:instrText xml:space="preserve"> HYPERLINK \l _Toc7217 </w:instrText>
          </w:r>
          <w:r>
            <w:rPr>
              <w:rFonts w:ascii="仿宋_GB2312" w:hAnsi="仿宋_GB2312" w:eastAsia="仿宋_GB2312" w:cs="仿宋_GB2312"/>
              <w:sz w:val="30"/>
              <w:szCs w:val="30"/>
              <w:highlight w:val="none"/>
            </w:rPr>
            <w:fldChar w:fldCharType="separate"/>
          </w:r>
          <w:r>
            <w:rPr>
              <w:rFonts w:hint="eastAsia" w:ascii="华文中宋" w:hAnsi="华文中宋" w:eastAsia="华文中宋" w:cs="华文中宋"/>
              <w:sz w:val="30"/>
              <w:szCs w:val="30"/>
              <w:highlight w:val="none"/>
            </w:rPr>
            <w:t>（一）基本民生保障</w:t>
          </w:r>
          <w:r>
            <w:rPr>
              <w:rFonts w:hint="eastAsia" w:ascii="华文中宋" w:hAnsi="华文中宋" w:eastAsia="华文中宋" w:cs="华文中宋"/>
              <w:sz w:val="30"/>
              <w:szCs w:val="30"/>
              <w:highlight w:val="none"/>
              <w:lang w:eastAsia="zh-CN"/>
            </w:rPr>
            <w:t>水平显著提升</w:t>
          </w:r>
          <w:r>
            <w:rPr>
              <w:sz w:val="30"/>
              <w:szCs w:val="30"/>
            </w:rPr>
            <w:tab/>
          </w:r>
          <w:r>
            <w:rPr>
              <w:sz w:val="30"/>
              <w:szCs w:val="30"/>
            </w:rPr>
            <w:fldChar w:fldCharType="begin"/>
          </w:r>
          <w:r>
            <w:rPr>
              <w:sz w:val="30"/>
              <w:szCs w:val="30"/>
            </w:rPr>
            <w:instrText xml:space="preserve"> PAGEREF _Toc7217 \h </w:instrText>
          </w:r>
          <w:r>
            <w:rPr>
              <w:sz w:val="30"/>
              <w:szCs w:val="30"/>
            </w:rPr>
            <w:fldChar w:fldCharType="separate"/>
          </w:r>
          <w:r>
            <w:rPr>
              <w:sz w:val="30"/>
              <w:szCs w:val="30"/>
            </w:rPr>
            <w:t>1</w:t>
          </w:r>
          <w:r>
            <w:rPr>
              <w:sz w:val="30"/>
              <w:szCs w:val="30"/>
            </w:rPr>
            <w:fldChar w:fldCharType="end"/>
          </w:r>
          <w:r>
            <w:rPr>
              <w:rFonts w:ascii="仿宋_GB2312" w:hAnsi="仿宋_GB2312" w:eastAsia="仿宋_GB2312" w:cs="仿宋_GB2312"/>
              <w:color w:val="auto"/>
              <w:sz w:val="30"/>
              <w:szCs w:val="30"/>
              <w:highlight w:val="none"/>
            </w:rPr>
            <w:fldChar w:fldCharType="end"/>
          </w:r>
        </w:p>
        <w:p w14:paraId="398A5025">
          <w:pPr>
            <w:pStyle w:val="9"/>
            <w:keepNext w:val="0"/>
            <w:keepLines w:val="0"/>
            <w:pageBreakBefore w:val="0"/>
            <w:widowControl w:val="0"/>
            <w:tabs>
              <w:tab w:val="right" w:leader="dot" w:pos="8689"/>
            </w:tabs>
            <w:kinsoku/>
            <w:wordWrap/>
            <w:overflowPunct/>
            <w:topLinePunct w:val="0"/>
            <w:autoSpaceDE/>
            <w:autoSpaceDN/>
            <w:bidi w:val="0"/>
            <w:adjustRightInd/>
            <w:snapToGrid/>
            <w:spacing w:before="157" w:beforeLines="50"/>
            <w:textAlignment w:val="auto"/>
            <w:rPr>
              <w:sz w:val="30"/>
              <w:szCs w:val="30"/>
            </w:rPr>
          </w:pPr>
          <w:r>
            <w:rPr>
              <w:rFonts w:ascii="仿宋_GB2312" w:hAnsi="仿宋_GB2312" w:eastAsia="仿宋_GB2312" w:cs="仿宋_GB2312"/>
              <w:color w:val="auto"/>
              <w:sz w:val="30"/>
              <w:szCs w:val="30"/>
              <w:highlight w:val="none"/>
            </w:rPr>
            <w:fldChar w:fldCharType="begin"/>
          </w:r>
          <w:r>
            <w:rPr>
              <w:rFonts w:ascii="仿宋_GB2312" w:hAnsi="仿宋_GB2312" w:eastAsia="仿宋_GB2312" w:cs="仿宋_GB2312"/>
              <w:sz w:val="30"/>
              <w:szCs w:val="30"/>
              <w:highlight w:val="none"/>
            </w:rPr>
            <w:instrText xml:space="preserve"> HYPERLINK \l _Toc1402 </w:instrText>
          </w:r>
          <w:r>
            <w:rPr>
              <w:rFonts w:ascii="仿宋_GB2312" w:hAnsi="仿宋_GB2312" w:eastAsia="仿宋_GB2312" w:cs="仿宋_GB2312"/>
              <w:sz w:val="30"/>
              <w:szCs w:val="30"/>
              <w:highlight w:val="none"/>
            </w:rPr>
            <w:fldChar w:fldCharType="separate"/>
          </w:r>
          <w:r>
            <w:rPr>
              <w:rFonts w:hint="eastAsia" w:ascii="华文中宋" w:hAnsi="华文中宋" w:eastAsia="华文中宋" w:cs="华文中宋"/>
              <w:sz w:val="30"/>
              <w:szCs w:val="30"/>
              <w:highlight w:val="none"/>
            </w:rPr>
            <w:t>（二）</w:t>
          </w:r>
          <w:r>
            <w:rPr>
              <w:rFonts w:hint="eastAsia" w:ascii="华文中宋" w:hAnsi="华文中宋" w:eastAsia="华文中宋" w:cs="华文中宋"/>
              <w:sz w:val="30"/>
              <w:szCs w:val="30"/>
              <w:highlight w:val="none"/>
              <w:lang w:val="en-US" w:eastAsia="zh-CN"/>
            </w:rPr>
            <w:t>老龄工作和</w:t>
          </w:r>
          <w:r>
            <w:rPr>
              <w:rFonts w:hint="eastAsia" w:ascii="华文中宋" w:hAnsi="华文中宋" w:eastAsia="华文中宋" w:cs="华文中宋"/>
              <w:sz w:val="30"/>
              <w:szCs w:val="30"/>
              <w:highlight w:val="none"/>
            </w:rPr>
            <w:t>养老服务体系</w:t>
          </w:r>
          <w:r>
            <w:rPr>
              <w:rFonts w:hint="eastAsia" w:ascii="华文中宋" w:hAnsi="华文中宋" w:eastAsia="华文中宋" w:cs="华文中宋"/>
              <w:sz w:val="30"/>
              <w:szCs w:val="30"/>
              <w:highlight w:val="none"/>
              <w:lang w:val="en-US" w:eastAsia="zh-CN"/>
            </w:rPr>
            <w:t>逐步</w:t>
          </w:r>
          <w:r>
            <w:rPr>
              <w:rFonts w:hint="eastAsia" w:ascii="华文中宋" w:hAnsi="华文中宋" w:eastAsia="华文中宋" w:cs="华文中宋"/>
              <w:sz w:val="30"/>
              <w:szCs w:val="30"/>
              <w:highlight w:val="none"/>
            </w:rPr>
            <w:t>完善</w:t>
          </w:r>
          <w:r>
            <w:rPr>
              <w:sz w:val="30"/>
              <w:szCs w:val="30"/>
            </w:rPr>
            <w:tab/>
          </w:r>
          <w:r>
            <w:rPr>
              <w:sz w:val="30"/>
              <w:szCs w:val="30"/>
            </w:rPr>
            <w:fldChar w:fldCharType="begin"/>
          </w:r>
          <w:r>
            <w:rPr>
              <w:sz w:val="30"/>
              <w:szCs w:val="30"/>
            </w:rPr>
            <w:instrText xml:space="preserve"> PAGEREF _Toc1402 \h </w:instrText>
          </w:r>
          <w:r>
            <w:rPr>
              <w:sz w:val="30"/>
              <w:szCs w:val="30"/>
            </w:rPr>
            <w:fldChar w:fldCharType="separate"/>
          </w:r>
          <w:r>
            <w:rPr>
              <w:sz w:val="30"/>
              <w:szCs w:val="30"/>
            </w:rPr>
            <w:t>4</w:t>
          </w:r>
          <w:r>
            <w:rPr>
              <w:sz w:val="30"/>
              <w:szCs w:val="30"/>
            </w:rPr>
            <w:fldChar w:fldCharType="end"/>
          </w:r>
          <w:r>
            <w:rPr>
              <w:rFonts w:ascii="仿宋_GB2312" w:hAnsi="仿宋_GB2312" w:eastAsia="仿宋_GB2312" w:cs="仿宋_GB2312"/>
              <w:color w:val="auto"/>
              <w:sz w:val="30"/>
              <w:szCs w:val="30"/>
              <w:highlight w:val="none"/>
            </w:rPr>
            <w:fldChar w:fldCharType="end"/>
          </w:r>
        </w:p>
        <w:p w14:paraId="1BB23C2B">
          <w:pPr>
            <w:pStyle w:val="9"/>
            <w:keepNext w:val="0"/>
            <w:keepLines w:val="0"/>
            <w:pageBreakBefore w:val="0"/>
            <w:widowControl w:val="0"/>
            <w:tabs>
              <w:tab w:val="right" w:leader="dot" w:pos="8689"/>
            </w:tabs>
            <w:kinsoku/>
            <w:wordWrap/>
            <w:overflowPunct/>
            <w:topLinePunct w:val="0"/>
            <w:autoSpaceDE/>
            <w:autoSpaceDN/>
            <w:bidi w:val="0"/>
            <w:adjustRightInd/>
            <w:snapToGrid/>
            <w:spacing w:before="157" w:beforeLines="50"/>
            <w:textAlignment w:val="auto"/>
            <w:rPr>
              <w:sz w:val="30"/>
              <w:szCs w:val="30"/>
            </w:rPr>
          </w:pPr>
          <w:r>
            <w:rPr>
              <w:rFonts w:ascii="仿宋_GB2312" w:hAnsi="仿宋_GB2312" w:eastAsia="仿宋_GB2312" w:cs="仿宋_GB2312"/>
              <w:color w:val="auto"/>
              <w:sz w:val="30"/>
              <w:szCs w:val="30"/>
              <w:highlight w:val="none"/>
            </w:rPr>
            <w:fldChar w:fldCharType="begin"/>
          </w:r>
          <w:r>
            <w:rPr>
              <w:rFonts w:ascii="仿宋_GB2312" w:hAnsi="仿宋_GB2312" w:eastAsia="仿宋_GB2312" w:cs="仿宋_GB2312"/>
              <w:sz w:val="30"/>
              <w:szCs w:val="30"/>
              <w:highlight w:val="none"/>
            </w:rPr>
            <w:instrText xml:space="preserve"> HYPERLINK \l _Toc27040 </w:instrText>
          </w:r>
          <w:r>
            <w:rPr>
              <w:rFonts w:ascii="仿宋_GB2312" w:hAnsi="仿宋_GB2312" w:eastAsia="仿宋_GB2312" w:cs="仿宋_GB2312"/>
              <w:sz w:val="30"/>
              <w:szCs w:val="30"/>
              <w:highlight w:val="none"/>
            </w:rPr>
            <w:fldChar w:fldCharType="separate"/>
          </w:r>
          <w:r>
            <w:rPr>
              <w:rFonts w:hint="eastAsia" w:ascii="华文中宋" w:hAnsi="华文中宋" w:eastAsia="华文中宋" w:cs="华文中宋"/>
              <w:sz w:val="30"/>
              <w:szCs w:val="30"/>
              <w:highlight w:val="none"/>
            </w:rPr>
            <w:t>（三）基层社会治理创新推进</w:t>
          </w:r>
          <w:r>
            <w:rPr>
              <w:sz w:val="30"/>
              <w:szCs w:val="30"/>
            </w:rPr>
            <w:tab/>
          </w:r>
          <w:r>
            <w:rPr>
              <w:sz w:val="30"/>
              <w:szCs w:val="30"/>
            </w:rPr>
            <w:fldChar w:fldCharType="begin"/>
          </w:r>
          <w:r>
            <w:rPr>
              <w:sz w:val="30"/>
              <w:szCs w:val="30"/>
            </w:rPr>
            <w:instrText xml:space="preserve"> PAGEREF _Toc27040 \h </w:instrText>
          </w:r>
          <w:r>
            <w:rPr>
              <w:sz w:val="30"/>
              <w:szCs w:val="30"/>
            </w:rPr>
            <w:fldChar w:fldCharType="separate"/>
          </w:r>
          <w:r>
            <w:rPr>
              <w:sz w:val="30"/>
              <w:szCs w:val="30"/>
            </w:rPr>
            <w:t>6</w:t>
          </w:r>
          <w:r>
            <w:rPr>
              <w:sz w:val="30"/>
              <w:szCs w:val="30"/>
            </w:rPr>
            <w:fldChar w:fldCharType="end"/>
          </w:r>
          <w:r>
            <w:rPr>
              <w:rFonts w:ascii="仿宋_GB2312" w:hAnsi="仿宋_GB2312" w:eastAsia="仿宋_GB2312" w:cs="仿宋_GB2312"/>
              <w:color w:val="auto"/>
              <w:sz w:val="30"/>
              <w:szCs w:val="30"/>
              <w:highlight w:val="none"/>
            </w:rPr>
            <w:fldChar w:fldCharType="end"/>
          </w:r>
        </w:p>
        <w:p w14:paraId="7D026648">
          <w:pPr>
            <w:pStyle w:val="9"/>
            <w:keepNext w:val="0"/>
            <w:keepLines w:val="0"/>
            <w:pageBreakBefore w:val="0"/>
            <w:widowControl w:val="0"/>
            <w:tabs>
              <w:tab w:val="right" w:leader="dot" w:pos="8689"/>
            </w:tabs>
            <w:kinsoku/>
            <w:wordWrap/>
            <w:overflowPunct/>
            <w:topLinePunct w:val="0"/>
            <w:autoSpaceDE/>
            <w:autoSpaceDN/>
            <w:bidi w:val="0"/>
            <w:adjustRightInd/>
            <w:snapToGrid/>
            <w:spacing w:before="157" w:beforeLines="50"/>
            <w:textAlignment w:val="auto"/>
            <w:rPr>
              <w:sz w:val="30"/>
              <w:szCs w:val="30"/>
            </w:rPr>
          </w:pPr>
          <w:r>
            <w:rPr>
              <w:rFonts w:ascii="仿宋_GB2312" w:hAnsi="仿宋_GB2312" w:eastAsia="仿宋_GB2312" w:cs="仿宋_GB2312"/>
              <w:color w:val="auto"/>
              <w:sz w:val="30"/>
              <w:szCs w:val="30"/>
              <w:highlight w:val="none"/>
            </w:rPr>
            <w:fldChar w:fldCharType="begin"/>
          </w:r>
          <w:r>
            <w:rPr>
              <w:rFonts w:ascii="仿宋_GB2312" w:hAnsi="仿宋_GB2312" w:eastAsia="仿宋_GB2312" w:cs="仿宋_GB2312"/>
              <w:sz w:val="30"/>
              <w:szCs w:val="30"/>
              <w:highlight w:val="none"/>
            </w:rPr>
            <w:instrText xml:space="preserve"> HYPERLINK \l _Toc25239 </w:instrText>
          </w:r>
          <w:r>
            <w:rPr>
              <w:rFonts w:ascii="仿宋_GB2312" w:hAnsi="仿宋_GB2312" w:eastAsia="仿宋_GB2312" w:cs="仿宋_GB2312"/>
              <w:sz w:val="30"/>
              <w:szCs w:val="30"/>
              <w:highlight w:val="none"/>
            </w:rPr>
            <w:fldChar w:fldCharType="separate"/>
          </w:r>
          <w:r>
            <w:rPr>
              <w:rFonts w:hint="eastAsia" w:ascii="华文中宋" w:hAnsi="华文中宋" w:eastAsia="华文中宋" w:cs="华文中宋"/>
              <w:sz w:val="30"/>
              <w:szCs w:val="30"/>
              <w:highlight w:val="none"/>
              <w:lang w:val="en-US" w:eastAsia="zh-CN"/>
            </w:rPr>
            <w:t>（四）基本社会事务优化升级</w:t>
          </w:r>
          <w:r>
            <w:rPr>
              <w:sz w:val="30"/>
              <w:szCs w:val="30"/>
            </w:rPr>
            <w:tab/>
          </w:r>
          <w:r>
            <w:rPr>
              <w:sz w:val="30"/>
              <w:szCs w:val="30"/>
            </w:rPr>
            <w:fldChar w:fldCharType="begin"/>
          </w:r>
          <w:r>
            <w:rPr>
              <w:sz w:val="30"/>
              <w:szCs w:val="30"/>
            </w:rPr>
            <w:instrText xml:space="preserve"> PAGEREF _Toc25239 \h </w:instrText>
          </w:r>
          <w:r>
            <w:rPr>
              <w:sz w:val="30"/>
              <w:szCs w:val="30"/>
            </w:rPr>
            <w:fldChar w:fldCharType="separate"/>
          </w:r>
          <w:r>
            <w:rPr>
              <w:sz w:val="30"/>
              <w:szCs w:val="30"/>
            </w:rPr>
            <w:t>7</w:t>
          </w:r>
          <w:r>
            <w:rPr>
              <w:sz w:val="30"/>
              <w:szCs w:val="30"/>
            </w:rPr>
            <w:fldChar w:fldCharType="end"/>
          </w:r>
          <w:r>
            <w:rPr>
              <w:rFonts w:ascii="仿宋_GB2312" w:hAnsi="仿宋_GB2312" w:eastAsia="仿宋_GB2312" w:cs="仿宋_GB2312"/>
              <w:color w:val="auto"/>
              <w:sz w:val="30"/>
              <w:szCs w:val="30"/>
              <w:highlight w:val="none"/>
            </w:rPr>
            <w:fldChar w:fldCharType="end"/>
          </w:r>
        </w:p>
        <w:p w14:paraId="13CDF504">
          <w:pPr>
            <w:pStyle w:val="16"/>
            <w:keepNext w:val="0"/>
            <w:keepLines w:val="0"/>
            <w:pageBreakBefore w:val="0"/>
            <w:widowControl w:val="0"/>
            <w:tabs>
              <w:tab w:val="right" w:leader="dot" w:pos="8689"/>
            </w:tabs>
            <w:kinsoku/>
            <w:wordWrap/>
            <w:overflowPunct/>
            <w:topLinePunct w:val="0"/>
            <w:autoSpaceDE/>
            <w:autoSpaceDN/>
            <w:bidi w:val="0"/>
            <w:adjustRightInd/>
            <w:snapToGrid/>
            <w:spacing w:before="157" w:beforeLines="50"/>
            <w:textAlignment w:val="auto"/>
            <w:rPr>
              <w:sz w:val="30"/>
              <w:szCs w:val="30"/>
            </w:rPr>
          </w:pPr>
          <w:r>
            <w:rPr>
              <w:rFonts w:ascii="仿宋_GB2312" w:hAnsi="仿宋_GB2312" w:eastAsia="仿宋_GB2312" w:cs="仿宋_GB2312"/>
              <w:color w:val="auto"/>
              <w:sz w:val="30"/>
              <w:szCs w:val="30"/>
              <w:highlight w:val="none"/>
            </w:rPr>
            <w:fldChar w:fldCharType="begin"/>
          </w:r>
          <w:r>
            <w:rPr>
              <w:rFonts w:ascii="仿宋_GB2312" w:hAnsi="仿宋_GB2312" w:eastAsia="仿宋_GB2312" w:cs="仿宋_GB2312"/>
              <w:sz w:val="30"/>
              <w:szCs w:val="30"/>
              <w:highlight w:val="none"/>
            </w:rPr>
            <w:instrText xml:space="preserve"> HYPERLINK \l _Toc14124 </w:instrText>
          </w:r>
          <w:r>
            <w:rPr>
              <w:rFonts w:ascii="仿宋_GB2312" w:hAnsi="仿宋_GB2312" w:eastAsia="仿宋_GB2312" w:cs="仿宋_GB2312"/>
              <w:sz w:val="30"/>
              <w:szCs w:val="30"/>
              <w:highlight w:val="none"/>
            </w:rPr>
            <w:fldChar w:fldCharType="separate"/>
          </w:r>
          <w:r>
            <w:rPr>
              <w:rFonts w:hint="eastAsia" w:ascii="黑体" w:hAnsi="黑体" w:eastAsia="黑体" w:cs="黑体"/>
              <w:sz w:val="30"/>
              <w:szCs w:val="30"/>
              <w:highlight w:val="none"/>
            </w:rPr>
            <w:t>二、发展趋势</w:t>
          </w:r>
          <w:r>
            <w:rPr>
              <w:sz w:val="30"/>
              <w:szCs w:val="30"/>
            </w:rPr>
            <w:tab/>
          </w:r>
          <w:r>
            <w:rPr>
              <w:sz w:val="30"/>
              <w:szCs w:val="30"/>
            </w:rPr>
            <w:fldChar w:fldCharType="begin"/>
          </w:r>
          <w:r>
            <w:rPr>
              <w:sz w:val="30"/>
              <w:szCs w:val="30"/>
            </w:rPr>
            <w:instrText xml:space="preserve"> PAGEREF _Toc14124 \h </w:instrText>
          </w:r>
          <w:r>
            <w:rPr>
              <w:sz w:val="30"/>
              <w:szCs w:val="30"/>
            </w:rPr>
            <w:fldChar w:fldCharType="separate"/>
          </w:r>
          <w:r>
            <w:rPr>
              <w:sz w:val="30"/>
              <w:szCs w:val="30"/>
            </w:rPr>
            <w:t>8</w:t>
          </w:r>
          <w:r>
            <w:rPr>
              <w:sz w:val="30"/>
              <w:szCs w:val="30"/>
            </w:rPr>
            <w:fldChar w:fldCharType="end"/>
          </w:r>
          <w:r>
            <w:rPr>
              <w:rFonts w:ascii="仿宋_GB2312" w:hAnsi="仿宋_GB2312" w:eastAsia="仿宋_GB2312" w:cs="仿宋_GB2312"/>
              <w:color w:val="auto"/>
              <w:sz w:val="30"/>
              <w:szCs w:val="30"/>
              <w:highlight w:val="none"/>
            </w:rPr>
            <w:fldChar w:fldCharType="end"/>
          </w:r>
        </w:p>
        <w:p w14:paraId="68B48AD8">
          <w:pPr>
            <w:pStyle w:val="9"/>
            <w:keepNext w:val="0"/>
            <w:keepLines w:val="0"/>
            <w:pageBreakBefore w:val="0"/>
            <w:widowControl w:val="0"/>
            <w:tabs>
              <w:tab w:val="right" w:leader="dot" w:pos="8689"/>
            </w:tabs>
            <w:kinsoku/>
            <w:wordWrap/>
            <w:overflowPunct/>
            <w:topLinePunct w:val="0"/>
            <w:autoSpaceDE/>
            <w:autoSpaceDN/>
            <w:bidi w:val="0"/>
            <w:adjustRightInd/>
            <w:snapToGrid/>
            <w:spacing w:before="157" w:beforeLines="50"/>
            <w:textAlignment w:val="auto"/>
            <w:rPr>
              <w:sz w:val="30"/>
              <w:szCs w:val="30"/>
            </w:rPr>
          </w:pPr>
          <w:r>
            <w:rPr>
              <w:rFonts w:ascii="仿宋_GB2312" w:hAnsi="仿宋_GB2312" w:eastAsia="仿宋_GB2312" w:cs="仿宋_GB2312"/>
              <w:color w:val="auto"/>
              <w:sz w:val="30"/>
              <w:szCs w:val="30"/>
              <w:highlight w:val="none"/>
            </w:rPr>
            <w:fldChar w:fldCharType="begin"/>
          </w:r>
          <w:r>
            <w:rPr>
              <w:rFonts w:ascii="仿宋_GB2312" w:hAnsi="仿宋_GB2312" w:eastAsia="仿宋_GB2312" w:cs="仿宋_GB2312"/>
              <w:sz w:val="30"/>
              <w:szCs w:val="30"/>
              <w:highlight w:val="none"/>
            </w:rPr>
            <w:instrText xml:space="preserve"> HYPERLINK \l _Toc11254 </w:instrText>
          </w:r>
          <w:r>
            <w:rPr>
              <w:rFonts w:ascii="仿宋_GB2312" w:hAnsi="仿宋_GB2312" w:eastAsia="仿宋_GB2312" w:cs="仿宋_GB2312"/>
              <w:sz w:val="30"/>
              <w:szCs w:val="30"/>
              <w:highlight w:val="none"/>
            </w:rPr>
            <w:fldChar w:fldCharType="separate"/>
          </w:r>
          <w:r>
            <w:rPr>
              <w:rFonts w:hint="eastAsia" w:ascii="华文中宋" w:hAnsi="华文中宋" w:eastAsia="华文中宋" w:cs="华文中宋"/>
              <w:bCs w:val="0"/>
              <w:sz w:val="30"/>
              <w:szCs w:val="30"/>
              <w:highlight w:val="none"/>
            </w:rPr>
            <w:t>（一）主动顺应新形势</w:t>
          </w:r>
          <w:r>
            <w:rPr>
              <w:sz w:val="30"/>
              <w:szCs w:val="30"/>
            </w:rPr>
            <w:tab/>
          </w:r>
          <w:r>
            <w:rPr>
              <w:sz w:val="30"/>
              <w:szCs w:val="30"/>
            </w:rPr>
            <w:fldChar w:fldCharType="begin"/>
          </w:r>
          <w:r>
            <w:rPr>
              <w:sz w:val="30"/>
              <w:szCs w:val="30"/>
            </w:rPr>
            <w:instrText xml:space="preserve"> PAGEREF _Toc11254 \h </w:instrText>
          </w:r>
          <w:r>
            <w:rPr>
              <w:sz w:val="30"/>
              <w:szCs w:val="30"/>
            </w:rPr>
            <w:fldChar w:fldCharType="separate"/>
          </w:r>
          <w:r>
            <w:rPr>
              <w:sz w:val="30"/>
              <w:szCs w:val="30"/>
            </w:rPr>
            <w:t>8</w:t>
          </w:r>
          <w:r>
            <w:rPr>
              <w:sz w:val="30"/>
              <w:szCs w:val="30"/>
            </w:rPr>
            <w:fldChar w:fldCharType="end"/>
          </w:r>
          <w:r>
            <w:rPr>
              <w:rFonts w:ascii="仿宋_GB2312" w:hAnsi="仿宋_GB2312" w:eastAsia="仿宋_GB2312" w:cs="仿宋_GB2312"/>
              <w:color w:val="auto"/>
              <w:sz w:val="30"/>
              <w:szCs w:val="30"/>
              <w:highlight w:val="none"/>
            </w:rPr>
            <w:fldChar w:fldCharType="end"/>
          </w:r>
        </w:p>
        <w:p w14:paraId="227C77D7">
          <w:pPr>
            <w:pStyle w:val="9"/>
            <w:keepNext w:val="0"/>
            <w:keepLines w:val="0"/>
            <w:pageBreakBefore w:val="0"/>
            <w:widowControl w:val="0"/>
            <w:tabs>
              <w:tab w:val="right" w:leader="dot" w:pos="8689"/>
            </w:tabs>
            <w:kinsoku/>
            <w:wordWrap/>
            <w:overflowPunct/>
            <w:topLinePunct w:val="0"/>
            <w:autoSpaceDE/>
            <w:autoSpaceDN/>
            <w:bidi w:val="0"/>
            <w:adjustRightInd/>
            <w:snapToGrid/>
            <w:spacing w:before="157" w:beforeLines="50"/>
            <w:textAlignment w:val="auto"/>
            <w:rPr>
              <w:sz w:val="30"/>
              <w:szCs w:val="30"/>
            </w:rPr>
          </w:pPr>
          <w:r>
            <w:rPr>
              <w:rFonts w:ascii="仿宋_GB2312" w:hAnsi="仿宋_GB2312" w:eastAsia="仿宋_GB2312" w:cs="仿宋_GB2312"/>
              <w:color w:val="auto"/>
              <w:sz w:val="30"/>
              <w:szCs w:val="30"/>
              <w:highlight w:val="none"/>
            </w:rPr>
            <w:fldChar w:fldCharType="begin"/>
          </w:r>
          <w:r>
            <w:rPr>
              <w:rFonts w:ascii="仿宋_GB2312" w:hAnsi="仿宋_GB2312" w:eastAsia="仿宋_GB2312" w:cs="仿宋_GB2312"/>
              <w:sz w:val="30"/>
              <w:szCs w:val="30"/>
              <w:highlight w:val="none"/>
            </w:rPr>
            <w:instrText xml:space="preserve"> HYPERLINK \l _Toc9003 </w:instrText>
          </w:r>
          <w:r>
            <w:rPr>
              <w:rFonts w:ascii="仿宋_GB2312" w:hAnsi="仿宋_GB2312" w:eastAsia="仿宋_GB2312" w:cs="仿宋_GB2312"/>
              <w:sz w:val="30"/>
              <w:szCs w:val="30"/>
              <w:highlight w:val="none"/>
            </w:rPr>
            <w:fldChar w:fldCharType="separate"/>
          </w:r>
          <w:r>
            <w:rPr>
              <w:rFonts w:hint="eastAsia" w:ascii="华文中宋" w:hAnsi="华文中宋" w:eastAsia="华文中宋" w:cs="华文中宋"/>
              <w:sz w:val="30"/>
              <w:szCs w:val="30"/>
              <w:highlight w:val="none"/>
            </w:rPr>
            <w:t>（二）积极应对新变化</w:t>
          </w:r>
          <w:r>
            <w:rPr>
              <w:sz w:val="30"/>
              <w:szCs w:val="30"/>
            </w:rPr>
            <w:tab/>
          </w:r>
          <w:r>
            <w:rPr>
              <w:sz w:val="30"/>
              <w:szCs w:val="30"/>
            </w:rPr>
            <w:fldChar w:fldCharType="begin"/>
          </w:r>
          <w:r>
            <w:rPr>
              <w:sz w:val="30"/>
              <w:szCs w:val="30"/>
            </w:rPr>
            <w:instrText xml:space="preserve"> PAGEREF _Toc9003 \h </w:instrText>
          </w:r>
          <w:r>
            <w:rPr>
              <w:sz w:val="30"/>
              <w:szCs w:val="30"/>
            </w:rPr>
            <w:fldChar w:fldCharType="separate"/>
          </w:r>
          <w:r>
            <w:rPr>
              <w:sz w:val="30"/>
              <w:szCs w:val="30"/>
            </w:rPr>
            <w:t>10</w:t>
          </w:r>
          <w:r>
            <w:rPr>
              <w:sz w:val="30"/>
              <w:szCs w:val="30"/>
            </w:rPr>
            <w:fldChar w:fldCharType="end"/>
          </w:r>
          <w:r>
            <w:rPr>
              <w:rFonts w:ascii="仿宋_GB2312" w:hAnsi="仿宋_GB2312" w:eastAsia="仿宋_GB2312" w:cs="仿宋_GB2312"/>
              <w:color w:val="auto"/>
              <w:sz w:val="30"/>
              <w:szCs w:val="30"/>
              <w:highlight w:val="none"/>
            </w:rPr>
            <w:fldChar w:fldCharType="end"/>
          </w:r>
        </w:p>
        <w:p w14:paraId="2C6EB43A">
          <w:pPr>
            <w:pStyle w:val="9"/>
            <w:keepNext w:val="0"/>
            <w:keepLines w:val="0"/>
            <w:pageBreakBefore w:val="0"/>
            <w:widowControl w:val="0"/>
            <w:tabs>
              <w:tab w:val="right" w:leader="dot" w:pos="8689"/>
            </w:tabs>
            <w:kinsoku/>
            <w:wordWrap/>
            <w:overflowPunct/>
            <w:topLinePunct w:val="0"/>
            <w:autoSpaceDE/>
            <w:autoSpaceDN/>
            <w:bidi w:val="0"/>
            <w:adjustRightInd/>
            <w:snapToGrid/>
            <w:spacing w:before="157" w:beforeLines="50"/>
            <w:textAlignment w:val="auto"/>
            <w:rPr>
              <w:sz w:val="30"/>
              <w:szCs w:val="30"/>
            </w:rPr>
          </w:pPr>
          <w:r>
            <w:rPr>
              <w:rFonts w:ascii="仿宋_GB2312" w:hAnsi="仿宋_GB2312" w:eastAsia="仿宋_GB2312" w:cs="仿宋_GB2312"/>
              <w:color w:val="auto"/>
              <w:sz w:val="30"/>
              <w:szCs w:val="30"/>
              <w:highlight w:val="none"/>
            </w:rPr>
            <w:fldChar w:fldCharType="begin"/>
          </w:r>
          <w:r>
            <w:rPr>
              <w:rFonts w:ascii="仿宋_GB2312" w:hAnsi="仿宋_GB2312" w:eastAsia="仿宋_GB2312" w:cs="仿宋_GB2312"/>
              <w:sz w:val="30"/>
              <w:szCs w:val="30"/>
              <w:highlight w:val="none"/>
            </w:rPr>
            <w:instrText xml:space="preserve"> HYPERLINK \l _Toc30018 </w:instrText>
          </w:r>
          <w:r>
            <w:rPr>
              <w:rFonts w:ascii="仿宋_GB2312" w:hAnsi="仿宋_GB2312" w:eastAsia="仿宋_GB2312" w:cs="仿宋_GB2312"/>
              <w:sz w:val="30"/>
              <w:szCs w:val="30"/>
              <w:highlight w:val="none"/>
            </w:rPr>
            <w:fldChar w:fldCharType="separate"/>
          </w:r>
          <w:r>
            <w:rPr>
              <w:rFonts w:hint="eastAsia" w:ascii="华文中宋" w:hAnsi="华文中宋" w:eastAsia="华文中宋" w:cs="华文中宋"/>
              <w:sz w:val="30"/>
              <w:szCs w:val="30"/>
              <w:highlight w:val="none"/>
            </w:rPr>
            <w:t>（三）全面把握新机遇</w:t>
          </w:r>
          <w:r>
            <w:rPr>
              <w:sz w:val="30"/>
              <w:szCs w:val="30"/>
            </w:rPr>
            <w:tab/>
          </w:r>
          <w:r>
            <w:rPr>
              <w:sz w:val="30"/>
              <w:szCs w:val="30"/>
            </w:rPr>
            <w:fldChar w:fldCharType="begin"/>
          </w:r>
          <w:r>
            <w:rPr>
              <w:sz w:val="30"/>
              <w:szCs w:val="30"/>
            </w:rPr>
            <w:instrText xml:space="preserve"> PAGEREF _Toc30018 \h </w:instrText>
          </w:r>
          <w:r>
            <w:rPr>
              <w:sz w:val="30"/>
              <w:szCs w:val="30"/>
            </w:rPr>
            <w:fldChar w:fldCharType="separate"/>
          </w:r>
          <w:r>
            <w:rPr>
              <w:sz w:val="30"/>
              <w:szCs w:val="30"/>
            </w:rPr>
            <w:t>11</w:t>
          </w:r>
          <w:r>
            <w:rPr>
              <w:sz w:val="30"/>
              <w:szCs w:val="30"/>
            </w:rPr>
            <w:fldChar w:fldCharType="end"/>
          </w:r>
          <w:r>
            <w:rPr>
              <w:rFonts w:ascii="仿宋_GB2312" w:hAnsi="仿宋_GB2312" w:eastAsia="仿宋_GB2312" w:cs="仿宋_GB2312"/>
              <w:color w:val="auto"/>
              <w:sz w:val="30"/>
              <w:szCs w:val="30"/>
              <w:highlight w:val="none"/>
            </w:rPr>
            <w:fldChar w:fldCharType="end"/>
          </w:r>
        </w:p>
        <w:p w14:paraId="3113B15F">
          <w:pPr>
            <w:pStyle w:val="13"/>
            <w:keepNext w:val="0"/>
            <w:keepLines w:val="0"/>
            <w:pageBreakBefore w:val="0"/>
            <w:widowControl w:val="0"/>
            <w:tabs>
              <w:tab w:val="right" w:leader="dot" w:pos="8689"/>
            </w:tabs>
            <w:kinsoku/>
            <w:wordWrap/>
            <w:overflowPunct/>
            <w:topLinePunct w:val="0"/>
            <w:autoSpaceDE/>
            <w:autoSpaceDN/>
            <w:bidi w:val="0"/>
            <w:adjustRightInd/>
            <w:snapToGrid/>
            <w:spacing w:before="157" w:beforeLines="50"/>
            <w:textAlignment w:val="auto"/>
            <w:rPr>
              <w:sz w:val="30"/>
              <w:szCs w:val="30"/>
            </w:rPr>
          </w:pPr>
          <w:r>
            <w:rPr>
              <w:rFonts w:ascii="仿宋_GB2312" w:hAnsi="仿宋_GB2312" w:eastAsia="仿宋_GB2312" w:cs="仿宋_GB2312"/>
              <w:color w:val="auto"/>
              <w:sz w:val="30"/>
              <w:szCs w:val="30"/>
              <w:highlight w:val="none"/>
            </w:rPr>
            <w:fldChar w:fldCharType="begin"/>
          </w:r>
          <w:r>
            <w:rPr>
              <w:rFonts w:ascii="仿宋_GB2312" w:hAnsi="仿宋_GB2312" w:eastAsia="仿宋_GB2312" w:cs="仿宋_GB2312"/>
              <w:sz w:val="30"/>
              <w:szCs w:val="30"/>
              <w:highlight w:val="none"/>
            </w:rPr>
            <w:instrText xml:space="preserve"> HYPERLINK \l _Toc28297 </w:instrText>
          </w:r>
          <w:r>
            <w:rPr>
              <w:rFonts w:ascii="仿宋_GB2312" w:hAnsi="仿宋_GB2312" w:eastAsia="仿宋_GB2312" w:cs="仿宋_GB2312"/>
              <w:sz w:val="30"/>
              <w:szCs w:val="30"/>
              <w:highlight w:val="none"/>
            </w:rPr>
            <w:fldChar w:fldCharType="separate"/>
          </w:r>
          <w:r>
            <w:rPr>
              <w:rFonts w:hint="eastAsia" w:ascii="黑体" w:hAnsi="黑体" w:eastAsia="黑体"/>
              <w:bCs/>
              <w:sz w:val="30"/>
              <w:szCs w:val="30"/>
              <w:highlight w:val="none"/>
            </w:rPr>
            <w:t xml:space="preserve">第二章  </w:t>
          </w:r>
          <w:r>
            <w:rPr>
              <w:rFonts w:hint="eastAsia" w:ascii="黑体" w:hAnsi="黑体" w:eastAsia="黑体"/>
              <w:bCs/>
              <w:sz w:val="30"/>
              <w:szCs w:val="30"/>
              <w:highlight w:val="none"/>
              <w:lang w:val="en-US" w:eastAsia="zh-CN"/>
            </w:rPr>
            <w:t>总体思路</w:t>
          </w:r>
          <w:r>
            <w:rPr>
              <w:sz w:val="30"/>
              <w:szCs w:val="30"/>
            </w:rPr>
            <w:tab/>
          </w:r>
          <w:r>
            <w:rPr>
              <w:sz w:val="30"/>
              <w:szCs w:val="30"/>
            </w:rPr>
            <w:fldChar w:fldCharType="begin"/>
          </w:r>
          <w:r>
            <w:rPr>
              <w:sz w:val="30"/>
              <w:szCs w:val="30"/>
            </w:rPr>
            <w:instrText xml:space="preserve"> PAGEREF _Toc28297 \h </w:instrText>
          </w:r>
          <w:r>
            <w:rPr>
              <w:sz w:val="30"/>
              <w:szCs w:val="30"/>
            </w:rPr>
            <w:fldChar w:fldCharType="separate"/>
          </w:r>
          <w:r>
            <w:rPr>
              <w:sz w:val="30"/>
              <w:szCs w:val="30"/>
            </w:rPr>
            <w:t>12</w:t>
          </w:r>
          <w:r>
            <w:rPr>
              <w:sz w:val="30"/>
              <w:szCs w:val="30"/>
            </w:rPr>
            <w:fldChar w:fldCharType="end"/>
          </w:r>
          <w:r>
            <w:rPr>
              <w:rFonts w:ascii="仿宋_GB2312" w:hAnsi="仿宋_GB2312" w:eastAsia="仿宋_GB2312" w:cs="仿宋_GB2312"/>
              <w:color w:val="auto"/>
              <w:sz w:val="30"/>
              <w:szCs w:val="30"/>
              <w:highlight w:val="none"/>
            </w:rPr>
            <w:fldChar w:fldCharType="end"/>
          </w:r>
        </w:p>
        <w:p w14:paraId="2C11E2E4">
          <w:pPr>
            <w:pStyle w:val="16"/>
            <w:keepNext w:val="0"/>
            <w:keepLines w:val="0"/>
            <w:pageBreakBefore w:val="0"/>
            <w:widowControl w:val="0"/>
            <w:tabs>
              <w:tab w:val="right" w:leader="dot" w:pos="8689"/>
            </w:tabs>
            <w:kinsoku/>
            <w:wordWrap/>
            <w:overflowPunct/>
            <w:topLinePunct w:val="0"/>
            <w:autoSpaceDE/>
            <w:autoSpaceDN/>
            <w:bidi w:val="0"/>
            <w:adjustRightInd/>
            <w:snapToGrid/>
            <w:spacing w:before="157" w:beforeLines="50"/>
            <w:textAlignment w:val="auto"/>
            <w:rPr>
              <w:sz w:val="30"/>
              <w:szCs w:val="30"/>
            </w:rPr>
          </w:pPr>
          <w:r>
            <w:rPr>
              <w:rFonts w:ascii="仿宋_GB2312" w:hAnsi="仿宋_GB2312" w:eastAsia="仿宋_GB2312" w:cs="仿宋_GB2312"/>
              <w:color w:val="auto"/>
              <w:sz w:val="30"/>
              <w:szCs w:val="30"/>
              <w:highlight w:val="none"/>
            </w:rPr>
            <w:fldChar w:fldCharType="begin"/>
          </w:r>
          <w:r>
            <w:rPr>
              <w:rFonts w:ascii="仿宋_GB2312" w:hAnsi="仿宋_GB2312" w:eastAsia="仿宋_GB2312" w:cs="仿宋_GB2312"/>
              <w:sz w:val="30"/>
              <w:szCs w:val="30"/>
              <w:highlight w:val="none"/>
            </w:rPr>
            <w:instrText xml:space="preserve"> HYPERLINK \l _Toc12281 </w:instrText>
          </w:r>
          <w:r>
            <w:rPr>
              <w:rFonts w:ascii="仿宋_GB2312" w:hAnsi="仿宋_GB2312" w:eastAsia="仿宋_GB2312" w:cs="仿宋_GB2312"/>
              <w:sz w:val="30"/>
              <w:szCs w:val="30"/>
              <w:highlight w:val="none"/>
            </w:rPr>
            <w:fldChar w:fldCharType="separate"/>
          </w:r>
          <w:r>
            <w:rPr>
              <w:rFonts w:hint="eastAsia" w:ascii="黑体" w:hAnsi="黑体" w:eastAsia="黑体" w:cs="黑体"/>
              <w:sz w:val="30"/>
              <w:szCs w:val="30"/>
              <w:highlight w:val="none"/>
            </w:rPr>
            <w:t>一、指导思想</w:t>
          </w:r>
          <w:r>
            <w:rPr>
              <w:sz w:val="30"/>
              <w:szCs w:val="30"/>
            </w:rPr>
            <w:tab/>
          </w:r>
          <w:r>
            <w:rPr>
              <w:sz w:val="30"/>
              <w:szCs w:val="30"/>
            </w:rPr>
            <w:fldChar w:fldCharType="begin"/>
          </w:r>
          <w:r>
            <w:rPr>
              <w:sz w:val="30"/>
              <w:szCs w:val="30"/>
            </w:rPr>
            <w:instrText xml:space="preserve"> PAGEREF _Toc12281 \h </w:instrText>
          </w:r>
          <w:r>
            <w:rPr>
              <w:sz w:val="30"/>
              <w:szCs w:val="30"/>
            </w:rPr>
            <w:fldChar w:fldCharType="separate"/>
          </w:r>
          <w:r>
            <w:rPr>
              <w:sz w:val="30"/>
              <w:szCs w:val="30"/>
            </w:rPr>
            <w:t>12</w:t>
          </w:r>
          <w:r>
            <w:rPr>
              <w:sz w:val="30"/>
              <w:szCs w:val="30"/>
            </w:rPr>
            <w:fldChar w:fldCharType="end"/>
          </w:r>
          <w:r>
            <w:rPr>
              <w:rFonts w:ascii="仿宋_GB2312" w:hAnsi="仿宋_GB2312" w:eastAsia="仿宋_GB2312" w:cs="仿宋_GB2312"/>
              <w:color w:val="auto"/>
              <w:sz w:val="30"/>
              <w:szCs w:val="30"/>
              <w:highlight w:val="none"/>
            </w:rPr>
            <w:fldChar w:fldCharType="end"/>
          </w:r>
        </w:p>
        <w:p w14:paraId="71A20AA0">
          <w:pPr>
            <w:pStyle w:val="16"/>
            <w:keepNext w:val="0"/>
            <w:keepLines w:val="0"/>
            <w:pageBreakBefore w:val="0"/>
            <w:widowControl w:val="0"/>
            <w:tabs>
              <w:tab w:val="right" w:leader="dot" w:pos="8689"/>
            </w:tabs>
            <w:kinsoku/>
            <w:wordWrap/>
            <w:overflowPunct/>
            <w:topLinePunct w:val="0"/>
            <w:autoSpaceDE/>
            <w:autoSpaceDN/>
            <w:bidi w:val="0"/>
            <w:adjustRightInd/>
            <w:snapToGrid/>
            <w:spacing w:before="157" w:beforeLines="50"/>
            <w:textAlignment w:val="auto"/>
            <w:rPr>
              <w:sz w:val="30"/>
              <w:szCs w:val="30"/>
            </w:rPr>
          </w:pPr>
          <w:r>
            <w:rPr>
              <w:rFonts w:ascii="仿宋_GB2312" w:hAnsi="仿宋_GB2312" w:eastAsia="仿宋_GB2312" w:cs="仿宋_GB2312"/>
              <w:color w:val="auto"/>
              <w:sz w:val="30"/>
              <w:szCs w:val="30"/>
              <w:highlight w:val="none"/>
            </w:rPr>
            <w:fldChar w:fldCharType="begin"/>
          </w:r>
          <w:r>
            <w:rPr>
              <w:rFonts w:ascii="仿宋_GB2312" w:hAnsi="仿宋_GB2312" w:eastAsia="仿宋_GB2312" w:cs="仿宋_GB2312"/>
              <w:sz w:val="30"/>
              <w:szCs w:val="30"/>
              <w:highlight w:val="none"/>
            </w:rPr>
            <w:instrText xml:space="preserve"> HYPERLINK \l _Toc12298 </w:instrText>
          </w:r>
          <w:r>
            <w:rPr>
              <w:rFonts w:ascii="仿宋_GB2312" w:hAnsi="仿宋_GB2312" w:eastAsia="仿宋_GB2312" w:cs="仿宋_GB2312"/>
              <w:sz w:val="30"/>
              <w:szCs w:val="30"/>
              <w:highlight w:val="none"/>
            </w:rPr>
            <w:fldChar w:fldCharType="separate"/>
          </w:r>
          <w:r>
            <w:rPr>
              <w:rFonts w:hint="eastAsia" w:ascii="黑体" w:hAnsi="黑体" w:eastAsia="黑体" w:cs="黑体"/>
              <w:sz w:val="30"/>
              <w:szCs w:val="30"/>
              <w:highlight w:val="none"/>
            </w:rPr>
            <w:t>二、基本原则</w:t>
          </w:r>
          <w:r>
            <w:rPr>
              <w:sz w:val="30"/>
              <w:szCs w:val="30"/>
            </w:rPr>
            <w:tab/>
          </w:r>
          <w:r>
            <w:rPr>
              <w:sz w:val="30"/>
              <w:szCs w:val="30"/>
            </w:rPr>
            <w:fldChar w:fldCharType="begin"/>
          </w:r>
          <w:r>
            <w:rPr>
              <w:sz w:val="30"/>
              <w:szCs w:val="30"/>
            </w:rPr>
            <w:instrText xml:space="preserve"> PAGEREF _Toc12298 \h </w:instrText>
          </w:r>
          <w:r>
            <w:rPr>
              <w:sz w:val="30"/>
              <w:szCs w:val="30"/>
            </w:rPr>
            <w:fldChar w:fldCharType="separate"/>
          </w:r>
          <w:r>
            <w:rPr>
              <w:sz w:val="30"/>
              <w:szCs w:val="30"/>
            </w:rPr>
            <w:t>13</w:t>
          </w:r>
          <w:r>
            <w:rPr>
              <w:sz w:val="30"/>
              <w:szCs w:val="30"/>
            </w:rPr>
            <w:fldChar w:fldCharType="end"/>
          </w:r>
          <w:r>
            <w:rPr>
              <w:rFonts w:ascii="仿宋_GB2312" w:hAnsi="仿宋_GB2312" w:eastAsia="仿宋_GB2312" w:cs="仿宋_GB2312"/>
              <w:color w:val="auto"/>
              <w:sz w:val="30"/>
              <w:szCs w:val="30"/>
              <w:highlight w:val="none"/>
            </w:rPr>
            <w:fldChar w:fldCharType="end"/>
          </w:r>
        </w:p>
        <w:p w14:paraId="5DE2302E">
          <w:pPr>
            <w:pStyle w:val="16"/>
            <w:keepNext w:val="0"/>
            <w:keepLines w:val="0"/>
            <w:pageBreakBefore w:val="0"/>
            <w:widowControl w:val="0"/>
            <w:tabs>
              <w:tab w:val="right" w:leader="dot" w:pos="8689"/>
            </w:tabs>
            <w:kinsoku/>
            <w:wordWrap/>
            <w:overflowPunct/>
            <w:topLinePunct w:val="0"/>
            <w:autoSpaceDE/>
            <w:autoSpaceDN/>
            <w:bidi w:val="0"/>
            <w:adjustRightInd/>
            <w:snapToGrid/>
            <w:spacing w:before="157" w:beforeLines="50"/>
            <w:textAlignment w:val="auto"/>
            <w:rPr>
              <w:sz w:val="30"/>
              <w:szCs w:val="30"/>
            </w:rPr>
          </w:pPr>
          <w:r>
            <w:rPr>
              <w:rFonts w:ascii="仿宋_GB2312" w:hAnsi="仿宋_GB2312" w:eastAsia="仿宋_GB2312" w:cs="仿宋_GB2312"/>
              <w:color w:val="auto"/>
              <w:sz w:val="30"/>
              <w:szCs w:val="30"/>
              <w:highlight w:val="none"/>
            </w:rPr>
            <w:fldChar w:fldCharType="begin"/>
          </w:r>
          <w:r>
            <w:rPr>
              <w:rFonts w:ascii="仿宋_GB2312" w:hAnsi="仿宋_GB2312" w:eastAsia="仿宋_GB2312" w:cs="仿宋_GB2312"/>
              <w:sz w:val="30"/>
              <w:szCs w:val="30"/>
              <w:highlight w:val="none"/>
            </w:rPr>
            <w:instrText xml:space="preserve"> HYPERLINK \l _Toc15913 </w:instrText>
          </w:r>
          <w:r>
            <w:rPr>
              <w:rFonts w:ascii="仿宋_GB2312" w:hAnsi="仿宋_GB2312" w:eastAsia="仿宋_GB2312" w:cs="仿宋_GB2312"/>
              <w:sz w:val="30"/>
              <w:szCs w:val="30"/>
              <w:highlight w:val="none"/>
            </w:rPr>
            <w:fldChar w:fldCharType="separate"/>
          </w:r>
          <w:r>
            <w:rPr>
              <w:rFonts w:hint="eastAsia" w:ascii="黑体" w:hAnsi="黑体" w:eastAsia="黑体" w:cs="黑体"/>
              <w:sz w:val="30"/>
              <w:szCs w:val="30"/>
              <w:highlight w:val="none"/>
            </w:rPr>
            <w:t>三、发展目标</w:t>
          </w:r>
          <w:r>
            <w:rPr>
              <w:sz w:val="30"/>
              <w:szCs w:val="30"/>
            </w:rPr>
            <w:tab/>
          </w:r>
          <w:r>
            <w:rPr>
              <w:sz w:val="30"/>
              <w:szCs w:val="30"/>
            </w:rPr>
            <w:fldChar w:fldCharType="begin"/>
          </w:r>
          <w:r>
            <w:rPr>
              <w:sz w:val="30"/>
              <w:szCs w:val="30"/>
            </w:rPr>
            <w:instrText xml:space="preserve"> PAGEREF _Toc15913 \h </w:instrText>
          </w:r>
          <w:r>
            <w:rPr>
              <w:sz w:val="30"/>
              <w:szCs w:val="30"/>
            </w:rPr>
            <w:fldChar w:fldCharType="separate"/>
          </w:r>
          <w:r>
            <w:rPr>
              <w:sz w:val="30"/>
              <w:szCs w:val="30"/>
            </w:rPr>
            <w:t>14</w:t>
          </w:r>
          <w:r>
            <w:rPr>
              <w:sz w:val="30"/>
              <w:szCs w:val="30"/>
            </w:rPr>
            <w:fldChar w:fldCharType="end"/>
          </w:r>
          <w:r>
            <w:rPr>
              <w:rFonts w:ascii="仿宋_GB2312" w:hAnsi="仿宋_GB2312" w:eastAsia="仿宋_GB2312" w:cs="仿宋_GB2312"/>
              <w:color w:val="auto"/>
              <w:sz w:val="30"/>
              <w:szCs w:val="30"/>
              <w:highlight w:val="none"/>
            </w:rPr>
            <w:fldChar w:fldCharType="end"/>
          </w:r>
        </w:p>
        <w:p w14:paraId="2665347E">
          <w:pPr>
            <w:pStyle w:val="13"/>
            <w:keepNext w:val="0"/>
            <w:keepLines w:val="0"/>
            <w:pageBreakBefore w:val="0"/>
            <w:widowControl w:val="0"/>
            <w:tabs>
              <w:tab w:val="right" w:leader="dot" w:pos="8689"/>
            </w:tabs>
            <w:kinsoku/>
            <w:wordWrap/>
            <w:overflowPunct/>
            <w:topLinePunct w:val="0"/>
            <w:autoSpaceDE/>
            <w:autoSpaceDN/>
            <w:bidi w:val="0"/>
            <w:adjustRightInd/>
            <w:snapToGrid/>
            <w:spacing w:before="157" w:beforeLines="50"/>
            <w:textAlignment w:val="auto"/>
            <w:rPr>
              <w:sz w:val="30"/>
              <w:szCs w:val="30"/>
            </w:rPr>
          </w:pPr>
          <w:r>
            <w:rPr>
              <w:rFonts w:ascii="仿宋_GB2312" w:hAnsi="仿宋_GB2312" w:eastAsia="仿宋_GB2312" w:cs="仿宋_GB2312"/>
              <w:color w:val="auto"/>
              <w:sz w:val="30"/>
              <w:szCs w:val="30"/>
              <w:highlight w:val="none"/>
            </w:rPr>
            <w:fldChar w:fldCharType="begin"/>
          </w:r>
          <w:r>
            <w:rPr>
              <w:rFonts w:ascii="仿宋_GB2312" w:hAnsi="仿宋_GB2312" w:eastAsia="仿宋_GB2312" w:cs="仿宋_GB2312"/>
              <w:sz w:val="30"/>
              <w:szCs w:val="30"/>
              <w:highlight w:val="none"/>
            </w:rPr>
            <w:instrText xml:space="preserve"> HYPERLINK \l _Toc5772 </w:instrText>
          </w:r>
          <w:r>
            <w:rPr>
              <w:rFonts w:ascii="仿宋_GB2312" w:hAnsi="仿宋_GB2312" w:eastAsia="仿宋_GB2312" w:cs="仿宋_GB2312"/>
              <w:sz w:val="30"/>
              <w:szCs w:val="30"/>
              <w:highlight w:val="none"/>
            </w:rPr>
            <w:fldChar w:fldCharType="separate"/>
          </w:r>
          <w:r>
            <w:rPr>
              <w:rFonts w:hint="eastAsia" w:ascii="黑体" w:hAnsi="黑体" w:eastAsia="黑体"/>
              <w:sz w:val="30"/>
              <w:szCs w:val="30"/>
              <w:highlight w:val="none"/>
            </w:rPr>
            <w:t xml:space="preserve">第三章  </w:t>
          </w:r>
          <w:r>
            <w:rPr>
              <w:rFonts w:hint="eastAsia" w:ascii="黑体" w:hAnsi="黑体" w:eastAsia="黑体"/>
              <w:sz w:val="30"/>
              <w:szCs w:val="30"/>
              <w:highlight w:val="none"/>
              <w:lang w:val="en-US" w:eastAsia="zh-CN"/>
            </w:rPr>
            <w:t>主要</w:t>
          </w:r>
          <w:r>
            <w:rPr>
              <w:rFonts w:hint="eastAsia" w:ascii="黑体" w:hAnsi="黑体" w:eastAsia="黑体"/>
              <w:sz w:val="30"/>
              <w:szCs w:val="30"/>
              <w:highlight w:val="none"/>
            </w:rPr>
            <w:t>任务</w:t>
          </w:r>
          <w:r>
            <w:rPr>
              <w:sz w:val="30"/>
              <w:szCs w:val="30"/>
            </w:rPr>
            <w:tab/>
          </w:r>
          <w:r>
            <w:rPr>
              <w:sz w:val="30"/>
              <w:szCs w:val="30"/>
            </w:rPr>
            <w:fldChar w:fldCharType="begin"/>
          </w:r>
          <w:r>
            <w:rPr>
              <w:sz w:val="30"/>
              <w:szCs w:val="30"/>
            </w:rPr>
            <w:instrText xml:space="preserve"> PAGEREF _Toc5772 \h </w:instrText>
          </w:r>
          <w:r>
            <w:rPr>
              <w:sz w:val="30"/>
              <w:szCs w:val="30"/>
            </w:rPr>
            <w:fldChar w:fldCharType="separate"/>
          </w:r>
          <w:r>
            <w:rPr>
              <w:sz w:val="30"/>
              <w:szCs w:val="30"/>
            </w:rPr>
            <w:t>18</w:t>
          </w:r>
          <w:r>
            <w:rPr>
              <w:sz w:val="30"/>
              <w:szCs w:val="30"/>
            </w:rPr>
            <w:fldChar w:fldCharType="end"/>
          </w:r>
          <w:r>
            <w:rPr>
              <w:rFonts w:ascii="仿宋_GB2312" w:hAnsi="仿宋_GB2312" w:eastAsia="仿宋_GB2312" w:cs="仿宋_GB2312"/>
              <w:color w:val="auto"/>
              <w:sz w:val="30"/>
              <w:szCs w:val="30"/>
              <w:highlight w:val="none"/>
            </w:rPr>
            <w:fldChar w:fldCharType="end"/>
          </w:r>
        </w:p>
        <w:p w14:paraId="13025406">
          <w:pPr>
            <w:pStyle w:val="16"/>
            <w:keepNext w:val="0"/>
            <w:keepLines w:val="0"/>
            <w:pageBreakBefore w:val="0"/>
            <w:widowControl w:val="0"/>
            <w:tabs>
              <w:tab w:val="right" w:leader="dot" w:pos="8689"/>
            </w:tabs>
            <w:kinsoku/>
            <w:wordWrap/>
            <w:overflowPunct/>
            <w:topLinePunct w:val="0"/>
            <w:autoSpaceDE/>
            <w:autoSpaceDN/>
            <w:bidi w:val="0"/>
            <w:adjustRightInd/>
            <w:snapToGrid/>
            <w:spacing w:before="157" w:beforeLines="50"/>
            <w:textAlignment w:val="auto"/>
            <w:rPr>
              <w:sz w:val="30"/>
              <w:szCs w:val="30"/>
            </w:rPr>
          </w:pPr>
          <w:r>
            <w:rPr>
              <w:rFonts w:ascii="仿宋_GB2312" w:hAnsi="仿宋_GB2312" w:eastAsia="仿宋_GB2312" w:cs="仿宋_GB2312"/>
              <w:color w:val="auto"/>
              <w:sz w:val="30"/>
              <w:szCs w:val="30"/>
              <w:highlight w:val="none"/>
            </w:rPr>
            <w:fldChar w:fldCharType="begin"/>
          </w:r>
          <w:r>
            <w:rPr>
              <w:rFonts w:ascii="仿宋_GB2312" w:hAnsi="仿宋_GB2312" w:eastAsia="仿宋_GB2312" w:cs="仿宋_GB2312"/>
              <w:sz w:val="30"/>
              <w:szCs w:val="30"/>
              <w:highlight w:val="none"/>
            </w:rPr>
            <w:instrText xml:space="preserve"> HYPERLINK \l _Toc15376 </w:instrText>
          </w:r>
          <w:r>
            <w:rPr>
              <w:rFonts w:ascii="仿宋_GB2312" w:hAnsi="仿宋_GB2312" w:eastAsia="仿宋_GB2312" w:cs="仿宋_GB2312"/>
              <w:sz w:val="30"/>
              <w:szCs w:val="30"/>
              <w:highlight w:val="none"/>
            </w:rPr>
            <w:fldChar w:fldCharType="separate"/>
          </w:r>
          <w:r>
            <w:rPr>
              <w:rFonts w:hint="eastAsia" w:ascii="黑体" w:hAnsi="黑体" w:eastAsia="黑体" w:cs="黑体"/>
              <w:sz w:val="30"/>
              <w:szCs w:val="30"/>
              <w:highlight w:val="none"/>
              <w:lang w:val="en-US" w:eastAsia="zh-CN"/>
            </w:rPr>
            <w:t>一</w:t>
          </w:r>
          <w:r>
            <w:rPr>
              <w:rFonts w:hint="eastAsia" w:ascii="黑体" w:hAnsi="黑体" w:eastAsia="黑体" w:cs="黑体"/>
              <w:sz w:val="30"/>
              <w:szCs w:val="30"/>
              <w:highlight w:val="none"/>
            </w:rPr>
            <w:t>、</w:t>
          </w:r>
          <w:r>
            <w:rPr>
              <w:rFonts w:hint="eastAsia" w:ascii="黑体" w:hAnsi="黑体" w:eastAsia="黑体" w:cs="黑体"/>
              <w:sz w:val="30"/>
              <w:szCs w:val="30"/>
              <w:highlight w:val="none"/>
              <w:lang w:val="en-US" w:eastAsia="zh-CN"/>
            </w:rPr>
            <w:t>积极应对人口老龄化，</w:t>
          </w:r>
          <w:r>
            <w:rPr>
              <w:rFonts w:hint="eastAsia" w:ascii="黑体" w:hAnsi="黑体" w:eastAsia="黑体" w:cs="黑体"/>
              <w:sz w:val="30"/>
              <w:szCs w:val="30"/>
              <w:highlight w:val="none"/>
            </w:rPr>
            <w:t>构建普惠多元老年服务体系</w:t>
          </w:r>
          <w:r>
            <w:rPr>
              <w:sz w:val="30"/>
              <w:szCs w:val="30"/>
            </w:rPr>
            <w:tab/>
          </w:r>
          <w:r>
            <w:rPr>
              <w:sz w:val="30"/>
              <w:szCs w:val="30"/>
            </w:rPr>
            <w:fldChar w:fldCharType="begin"/>
          </w:r>
          <w:r>
            <w:rPr>
              <w:sz w:val="30"/>
              <w:szCs w:val="30"/>
            </w:rPr>
            <w:instrText xml:space="preserve"> PAGEREF _Toc15376 \h </w:instrText>
          </w:r>
          <w:r>
            <w:rPr>
              <w:sz w:val="30"/>
              <w:szCs w:val="30"/>
            </w:rPr>
            <w:fldChar w:fldCharType="separate"/>
          </w:r>
          <w:r>
            <w:rPr>
              <w:sz w:val="30"/>
              <w:szCs w:val="30"/>
            </w:rPr>
            <w:t>18</w:t>
          </w:r>
          <w:r>
            <w:rPr>
              <w:sz w:val="30"/>
              <w:szCs w:val="30"/>
            </w:rPr>
            <w:fldChar w:fldCharType="end"/>
          </w:r>
          <w:r>
            <w:rPr>
              <w:rFonts w:ascii="仿宋_GB2312" w:hAnsi="仿宋_GB2312" w:eastAsia="仿宋_GB2312" w:cs="仿宋_GB2312"/>
              <w:color w:val="auto"/>
              <w:sz w:val="30"/>
              <w:szCs w:val="30"/>
              <w:highlight w:val="none"/>
            </w:rPr>
            <w:fldChar w:fldCharType="end"/>
          </w:r>
        </w:p>
        <w:p w14:paraId="23A75969">
          <w:pPr>
            <w:pStyle w:val="9"/>
            <w:keepNext w:val="0"/>
            <w:keepLines w:val="0"/>
            <w:pageBreakBefore w:val="0"/>
            <w:widowControl w:val="0"/>
            <w:tabs>
              <w:tab w:val="right" w:leader="dot" w:pos="8689"/>
            </w:tabs>
            <w:kinsoku/>
            <w:wordWrap/>
            <w:overflowPunct/>
            <w:topLinePunct w:val="0"/>
            <w:autoSpaceDE/>
            <w:autoSpaceDN/>
            <w:bidi w:val="0"/>
            <w:adjustRightInd/>
            <w:snapToGrid/>
            <w:spacing w:before="157" w:beforeLines="50"/>
            <w:textAlignment w:val="auto"/>
            <w:rPr>
              <w:sz w:val="30"/>
              <w:szCs w:val="30"/>
            </w:rPr>
          </w:pPr>
          <w:r>
            <w:rPr>
              <w:rFonts w:ascii="仿宋_GB2312" w:hAnsi="仿宋_GB2312" w:eastAsia="仿宋_GB2312" w:cs="仿宋_GB2312"/>
              <w:color w:val="auto"/>
              <w:sz w:val="30"/>
              <w:szCs w:val="30"/>
              <w:highlight w:val="none"/>
            </w:rPr>
            <w:fldChar w:fldCharType="begin"/>
          </w:r>
          <w:r>
            <w:rPr>
              <w:rFonts w:ascii="仿宋_GB2312" w:hAnsi="仿宋_GB2312" w:eastAsia="仿宋_GB2312" w:cs="仿宋_GB2312"/>
              <w:sz w:val="30"/>
              <w:szCs w:val="30"/>
              <w:highlight w:val="none"/>
            </w:rPr>
            <w:instrText xml:space="preserve"> HYPERLINK \l _Toc23211 </w:instrText>
          </w:r>
          <w:r>
            <w:rPr>
              <w:rFonts w:ascii="仿宋_GB2312" w:hAnsi="仿宋_GB2312" w:eastAsia="仿宋_GB2312" w:cs="仿宋_GB2312"/>
              <w:sz w:val="30"/>
              <w:szCs w:val="30"/>
              <w:highlight w:val="none"/>
            </w:rPr>
            <w:fldChar w:fldCharType="separate"/>
          </w:r>
          <w:r>
            <w:rPr>
              <w:rFonts w:hint="eastAsia" w:ascii="华文中宋" w:hAnsi="华文中宋" w:eastAsia="华文中宋" w:cs="华文中宋"/>
              <w:bCs w:val="0"/>
              <w:sz w:val="30"/>
              <w:szCs w:val="30"/>
              <w:highlight w:val="none"/>
            </w:rPr>
            <w:t>（一）打造共建共治共享的老年友好型社会</w:t>
          </w:r>
          <w:r>
            <w:rPr>
              <w:sz w:val="30"/>
              <w:szCs w:val="30"/>
            </w:rPr>
            <w:tab/>
          </w:r>
          <w:r>
            <w:rPr>
              <w:sz w:val="30"/>
              <w:szCs w:val="30"/>
            </w:rPr>
            <w:fldChar w:fldCharType="begin"/>
          </w:r>
          <w:r>
            <w:rPr>
              <w:sz w:val="30"/>
              <w:szCs w:val="30"/>
            </w:rPr>
            <w:instrText xml:space="preserve"> PAGEREF _Toc23211 \h </w:instrText>
          </w:r>
          <w:r>
            <w:rPr>
              <w:sz w:val="30"/>
              <w:szCs w:val="30"/>
            </w:rPr>
            <w:fldChar w:fldCharType="separate"/>
          </w:r>
          <w:r>
            <w:rPr>
              <w:sz w:val="30"/>
              <w:szCs w:val="30"/>
            </w:rPr>
            <w:t>18</w:t>
          </w:r>
          <w:r>
            <w:rPr>
              <w:sz w:val="30"/>
              <w:szCs w:val="30"/>
            </w:rPr>
            <w:fldChar w:fldCharType="end"/>
          </w:r>
          <w:r>
            <w:rPr>
              <w:rFonts w:ascii="仿宋_GB2312" w:hAnsi="仿宋_GB2312" w:eastAsia="仿宋_GB2312" w:cs="仿宋_GB2312"/>
              <w:color w:val="auto"/>
              <w:sz w:val="30"/>
              <w:szCs w:val="30"/>
              <w:highlight w:val="none"/>
            </w:rPr>
            <w:fldChar w:fldCharType="end"/>
          </w:r>
        </w:p>
        <w:p w14:paraId="7F98C281">
          <w:pPr>
            <w:pStyle w:val="9"/>
            <w:keepNext w:val="0"/>
            <w:keepLines w:val="0"/>
            <w:pageBreakBefore w:val="0"/>
            <w:widowControl w:val="0"/>
            <w:tabs>
              <w:tab w:val="right" w:leader="dot" w:pos="8689"/>
            </w:tabs>
            <w:kinsoku/>
            <w:wordWrap/>
            <w:overflowPunct/>
            <w:topLinePunct w:val="0"/>
            <w:autoSpaceDE/>
            <w:autoSpaceDN/>
            <w:bidi w:val="0"/>
            <w:adjustRightInd/>
            <w:snapToGrid/>
            <w:spacing w:before="157" w:beforeLines="50"/>
            <w:textAlignment w:val="auto"/>
            <w:rPr>
              <w:sz w:val="30"/>
              <w:szCs w:val="30"/>
            </w:rPr>
          </w:pPr>
          <w:r>
            <w:rPr>
              <w:rFonts w:ascii="仿宋_GB2312" w:hAnsi="仿宋_GB2312" w:eastAsia="仿宋_GB2312" w:cs="仿宋_GB2312"/>
              <w:color w:val="auto"/>
              <w:sz w:val="30"/>
              <w:szCs w:val="30"/>
              <w:highlight w:val="none"/>
            </w:rPr>
            <w:fldChar w:fldCharType="begin"/>
          </w:r>
          <w:r>
            <w:rPr>
              <w:rFonts w:ascii="仿宋_GB2312" w:hAnsi="仿宋_GB2312" w:eastAsia="仿宋_GB2312" w:cs="仿宋_GB2312"/>
              <w:sz w:val="30"/>
              <w:szCs w:val="30"/>
              <w:highlight w:val="none"/>
            </w:rPr>
            <w:instrText xml:space="preserve"> HYPERLINK \l _Toc16336 </w:instrText>
          </w:r>
          <w:r>
            <w:rPr>
              <w:rFonts w:ascii="仿宋_GB2312" w:hAnsi="仿宋_GB2312" w:eastAsia="仿宋_GB2312" w:cs="仿宋_GB2312"/>
              <w:sz w:val="30"/>
              <w:szCs w:val="30"/>
              <w:highlight w:val="none"/>
            </w:rPr>
            <w:fldChar w:fldCharType="separate"/>
          </w:r>
          <w:r>
            <w:rPr>
              <w:rFonts w:hint="eastAsia" w:ascii="华文中宋" w:hAnsi="华文中宋" w:eastAsia="华文中宋" w:cs="华文中宋"/>
              <w:kern w:val="2"/>
              <w:sz w:val="30"/>
              <w:szCs w:val="30"/>
              <w:highlight w:val="none"/>
              <w:lang w:val="en-US" w:eastAsia="zh-CN" w:bidi="ar-SA"/>
            </w:rPr>
            <w:t>（二）健全三级养老服务网络</w:t>
          </w:r>
          <w:r>
            <w:rPr>
              <w:sz w:val="30"/>
              <w:szCs w:val="30"/>
            </w:rPr>
            <w:tab/>
          </w:r>
          <w:r>
            <w:rPr>
              <w:sz w:val="30"/>
              <w:szCs w:val="30"/>
            </w:rPr>
            <w:fldChar w:fldCharType="begin"/>
          </w:r>
          <w:r>
            <w:rPr>
              <w:sz w:val="30"/>
              <w:szCs w:val="30"/>
            </w:rPr>
            <w:instrText xml:space="preserve"> PAGEREF _Toc16336 \h </w:instrText>
          </w:r>
          <w:r>
            <w:rPr>
              <w:sz w:val="30"/>
              <w:szCs w:val="30"/>
            </w:rPr>
            <w:fldChar w:fldCharType="separate"/>
          </w:r>
          <w:r>
            <w:rPr>
              <w:sz w:val="30"/>
              <w:szCs w:val="30"/>
            </w:rPr>
            <w:t>20</w:t>
          </w:r>
          <w:r>
            <w:rPr>
              <w:sz w:val="30"/>
              <w:szCs w:val="30"/>
            </w:rPr>
            <w:fldChar w:fldCharType="end"/>
          </w:r>
          <w:r>
            <w:rPr>
              <w:rFonts w:ascii="仿宋_GB2312" w:hAnsi="仿宋_GB2312" w:eastAsia="仿宋_GB2312" w:cs="仿宋_GB2312"/>
              <w:color w:val="auto"/>
              <w:sz w:val="30"/>
              <w:szCs w:val="30"/>
              <w:highlight w:val="none"/>
            </w:rPr>
            <w:fldChar w:fldCharType="end"/>
          </w:r>
        </w:p>
        <w:p w14:paraId="450A4877">
          <w:pPr>
            <w:pStyle w:val="9"/>
            <w:keepNext w:val="0"/>
            <w:keepLines w:val="0"/>
            <w:pageBreakBefore w:val="0"/>
            <w:widowControl w:val="0"/>
            <w:tabs>
              <w:tab w:val="right" w:leader="dot" w:pos="8689"/>
            </w:tabs>
            <w:kinsoku/>
            <w:wordWrap/>
            <w:overflowPunct/>
            <w:topLinePunct w:val="0"/>
            <w:autoSpaceDE/>
            <w:autoSpaceDN/>
            <w:bidi w:val="0"/>
            <w:adjustRightInd/>
            <w:snapToGrid/>
            <w:spacing w:before="157" w:beforeLines="50"/>
            <w:textAlignment w:val="auto"/>
            <w:rPr>
              <w:sz w:val="30"/>
              <w:szCs w:val="30"/>
            </w:rPr>
          </w:pPr>
          <w:r>
            <w:rPr>
              <w:rFonts w:ascii="仿宋_GB2312" w:hAnsi="仿宋_GB2312" w:eastAsia="仿宋_GB2312" w:cs="仿宋_GB2312"/>
              <w:color w:val="auto"/>
              <w:sz w:val="30"/>
              <w:szCs w:val="30"/>
              <w:highlight w:val="none"/>
            </w:rPr>
            <w:fldChar w:fldCharType="begin"/>
          </w:r>
          <w:r>
            <w:rPr>
              <w:rFonts w:ascii="仿宋_GB2312" w:hAnsi="仿宋_GB2312" w:eastAsia="仿宋_GB2312" w:cs="仿宋_GB2312"/>
              <w:sz w:val="30"/>
              <w:szCs w:val="30"/>
              <w:highlight w:val="none"/>
            </w:rPr>
            <w:instrText xml:space="preserve"> HYPERLINK \l _Toc16946 </w:instrText>
          </w:r>
          <w:r>
            <w:rPr>
              <w:rFonts w:ascii="仿宋_GB2312" w:hAnsi="仿宋_GB2312" w:eastAsia="仿宋_GB2312" w:cs="仿宋_GB2312"/>
              <w:sz w:val="30"/>
              <w:szCs w:val="30"/>
              <w:highlight w:val="none"/>
            </w:rPr>
            <w:fldChar w:fldCharType="separate"/>
          </w:r>
          <w:r>
            <w:rPr>
              <w:rFonts w:hint="eastAsia" w:ascii="华文中宋" w:hAnsi="华文中宋" w:eastAsia="华文中宋" w:cs="华文中宋"/>
              <w:kern w:val="2"/>
              <w:sz w:val="30"/>
              <w:szCs w:val="30"/>
              <w:highlight w:val="none"/>
              <w:lang w:val="en-US" w:eastAsia="zh-CN" w:bidi="ar-SA"/>
            </w:rPr>
            <w:t>（三）完善机构养老发展格局</w:t>
          </w:r>
          <w:r>
            <w:rPr>
              <w:sz w:val="30"/>
              <w:szCs w:val="30"/>
            </w:rPr>
            <w:tab/>
          </w:r>
          <w:r>
            <w:rPr>
              <w:sz w:val="30"/>
              <w:szCs w:val="30"/>
            </w:rPr>
            <w:fldChar w:fldCharType="begin"/>
          </w:r>
          <w:r>
            <w:rPr>
              <w:sz w:val="30"/>
              <w:szCs w:val="30"/>
            </w:rPr>
            <w:instrText xml:space="preserve"> PAGEREF _Toc16946 \h </w:instrText>
          </w:r>
          <w:r>
            <w:rPr>
              <w:sz w:val="30"/>
              <w:szCs w:val="30"/>
            </w:rPr>
            <w:fldChar w:fldCharType="separate"/>
          </w:r>
          <w:r>
            <w:rPr>
              <w:sz w:val="30"/>
              <w:szCs w:val="30"/>
            </w:rPr>
            <w:t>21</w:t>
          </w:r>
          <w:r>
            <w:rPr>
              <w:sz w:val="30"/>
              <w:szCs w:val="30"/>
            </w:rPr>
            <w:fldChar w:fldCharType="end"/>
          </w:r>
          <w:r>
            <w:rPr>
              <w:rFonts w:ascii="仿宋_GB2312" w:hAnsi="仿宋_GB2312" w:eastAsia="仿宋_GB2312" w:cs="仿宋_GB2312"/>
              <w:color w:val="auto"/>
              <w:sz w:val="30"/>
              <w:szCs w:val="30"/>
              <w:highlight w:val="none"/>
            </w:rPr>
            <w:fldChar w:fldCharType="end"/>
          </w:r>
        </w:p>
        <w:p w14:paraId="39356FDC">
          <w:pPr>
            <w:pStyle w:val="9"/>
            <w:keepNext w:val="0"/>
            <w:keepLines w:val="0"/>
            <w:pageBreakBefore w:val="0"/>
            <w:widowControl w:val="0"/>
            <w:tabs>
              <w:tab w:val="right" w:leader="dot" w:pos="8689"/>
            </w:tabs>
            <w:kinsoku/>
            <w:wordWrap/>
            <w:overflowPunct/>
            <w:topLinePunct w:val="0"/>
            <w:autoSpaceDE/>
            <w:autoSpaceDN/>
            <w:bidi w:val="0"/>
            <w:adjustRightInd/>
            <w:snapToGrid/>
            <w:spacing w:before="157" w:beforeLines="50"/>
            <w:textAlignment w:val="auto"/>
            <w:rPr>
              <w:sz w:val="30"/>
              <w:szCs w:val="30"/>
            </w:rPr>
          </w:pPr>
          <w:r>
            <w:rPr>
              <w:rFonts w:ascii="仿宋_GB2312" w:hAnsi="仿宋_GB2312" w:eastAsia="仿宋_GB2312" w:cs="仿宋_GB2312"/>
              <w:color w:val="auto"/>
              <w:sz w:val="30"/>
              <w:szCs w:val="30"/>
              <w:highlight w:val="none"/>
            </w:rPr>
            <w:fldChar w:fldCharType="begin"/>
          </w:r>
          <w:r>
            <w:rPr>
              <w:rFonts w:ascii="仿宋_GB2312" w:hAnsi="仿宋_GB2312" w:eastAsia="仿宋_GB2312" w:cs="仿宋_GB2312"/>
              <w:sz w:val="30"/>
              <w:szCs w:val="30"/>
              <w:highlight w:val="none"/>
            </w:rPr>
            <w:instrText xml:space="preserve"> HYPERLINK \l _Toc1931 </w:instrText>
          </w:r>
          <w:r>
            <w:rPr>
              <w:rFonts w:ascii="仿宋_GB2312" w:hAnsi="仿宋_GB2312" w:eastAsia="仿宋_GB2312" w:cs="仿宋_GB2312"/>
              <w:sz w:val="30"/>
              <w:szCs w:val="30"/>
              <w:highlight w:val="none"/>
            </w:rPr>
            <w:fldChar w:fldCharType="separate"/>
          </w:r>
          <w:r>
            <w:rPr>
              <w:rFonts w:hint="eastAsia" w:ascii="华文中宋" w:hAnsi="华文中宋" w:eastAsia="华文中宋" w:cs="华文中宋"/>
              <w:bCs w:val="0"/>
              <w:kern w:val="2"/>
              <w:sz w:val="30"/>
              <w:szCs w:val="30"/>
              <w:highlight w:val="none"/>
              <w:lang w:val="en-US" w:eastAsia="zh-CN" w:bidi="ar-SA"/>
            </w:rPr>
            <w:t>（四）</w:t>
          </w:r>
          <w:r>
            <w:rPr>
              <w:rFonts w:hint="default" w:ascii="华文中宋" w:hAnsi="华文中宋" w:eastAsia="华文中宋" w:cs="华文中宋"/>
              <w:bCs w:val="0"/>
              <w:kern w:val="2"/>
              <w:sz w:val="30"/>
              <w:szCs w:val="30"/>
              <w:highlight w:val="none"/>
              <w:lang w:val="en-US" w:eastAsia="zh-CN" w:bidi="ar-SA"/>
            </w:rPr>
            <w:t>优化社区养老服务供给</w:t>
          </w:r>
          <w:r>
            <w:rPr>
              <w:sz w:val="30"/>
              <w:szCs w:val="30"/>
            </w:rPr>
            <w:tab/>
          </w:r>
          <w:r>
            <w:rPr>
              <w:sz w:val="30"/>
              <w:szCs w:val="30"/>
            </w:rPr>
            <w:fldChar w:fldCharType="begin"/>
          </w:r>
          <w:r>
            <w:rPr>
              <w:sz w:val="30"/>
              <w:szCs w:val="30"/>
            </w:rPr>
            <w:instrText xml:space="preserve"> PAGEREF _Toc1931 \h </w:instrText>
          </w:r>
          <w:r>
            <w:rPr>
              <w:sz w:val="30"/>
              <w:szCs w:val="30"/>
            </w:rPr>
            <w:fldChar w:fldCharType="separate"/>
          </w:r>
          <w:r>
            <w:rPr>
              <w:sz w:val="30"/>
              <w:szCs w:val="30"/>
            </w:rPr>
            <w:t>21</w:t>
          </w:r>
          <w:r>
            <w:rPr>
              <w:sz w:val="30"/>
              <w:szCs w:val="30"/>
            </w:rPr>
            <w:fldChar w:fldCharType="end"/>
          </w:r>
          <w:r>
            <w:rPr>
              <w:rFonts w:ascii="仿宋_GB2312" w:hAnsi="仿宋_GB2312" w:eastAsia="仿宋_GB2312" w:cs="仿宋_GB2312"/>
              <w:color w:val="auto"/>
              <w:sz w:val="30"/>
              <w:szCs w:val="30"/>
              <w:highlight w:val="none"/>
            </w:rPr>
            <w:fldChar w:fldCharType="end"/>
          </w:r>
        </w:p>
        <w:p w14:paraId="4745DA96">
          <w:pPr>
            <w:pStyle w:val="9"/>
            <w:keepNext w:val="0"/>
            <w:keepLines w:val="0"/>
            <w:pageBreakBefore w:val="0"/>
            <w:widowControl w:val="0"/>
            <w:tabs>
              <w:tab w:val="right" w:leader="dot" w:pos="8689"/>
            </w:tabs>
            <w:kinsoku/>
            <w:wordWrap/>
            <w:overflowPunct/>
            <w:topLinePunct w:val="0"/>
            <w:autoSpaceDE/>
            <w:autoSpaceDN/>
            <w:bidi w:val="0"/>
            <w:adjustRightInd/>
            <w:snapToGrid/>
            <w:spacing w:before="157" w:beforeLines="50"/>
            <w:textAlignment w:val="auto"/>
            <w:rPr>
              <w:sz w:val="30"/>
              <w:szCs w:val="30"/>
            </w:rPr>
          </w:pPr>
          <w:r>
            <w:rPr>
              <w:rFonts w:ascii="仿宋_GB2312" w:hAnsi="仿宋_GB2312" w:eastAsia="仿宋_GB2312" w:cs="仿宋_GB2312"/>
              <w:color w:val="auto"/>
              <w:sz w:val="30"/>
              <w:szCs w:val="30"/>
              <w:highlight w:val="none"/>
            </w:rPr>
            <w:fldChar w:fldCharType="begin"/>
          </w:r>
          <w:r>
            <w:rPr>
              <w:rFonts w:ascii="仿宋_GB2312" w:hAnsi="仿宋_GB2312" w:eastAsia="仿宋_GB2312" w:cs="仿宋_GB2312"/>
              <w:sz w:val="30"/>
              <w:szCs w:val="30"/>
              <w:highlight w:val="none"/>
            </w:rPr>
            <w:instrText xml:space="preserve"> HYPERLINK \l _Toc27695 </w:instrText>
          </w:r>
          <w:r>
            <w:rPr>
              <w:rFonts w:ascii="仿宋_GB2312" w:hAnsi="仿宋_GB2312" w:eastAsia="仿宋_GB2312" w:cs="仿宋_GB2312"/>
              <w:sz w:val="30"/>
              <w:szCs w:val="30"/>
              <w:highlight w:val="none"/>
            </w:rPr>
            <w:fldChar w:fldCharType="separate"/>
          </w:r>
          <w:r>
            <w:rPr>
              <w:rFonts w:hint="eastAsia" w:ascii="华文中宋" w:hAnsi="华文中宋" w:eastAsia="华文中宋" w:cs="华文中宋"/>
              <w:kern w:val="2"/>
              <w:sz w:val="30"/>
              <w:szCs w:val="30"/>
              <w:highlight w:val="none"/>
              <w:lang w:val="en-US" w:eastAsia="zh-CN" w:bidi="ar-SA"/>
            </w:rPr>
            <w:t>（五）提升居家养老服务水平</w:t>
          </w:r>
          <w:r>
            <w:rPr>
              <w:sz w:val="30"/>
              <w:szCs w:val="30"/>
            </w:rPr>
            <w:tab/>
          </w:r>
          <w:r>
            <w:rPr>
              <w:sz w:val="30"/>
              <w:szCs w:val="30"/>
            </w:rPr>
            <w:fldChar w:fldCharType="begin"/>
          </w:r>
          <w:r>
            <w:rPr>
              <w:sz w:val="30"/>
              <w:szCs w:val="30"/>
            </w:rPr>
            <w:instrText xml:space="preserve"> PAGEREF _Toc27695 \h </w:instrText>
          </w:r>
          <w:r>
            <w:rPr>
              <w:sz w:val="30"/>
              <w:szCs w:val="30"/>
            </w:rPr>
            <w:fldChar w:fldCharType="separate"/>
          </w:r>
          <w:r>
            <w:rPr>
              <w:sz w:val="30"/>
              <w:szCs w:val="30"/>
            </w:rPr>
            <w:t>22</w:t>
          </w:r>
          <w:r>
            <w:rPr>
              <w:sz w:val="30"/>
              <w:szCs w:val="30"/>
            </w:rPr>
            <w:fldChar w:fldCharType="end"/>
          </w:r>
          <w:r>
            <w:rPr>
              <w:rFonts w:ascii="仿宋_GB2312" w:hAnsi="仿宋_GB2312" w:eastAsia="仿宋_GB2312" w:cs="仿宋_GB2312"/>
              <w:color w:val="auto"/>
              <w:sz w:val="30"/>
              <w:szCs w:val="30"/>
              <w:highlight w:val="none"/>
            </w:rPr>
            <w:fldChar w:fldCharType="end"/>
          </w:r>
        </w:p>
        <w:p w14:paraId="25BC4861">
          <w:pPr>
            <w:pStyle w:val="9"/>
            <w:keepNext w:val="0"/>
            <w:keepLines w:val="0"/>
            <w:pageBreakBefore w:val="0"/>
            <w:widowControl w:val="0"/>
            <w:tabs>
              <w:tab w:val="right" w:leader="dot" w:pos="8689"/>
            </w:tabs>
            <w:kinsoku/>
            <w:wordWrap/>
            <w:overflowPunct/>
            <w:topLinePunct w:val="0"/>
            <w:autoSpaceDE/>
            <w:autoSpaceDN/>
            <w:bidi w:val="0"/>
            <w:adjustRightInd/>
            <w:snapToGrid/>
            <w:spacing w:before="157" w:beforeLines="50"/>
            <w:textAlignment w:val="auto"/>
            <w:rPr>
              <w:sz w:val="30"/>
              <w:szCs w:val="30"/>
            </w:rPr>
          </w:pPr>
          <w:r>
            <w:rPr>
              <w:rFonts w:ascii="仿宋_GB2312" w:hAnsi="仿宋_GB2312" w:eastAsia="仿宋_GB2312" w:cs="仿宋_GB2312"/>
              <w:color w:val="auto"/>
              <w:sz w:val="30"/>
              <w:szCs w:val="30"/>
              <w:highlight w:val="none"/>
            </w:rPr>
            <w:fldChar w:fldCharType="begin"/>
          </w:r>
          <w:r>
            <w:rPr>
              <w:rFonts w:ascii="仿宋_GB2312" w:hAnsi="仿宋_GB2312" w:eastAsia="仿宋_GB2312" w:cs="仿宋_GB2312"/>
              <w:sz w:val="30"/>
              <w:szCs w:val="30"/>
              <w:highlight w:val="none"/>
            </w:rPr>
            <w:instrText xml:space="preserve"> HYPERLINK \l _Toc4523 </w:instrText>
          </w:r>
          <w:r>
            <w:rPr>
              <w:rFonts w:ascii="仿宋_GB2312" w:hAnsi="仿宋_GB2312" w:eastAsia="仿宋_GB2312" w:cs="仿宋_GB2312"/>
              <w:sz w:val="30"/>
              <w:szCs w:val="30"/>
              <w:highlight w:val="none"/>
            </w:rPr>
            <w:fldChar w:fldCharType="separate"/>
          </w:r>
          <w:r>
            <w:rPr>
              <w:rFonts w:hint="eastAsia" w:ascii="华文中宋" w:hAnsi="华文中宋" w:eastAsia="华文中宋" w:cs="华文中宋"/>
              <w:sz w:val="30"/>
              <w:szCs w:val="30"/>
              <w:highlight w:val="none"/>
              <w:lang w:val="en-US" w:eastAsia="zh-CN"/>
            </w:rPr>
            <w:t>（六）加快补齐农村养老服务短板</w:t>
          </w:r>
          <w:r>
            <w:rPr>
              <w:sz w:val="30"/>
              <w:szCs w:val="30"/>
            </w:rPr>
            <w:tab/>
          </w:r>
          <w:r>
            <w:rPr>
              <w:sz w:val="30"/>
              <w:szCs w:val="30"/>
            </w:rPr>
            <w:fldChar w:fldCharType="begin"/>
          </w:r>
          <w:r>
            <w:rPr>
              <w:sz w:val="30"/>
              <w:szCs w:val="30"/>
            </w:rPr>
            <w:instrText xml:space="preserve"> PAGEREF _Toc4523 \h </w:instrText>
          </w:r>
          <w:r>
            <w:rPr>
              <w:sz w:val="30"/>
              <w:szCs w:val="30"/>
            </w:rPr>
            <w:fldChar w:fldCharType="separate"/>
          </w:r>
          <w:r>
            <w:rPr>
              <w:sz w:val="30"/>
              <w:szCs w:val="30"/>
            </w:rPr>
            <w:t>24</w:t>
          </w:r>
          <w:r>
            <w:rPr>
              <w:sz w:val="30"/>
              <w:szCs w:val="30"/>
            </w:rPr>
            <w:fldChar w:fldCharType="end"/>
          </w:r>
          <w:r>
            <w:rPr>
              <w:rFonts w:ascii="仿宋_GB2312" w:hAnsi="仿宋_GB2312" w:eastAsia="仿宋_GB2312" w:cs="仿宋_GB2312"/>
              <w:color w:val="auto"/>
              <w:sz w:val="30"/>
              <w:szCs w:val="30"/>
              <w:highlight w:val="none"/>
            </w:rPr>
            <w:fldChar w:fldCharType="end"/>
          </w:r>
        </w:p>
        <w:p w14:paraId="7516BA12">
          <w:pPr>
            <w:pStyle w:val="9"/>
            <w:keepNext w:val="0"/>
            <w:keepLines w:val="0"/>
            <w:pageBreakBefore w:val="0"/>
            <w:widowControl w:val="0"/>
            <w:tabs>
              <w:tab w:val="right" w:leader="dot" w:pos="8689"/>
            </w:tabs>
            <w:kinsoku/>
            <w:wordWrap/>
            <w:overflowPunct/>
            <w:topLinePunct w:val="0"/>
            <w:autoSpaceDE/>
            <w:autoSpaceDN/>
            <w:bidi w:val="0"/>
            <w:adjustRightInd/>
            <w:snapToGrid/>
            <w:spacing w:before="157" w:beforeLines="50"/>
            <w:textAlignment w:val="auto"/>
            <w:rPr>
              <w:sz w:val="30"/>
              <w:szCs w:val="30"/>
            </w:rPr>
          </w:pPr>
          <w:r>
            <w:rPr>
              <w:rFonts w:ascii="仿宋_GB2312" w:hAnsi="仿宋_GB2312" w:eastAsia="仿宋_GB2312" w:cs="仿宋_GB2312"/>
              <w:color w:val="auto"/>
              <w:sz w:val="30"/>
              <w:szCs w:val="30"/>
              <w:highlight w:val="none"/>
            </w:rPr>
            <w:fldChar w:fldCharType="begin"/>
          </w:r>
          <w:r>
            <w:rPr>
              <w:rFonts w:ascii="仿宋_GB2312" w:hAnsi="仿宋_GB2312" w:eastAsia="仿宋_GB2312" w:cs="仿宋_GB2312"/>
              <w:sz w:val="30"/>
              <w:szCs w:val="30"/>
              <w:highlight w:val="none"/>
            </w:rPr>
            <w:instrText xml:space="preserve"> HYPERLINK \l _Toc4784 </w:instrText>
          </w:r>
          <w:r>
            <w:rPr>
              <w:rFonts w:ascii="仿宋_GB2312" w:hAnsi="仿宋_GB2312" w:eastAsia="仿宋_GB2312" w:cs="仿宋_GB2312"/>
              <w:sz w:val="30"/>
              <w:szCs w:val="30"/>
              <w:highlight w:val="none"/>
            </w:rPr>
            <w:fldChar w:fldCharType="separate"/>
          </w:r>
          <w:r>
            <w:rPr>
              <w:rFonts w:hint="eastAsia" w:ascii="华文中宋" w:hAnsi="华文中宋" w:eastAsia="华文中宋" w:cs="华文中宋"/>
              <w:sz w:val="30"/>
              <w:szCs w:val="30"/>
              <w:highlight w:val="none"/>
              <w:lang w:val="en-US" w:eastAsia="zh-CN"/>
            </w:rPr>
            <w:t>（七）促进医养融合发展</w:t>
          </w:r>
          <w:r>
            <w:rPr>
              <w:sz w:val="30"/>
              <w:szCs w:val="30"/>
            </w:rPr>
            <w:tab/>
          </w:r>
          <w:r>
            <w:rPr>
              <w:sz w:val="30"/>
              <w:szCs w:val="30"/>
            </w:rPr>
            <w:fldChar w:fldCharType="begin"/>
          </w:r>
          <w:r>
            <w:rPr>
              <w:sz w:val="30"/>
              <w:szCs w:val="30"/>
            </w:rPr>
            <w:instrText xml:space="preserve"> PAGEREF _Toc4784 \h </w:instrText>
          </w:r>
          <w:r>
            <w:rPr>
              <w:sz w:val="30"/>
              <w:szCs w:val="30"/>
            </w:rPr>
            <w:fldChar w:fldCharType="separate"/>
          </w:r>
          <w:r>
            <w:rPr>
              <w:sz w:val="30"/>
              <w:szCs w:val="30"/>
            </w:rPr>
            <w:t>24</w:t>
          </w:r>
          <w:r>
            <w:rPr>
              <w:sz w:val="30"/>
              <w:szCs w:val="30"/>
            </w:rPr>
            <w:fldChar w:fldCharType="end"/>
          </w:r>
          <w:r>
            <w:rPr>
              <w:rFonts w:ascii="仿宋_GB2312" w:hAnsi="仿宋_GB2312" w:eastAsia="仿宋_GB2312" w:cs="仿宋_GB2312"/>
              <w:color w:val="auto"/>
              <w:sz w:val="30"/>
              <w:szCs w:val="30"/>
              <w:highlight w:val="none"/>
            </w:rPr>
            <w:fldChar w:fldCharType="end"/>
          </w:r>
        </w:p>
        <w:p w14:paraId="382DE095">
          <w:pPr>
            <w:pStyle w:val="9"/>
            <w:keepNext w:val="0"/>
            <w:keepLines w:val="0"/>
            <w:pageBreakBefore w:val="0"/>
            <w:widowControl w:val="0"/>
            <w:tabs>
              <w:tab w:val="right" w:leader="dot" w:pos="8689"/>
            </w:tabs>
            <w:kinsoku/>
            <w:wordWrap/>
            <w:overflowPunct/>
            <w:topLinePunct w:val="0"/>
            <w:autoSpaceDE/>
            <w:autoSpaceDN/>
            <w:bidi w:val="0"/>
            <w:adjustRightInd/>
            <w:snapToGrid/>
            <w:spacing w:before="157" w:beforeLines="50"/>
            <w:textAlignment w:val="auto"/>
            <w:rPr>
              <w:sz w:val="30"/>
              <w:szCs w:val="30"/>
            </w:rPr>
          </w:pPr>
          <w:r>
            <w:rPr>
              <w:rFonts w:ascii="仿宋_GB2312" w:hAnsi="仿宋_GB2312" w:eastAsia="仿宋_GB2312" w:cs="仿宋_GB2312"/>
              <w:color w:val="auto"/>
              <w:sz w:val="30"/>
              <w:szCs w:val="30"/>
              <w:highlight w:val="none"/>
            </w:rPr>
            <w:fldChar w:fldCharType="begin"/>
          </w:r>
          <w:r>
            <w:rPr>
              <w:rFonts w:ascii="仿宋_GB2312" w:hAnsi="仿宋_GB2312" w:eastAsia="仿宋_GB2312" w:cs="仿宋_GB2312"/>
              <w:sz w:val="30"/>
              <w:szCs w:val="30"/>
              <w:highlight w:val="none"/>
            </w:rPr>
            <w:instrText xml:space="preserve"> HYPERLINK \l _Toc14372 </w:instrText>
          </w:r>
          <w:r>
            <w:rPr>
              <w:rFonts w:ascii="仿宋_GB2312" w:hAnsi="仿宋_GB2312" w:eastAsia="仿宋_GB2312" w:cs="仿宋_GB2312"/>
              <w:sz w:val="30"/>
              <w:szCs w:val="30"/>
              <w:highlight w:val="none"/>
            </w:rPr>
            <w:fldChar w:fldCharType="separate"/>
          </w:r>
          <w:r>
            <w:rPr>
              <w:rFonts w:hint="eastAsia" w:ascii="华文中宋" w:hAnsi="华文中宋" w:eastAsia="华文中宋" w:cs="华文中宋"/>
              <w:bCs w:val="0"/>
              <w:kern w:val="2"/>
              <w:sz w:val="30"/>
              <w:szCs w:val="30"/>
              <w:highlight w:val="none"/>
              <w:lang w:val="en-US" w:eastAsia="zh-CN" w:bidi="ar-SA"/>
            </w:rPr>
            <w:t>（八）强化养老服务要素支持</w:t>
          </w:r>
          <w:r>
            <w:rPr>
              <w:sz w:val="30"/>
              <w:szCs w:val="30"/>
            </w:rPr>
            <w:tab/>
          </w:r>
          <w:r>
            <w:rPr>
              <w:sz w:val="30"/>
              <w:szCs w:val="30"/>
            </w:rPr>
            <w:fldChar w:fldCharType="begin"/>
          </w:r>
          <w:r>
            <w:rPr>
              <w:sz w:val="30"/>
              <w:szCs w:val="30"/>
            </w:rPr>
            <w:instrText xml:space="preserve"> PAGEREF _Toc14372 \h </w:instrText>
          </w:r>
          <w:r>
            <w:rPr>
              <w:sz w:val="30"/>
              <w:szCs w:val="30"/>
            </w:rPr>
            <w:fldChar w:fldCharType="separate"/>
          </w:r>
          <w:r>
            <w:rPr>
              <w:sz w:val="30"/>
              <w:szCs w:val="30"/>
            </w:rPr>
            <w:t>25</w:t>
          </w:r>
          <w:r>
            <w:rPr>
              <w:sz w:val="30"/>
              <w:szCs w:val="30"/>
            </w:rPr>
            <w:fldChar w:fldCharType="end"/>
          </w:r>
          <w:r>
            <w:rPr>
              <w:rFonts w:ascii="仿宋_GB2312" w:hAnsi="仿宋_GB2312" w:eastAsia="仿宋_GB2312" w:cs="仿宋_GB2312"/>
              <w:color w:val="auto"/>
              <w:sz w:val="30"/>
              <w:szCs w:val="30"/>
              <w:highlight w:val="none"/>
            </w:rPr>
            <w:fldChar w:fldCharType="end"/>
          </w:r>
        </w:p>
        <w:p w14:paraId="3973080F">
          <w:pPr>
            <w:pStyle w:val="9"/>
            <w:keepNext w:val="0"/>
            <w:keepLines w:val="0"/>
            <w:pageBreakBefore w:val="0"/>
            <w:widowControl w:val="0"/>
            <w:tabs>
              <w:tab w:val="right" w:leader="dot" w:pos="8689"/>
            </w:tabs>
            <w:kinsoku/>
            <w:wordWrap/>
            <w:overflowPunct/>
            <w:topLinePunct w:val="0"/>
            <w:autoSpaceDE/>
            <w:autoSpaceDN/>
            <w:bidi w:val="0"/>
            <w:adjustRightInd/>
            <w:snapToGrid/>
            <w:spacing w:before="157" w:beforeLines="50"/>
            <w:textAlignment w:val="auto"/>
            <w:rPr>
              <w:sz w:val="30"/>
              <w:szCs w:val="30"/>
            </w:rPr>
          </w:pPr>
          <w:r>
            <w:rPr>
              <w:rFonts w:ascii="仿宋_GB2312" w:hAnsi="仿宋_GB2312" w:eastAsia="仿宋_GB2312" w:cs="仿宋_GB2312"/>
              <w:color w:val="auto"/>
              <w:sz w:val="30"/>
              <w:szCs w:val="30"/>
              <w:highlight w:val="none"/>
            </w:rPr>
            <w:fldChar w:fldCharType="begin"/>
          </w:r>
          <w:r>
            <w:rPr>
              <w:rFonts w:ascii="仿宋_GB2312" w:hAnsi="仿宋_GB2312" w:eastAsia="仿宋_GB2312" w:cs="仿宋_GB2312"/>
              <w:sz w:val="30"/>
              <w:szCs w:val="30"/>
              <w:highlight w:val="none"/>
            </w:rPr>
            <w:instrText xml:space="preserve"> HYPERLINK \l _Toc6006 </w:instrText>
          </w:r>
          <w:r>
            <w:rPr>
              <w:rFonts w:ascii="仿宋_GB2312" w:hAnsi="仿宋_GB2312" w:eastAsia="仿宋_GB2312" w:cs="仿宋_GB2312"/>
              <w:sz w:val="30"/>
              <w:szCs w:val="30"/>
              <w:highlight w:val="none"/>
            </w:rPr>
            <w:fldChar w:fldCharType="separate"/>
          </w:r>
          <w:r>
            <w:rPr>
              <w:rFonts w:hint="eastAsia" w:ascii="华文中宋" w:hAnsi="华文中宋" w:eastAsia="华文中宋" w:cs="华文中宋"/>
              <w:sz w:val="30"/>
              <w:szCs w:val="30"/>
              <w:highlight w:val="none"/>
              <w:lang w:val="en-US" w:eastAsia="zh-CN"/>
            </w:rPr>
            <w:t>（九）打造银发经济发展新动能</w:t>
          </w:r>
          <w:r>
            <w:rPr>
              <w:sz w:val="30"/>
              <w:szCs w:val="30"/>
            </w:rPr>
            <w:tab/>
          </w:r>
          <w:r>
            <w:rPr>
              <w:sz w:val="30"/>
              <w:szCs w:val="30"/>
            </w:rPr>
            <w:fldChar w:fldCharType="begin"/>
          </w:r>
          <w:r>
            <w:rPr>
              <w:sz w:val="30"/>
              <w:szCs w:val="30"/>
            </w:rPr>
            <w:instrText xml:space="preserve"> PAGEREF _Toc6006 \h </w:instrText>
          </w:r>
          <w:r>
            <w:rPr>
              <w:sz w:val="30"/>
              <w:szCs w:val="30"/>
            </w:rPr>
            <w:fldChar w:fldCharType="separate"/>
          </w:r>
          <w:r>
            <w:rPr>
              <w:sz w:val="30"/>
              <w:szCs w:val="30"/>
            </w:rPr>
            <w:t>26</w:t>
          </w:r>
          <w:r>
            <w:rPr>
              <w:sz w:val="30"/>
              <w:szCs w:val="30"/>
            </w:rPr>
            <w:fldChar w:fldCharType="end"/>
          </w:r>
          <w:r>
            <w:rPr>
              <w:rFonts w:ascii="仿宋_GB2312" w:hAnsi="仿宋_GB2312" w:eastAsia="仿宋_GB2312" w:cs="仿宋_GB2312"/>
              <w:color w:val="auto"/>
              <w:sz w:val="30"/>
              <w:szCs w:val="30"/>
              <w:highlight w:val="none"/>
            </w:rPr>
            <w:fldChar w:fldCharType="end"/>
          </w:r>
        </w:p>
        <w:p w14:paraId="476AC96B">
          <w:pPr>
            <w:pStyle w:val="16"/>
            <w:keepNext w:val="0"/>
            <w:keepLines w:val="0"/>
            <w:pageBreakBefore w:val="0"/>
            <w:widowControl w:val="0"/>
            <w:tabs>
              <w:tab w:val="right" w:leader="dot" w:pos="8689"/>
            </w:tabs>
            <w:kinsoku/>
            <w:wordWrap/>
            <w:overflowPunct/>
            <w:topLinePunct w:val="0"/>
            <w:autoSpaceDE/>
            <w:autoSpaceDN/>
            <w:bidi w:val="0"/>
            <w:adjustRightInd/>
            <w:snapToGrid/>
            <w:spacing w:before="157" w:beforeLines="50"/>
            <w:textAlignment w:val="auto"/>
            <w:rPr>
              <w:sz w:val="30"/>
              <w:szCs w:val="30"/>
            </w:rPr>
          </w:pPr>
          <w:r>
            <w:rPr>
              <w:rFonts w:ascii="仿宋_GB2312" w:hAnsi="仿宋_GB2312" w:eastAsia="仿宋_GB2312" w:cs="仿宋_GB2312"/>
              <w:color w:val="auto"/>
              <w:sz w:val="30"/>
              <w:szCs w:val="30"/>
              <w:highlight w:val="none"/>
            </w:rPr>
            <w:fldChar w:fldCharType="begin"/>
          </w:r>
          <w:r>
            <w:rPr>
              <w:rFonts w:ascii="仿宋_GB2312" w:hAnsi="仿宋_GB2312" w:eastAsia="仿宋_GB2312" w:cs="仿宋_GB2312"/>
              <w:sz w:val="30"/>
              <w:szCs w:val="30"/>
              <w:highlight w:val="none"/>
            </w:rPr>
            <w:instrText xml:space="preserve"> HYPERLINK \l _Toc28388 </w:instrText>
          </w:r>
          <w:r>
            <w:rPr>
              <w:rFonts w:ascii="仿宋_GB2312" w:hAnsi="仿宋_GB2312" w:eastAsia="仿宋_GB2312" w:cs="仿宋_GB2312"/>
              <w:sz w:val="30"/>
              <w:szCs w:val="30"/>
              <w:highlight w:val="none"/>
            </w:rPr>
            <w:fldChar w:fldCharType="separate"/>
          </w:r>
          <w:r>
            <w:rPr>
              <w:rFonts w:hint="eastAsia" w:ascii="黑体" w:hAnsi="黑体" w:eastAsia="黑体" w:cs="黑体"/>
              <w:sz w:val="30"/>
              <w:szCs w:val="30"/>
              <w:highlight w:val="none"/>
              <w:lang w:val="en-US" w:eastAsia="zh-CN"/>
            </w:rPr>
            <w:t>二</w:t>
          </w:r>
          <w:r>
            <w:rPr>
              <w:rFonts w:hint="eastAsia" w:ascii="黑体" w:hAnsi="黑体" w:eastAsia="黑体" w:cs="黑体"/>
              <w:sz w:val="30"/>
              <w:szCs w:val="30"/>
              <w:highlight w:val="none"/>
            </w:rPr>
            <w:t>、聚焦扶弱济困，织牢民生兜底保障网</w:t>
          </w:r>
          <w:r>
            <w:rPr>
              <w:sz w:val="30"/>
              <w:szCs w:val="30"/>
            </w:rPr>
            <w:tab/>
          </w:r>
          <w:r>
            <w:rPr>
              <w:sz w:val="30"/>
              <w:szCs w:val="30"/>
            </w:rPr>
            <w:fldChar w:fldCharType="begin"/>
          </w:r>
          <w:r>
            <w:rPr>
              <w:sz w:val="30"/>
              <w:szCs w:val="30"/>
            </w:rPr>
            <w:instrText xml:space="preserve"> PAGEREF _Toc28388 \h </w:instrText>
          </w:r>
          <w:r>
            <w:rPr>
              <w:sz w:val="30"/>
              <w:szCs w:val="30"/>
            </w:rPr>
            <w:fldChar w:fldCharType="separate"/>
          </w:r>
          <w:r>
            <w:rPr>
              <w:sz w:val="30"/>
              <w:szCs w:val="30"/>
            </w:rPr>
            <w:t>29</w:t>
          </w:r>
          <w:r>
            <w:rPr>
              <w:sz w:val="30"/>
              <w:szCs w:val="30"/>
            </w:rPr>
            <w:fldChar w:fldCharType="end"/>
          </w:r>
          <w:r>
            <w:rPr>
              <w:rFonts w:ascii="仿宋_GB2312" w:hAnsi="仿宋_GB2312" w:eastAsia="仿宋_GB2312" w:cs="仿宋_GB2312"/>
              <w:color w:val="auto"/>
              <w:sz w:val="30"/>
              <w:szCs w:val="30"/>
              <w:highlight w:val="none"/>
            </w:rPr>
            <w:fldChar w:fldCharType="end"/>
          </w:r>
        </w:p>
        <w:p w14:paraId="671FDF65">
          <w:pPr>
            <w:pStyle w:val="9"/>
            <w:keepNext w:val="0"/>
            <w:keepLines w:val="0"/>
            <w:pageBreakBefore w:val="0"/>
            <w:widowControl w:val="0"/>
            <w:tabs>
              <w:tab w:val="right" w:leader="dot" w:pos="8689"/>
            </w:tabs>
            <w:kinsoku/>
            <w:wordWrap/>
            <w:overflowPunct/>
            <w:topLinePunct w:val="0"/>
            <w:autoSpaceDE/>
            <w:autoSpaceDN/>
            <w:bidi w:val="0"/>
            <w:adjustRightInd/>
            <w:snapToGrid/>
            <w:spacing w:before="157" w:beforeLines="50"/>
            <w:textAlignment w:val="auto"/>
            <w:rPr>
              <w:sz w:val="30"/>
              <w:szCs w:val="30"/>
            </w:rPr>
          </w:pPr>
          <w:r>
            <w:rPr>
              <w:rFonts w:ascii="仿宋_GB2312" w:hAnsi="仿宋_GB2312" w:eastAsia="仿宋_GB2312" w:cs="仿宋_GB2312"/>
              <w:color w:val="auto"/>
              <w:sz w:val="30"/>
              <w:szCs w:val="30"/>
              <w:highlight w:val="none"/>
            </w:rPr>
            <w:fldChar w:fldCharType="begin"/>
          </w:r>
          <w:r>
            <w:rPr>
              <w:rFonts w:ascii="仿宋_GB2312" w:hAnsi="仿宋_GB2312" w:eastAsia="仿宋_GB2312" w:cs="仿宋_GB2312"/>
              <w:sz w:val="30"/>
              <w:szCs w:val="30"/>
              <w:highlight w:val="none"/>
            </w:rPr>
            <w:instrText xml:space="preserve"> HYPERLINK \l _Toc6939 </w:instrText>
          </w:r>
          <w:r>
            <w:rPr>
              <w:rFonts w:ascii="仿宋_GB2312" w:hAnsi="仿宋_GB2312" w:eastAsia="仿宋_GB2312" w:cs="仿宋_GB2312"/>
              <w:sz w:val="30"/>
              <w:szCs w:val="30"/>
              <w:highlight w:val="none"/>
            </w:rPr>
            <w:fldChar w:fldCharType="separate"/>
          </w:r>
          <w:r>
            <w:rPr>
              <w:rFonts w:hint="eastAsia" w:ascii="华文中宋" w:hAnsi="华文中宋" w:eastAsia="华文中宋" w:cs="华文中宋"/>
              <w:sz w:val="30"/>
              <w:szCs w:val="30"/>
              <w:highlight w:val="none"/>
            </w:rPr>
            <w:t>（一）打造精准高效的“大救助”体系</w:t>
          </w:r>
          <w:r>
            <w:rPr>
              <w:sz w:val="30"/>
              <w:szCs w:val="30"/>
            </w:rPr>
            <w:tab/>
          </w:r>
          <w:r>
            <w:rPr>
              <w:sz w:val="30"/>
              <w:szCs w:val="30"/>
            </w:rPr>
            <w:fldChar w:fldCharType="begin"/>
          </w:r>
          <w:r>
            <w:rPr>
              <w:sz w:val="30"/>
              <w:szCs w:val="30"/>
            </w:rPr>
            <w:instrText xml:space="preserve"> PAGEREF _Toc6939 \h </w:instrText>
          </w:r>
          <w:r>
            <w:rPr>
              <w:sz w:val="30"/>
              <w:szCs w:val="30"/>
            </w:rPr>
            <w:fldChar w:fldCharType="separate"/>
          </w:r>
          <w:r>
            <w:rPr>
              <w:sz w:val="30"/>
              <w:szCs w:val="30"/>
            </w:rPr>
            <w:t>29</w:t>
          </w:r>
          <w:r>
            <w:rPr>
              <w:sz w:val="30"/>
              <w:szCs w:val="30"/>
            </w:rPr>
            <w:fldChar w:fldCharType="end"/>
          </w:r>
          <w:r>
            <w:rPr>
              <w:rFonts w:ascii="仿宋_GB2312" w:hAnsi="仿宋_GB2312" w:eastAsia="仿宋_GB2312" w:cs="仿宋_GB2312"/>
              <w:color w:val="auto"/>
              <w:sz w:val="30"/>
              <w:szCs w:val="30"/>
              <w:highlight w:val="none"/>
            </w:rPr>
            <w:fldChar w:fldCharType="end"/>
          </w:r>
        </w:p>
        <w:p w14:paraId="39C14D27">
          <w:pPr>
            <w:pStyle w:val="9"/>
            <w:keepNext w:val="0"/>
            <w:keepLines w:val="0"/>
            <w:pageBreakBefore w:val="0"/>
            <w:widowControl w:val="0"/>
            <w:tabs>
              <w:tab w:val="right" w:leader="dot" w:pos="8689"/>
            </w:tabs>
            <w:kinsoku/>
            <w:wordWrap/>
            <w:overflowPunct/>
            <w:topLinePunct w:val="0"/>
            <w:autoSpaceDE/>
            <w:autoSpaceDN/>
            <w:bidi w:val="0"/>
            <w:adjustRightInd/>
            <w:snapToGrid/>
            <w:spacing w:before="157" w:beforeLines="50"/>
            <w:textAlignment w:val="auto"/>
            <w:rPr>
              <w:sz w:val="30"/>
              <w:szCs w:val="30"/>
            </w:rPr>
          </w:pPr>
          <w:r>
            <w:rPr>
              <w:rFonts w:ascii="仿宋_GB2312" w:hAnsi="仿宋_GB2312" w:eastAsia="仿宋_GB2312" w:cs="仿宋_GB2312"/>
              <w:color w:val="auto"/>
              <w:sz w:val="30"/>
              <w:szCs w:val="30"/>
              <w:highlight w:val="none"/>
            </w:rPr>
            <w:fldChar w:fldCharType="begin"/>
          </w:r>
          <w:r>
            <w:rPr>
              <w:rFonts w:ascii="仿宋_GB2312" w:hAnsi="仿宋_GB2312" w:eastAsia="仿宋_GB2312" w:cs="仿宋_GB2312"/>
              <w:sz w:val="30"/>
              <w:szCs w:val="30"/>
              <w:highlight w:val="none"/>
            </w:rPr>
            <w:instrText xml:space="preserve"> HYPERLINK \l _Toc1761 </w:instrText>
          </w:r>
          <w:r>
            <w:rPr>
              <w:rFonts w:ascii="仿宋_GB2312" w:hAnsi="仿宋_GB2312" w:eastAsia="仿宋_GB2312" w:cs="仿宋_GB2312"/>
              <w:sz w:val="30"/>
              <w:szCs w:val="30"/>
              <w:highlight w:val="none"/>
            </w:rPr>
            <w:fldChar w:fldCharType="separate"/>
          </w:r>
          <w:r>
            <w:rPr>
              <w:rFonts w:hint="eastAsia" w:ascii="华文中宋" w:hAnsi="华文中宋" w:eastAsia="华文中宋" w:cs="华文中宋"/>
              <w:sz w:val="30"/>
              <w:szCs w:val="30"/>
              <w:highlight w:val="none"/>
              <w:lang w:val="en-US" w:eastAsia="zh-CN"/>
            </w:rPr>
            <w:t>（二）优化社会救助服务</w:t>
          </w:r>
          <w:r>
            <w:rPr>
              <w:sz w:val="30"/>
              <w:szCs w:val="30"/>
            </w:rPr>
            <w:tab/>
          </w:r>
          <w:r>
            <w:rPr>
              <w:sz w:val="30"/>
              <w:szCs w:val="30"/>
            </w:rPr>
            <w:fldChar w:fldCharType="begin"/>
          </w:r>
          <w:r>
            <w:rPr>
              <w:sz w:val="30"/>
              <w:szCs w:val="30"/>
            </w:rPr>
            <w:instrText xml:space="preserve"> PAGEREF _Toc1761 \h </w:instrText>
          </w:r>
          <w:r>
            <w:rPr>
              <w:sz w:val="30"/>
              <w:szCs w:val="30"/>
            </w:rPr>
            <w:fldChar w:fldCharType="separate"/>
          </w:r>
          <w:r>
            <w:rPr>
              <w:sz w:val="30"/>
              <w:szCs w:val="30"/>
            </w:rPr>
            <w:t>30</w:t>
          </w:r>
          <w:r>
            <w:rPr>
              <w:sz w:val="30"/>
              <w:szCs w:val="30"/>
            </w:rPr>
            <w:fldChar w:fldCharType="end"/>
          </w:r>
          <w:r>
            <w:rPr>
              <w:rFonts w:ascii="仿宋_GB2312" w:hAnsi="仿宋_GB2312" w:eastAsia="仿宋_GB2312" w:cs="仿宋_GB2312"/>
              <w:color w:val="auto"/>
              <w:sz w:val="30"/>
              <w:szCs w:val="30"/>
              <w:highlight w:val="none"/>
            </w:rPr>
            <w:fldChar w:fldCharType="end"/>
          </w:r>
        </w:p>
        <w:p w14:paraId="132AC0DA">
          <w:pPr>
            <w:pStyle w:val="9"/>
            <w:keepNext w:val="0"/>
            <w:keepLines w:val="0"/>
            <w:pageBreakBefore w:val="0"/>
            <w:widowControl w:val="0"/>
            <w:tabs>
              <w:tab w:val="right" w:leader="dot" w:pos="8689"/>
            </w:tabs>
            <w:kinsoku/>
            <w:wordWrap/>
            <w:overflowPunct/>
            <w:topLinePunct w:val="0"/>
            <w:autoSpaceDE/>
            <w:autoSpaceDN/>
            <w:bidi w:val="0"/>
            <w:adjustRightInd/>
            <w:snapToGrid/>
            <w:spacing w:before="157" w:beforeLines="50"/>
            <w:textAlignment w:val="auto"/>
            <w:rPr>
              <w:sz w:val="30"/>
              <w:szCs w:val="30"/>
            </w:rPr>
          </w:pPr>
          <w:r>
            <w:rPr>
              <w:rFonts w:ascii="仿宋_GB2312" w:hAnsi="仿宋_GB2312" w:eastAsia="仿宋_GB2312" w:cs="仿宋_GB2312"/>
              <w:color w:val="auto"/>
              <w:sz w:val="30"/>
              <w:szCs w:val="30"/>
              <w:highlight w:val="none"/>
            </w:rPr>
            <w:fldChar w:fldCharType="begin"/>
          </w:r>
          <w:r>
            <w:rPr>
              <w:rFonts w:ascii="仿宋_GB2312" w:hAnsi="仿宋_GB2312" w:eastAsia="仿宋_GB2312" w:cs="仿宋_GB2312"/>
              <w:sz w:val="30"/>
              <w:szCs w:val="30"/>
              <w:highlight w:val="none"/>
            </w:rPr>
            <w:instrText xml:space="preserve"> HYPERLINK \l _Toc6780 </w:instrText>
          </w:r>
          <w:r>
            <w:rPr>
              <w:rFonts w:ascii="仿宋_GB2312" w:hAnsi="仿宋_GB2312" w:eastAsia="仿宋_GB2312" w:cs="仿宋_GB2312"/>
              <w:sz w:val="30"/>
              <w:szCs w:val="30"/>
              <w:highlight w:val="none"/>
            </w:rPr>
            <w:fldChar w:fldCharType="separate"/>
          </w:r>
          <w:r>
            <w:rPr>
              <w:rFonts w:hint="eastAsia" w:ascii="华文中宋" w:hAnsi="华文中宋" w:eastAsia="华文中宋" w:cs="华文中宋"/>
              <w:sz w:val="30"/>
              <w:szCs w:val="30"/>
              <w:highlight w:val="none"/>
              <w:lang w:val="en-US" w:eastAsia="zh-CN"/>
            </w:rPr>
            <w:t>（三）动态监测救助对象</w:t>
          </w:r>
          <w:r>
            <w:rPr>
              <w:sz w:val="30"/>
              <w:szCs w:val="30"/>
            </w:rPr>
            <w:tab/>
          </w:r>
          <w:r>
            <w:rPr>
              <w:sz w:val="30"/>
              <w:szCs w:val="30"/>
            </w:rPr>
            <w:fldChar w:fldCharType="begin"/>
          </w:r>
          <w:r>
            <w:rPr>
              <w:sz w:val="30"/>
              <w:szCs w:val="30"/>
            </w:rPr>
            <w:instrText xml:space="preserve"> PAGEREF _Toc6780 \h </w:instrText>
          </w:r>
          <w:r>
            <w:rPr>
              <w:sz w:val="30"/>
              <w:szCs w:val="30"/>
            </w:rPr>
            <w:fldChar w:fldCharType="separate"/>
          </w:r>
          <w:r>
            <w:rPr>
              <w:sz w:val="30"/>
              <w:szCs w:val="30"/>
            </w:rPr>
            <w:t>31</w:t>
          </w:r>
          <w:r>
            <w:rPr>
              <w:sz w:val="30"/>
              <w:szCs w:val="30"/>
            </w:rPr>
            <w:fldChar w:fldCharType="end"/>
          </w:r>
          <w:r>
            <w:rPr>
              <w:rFonts w:ascii="仿宋_GB2312" w:hAnsi="仿宋_GB2312" w:eastAsia="仿宋_GB2312" w:cs="仿宋_GB2312"/>
              <w:color w:val="auto"/>
              <w:sz w:val="30"/>
              <w:szCs w:val="30"/>
              <w:highlight w:val="none"/>
            </w:rPr>
            <w:fldChar w:fldCharType="end"/>
          </w:r>
        </w:p>
        <w:p w14:paraId="795D922A">
          <w:pPr>
            <w:pStyle w:val="9"/>
            <w:keepNext w:val="0"/>
            <w:keepLines w:val="0"/>
            <w:pageBreakBefore w:val="0"/>
            <w:widowControl w:val="0"/>
            <w:tabs>
              <w:tab w:val="right" w:leader="dot" w:pos="8689"/>
            </w:tabs>
            <w:kinsoku/>
            <w:wordWrap/>
            <w:overflowPunct/>
            <w:topLinePunct w:val="0"/>
            <w:autoSpaceDE/>
            <w:autoSpaceDN/>
            <w:bidi w:val="0"/>
            <w:adjustRightInd/>
            <w:snapToGrid/>
            <w:spacing w:before="157" w:beforeLines="50"/>
            <w:textAlignment w:val="auto"/>
            <w:rPr>
              <w:sz w:val="30"/>
              <w:szCs w:val="30"/>
            </w:rPr>
          </w:pPr>
          <w:r>
            <w:rPr>
              <w:rFonts w:ascii="仿宋_GB2312" w:hAnsi="仿宋_GB2312" w:eastAsia="仿宋_GB2312" w:cs="仿宋_GB2312"/>
              <w:color w:val="auto"/>
              <w:sz w:val="30"/>
              <w:szCs w:val="30"/>
              <w:highlight w:val="none"/>
            </w:rPr>
            <w:fldChar w:fldCharType="begin"/>
          </w:r>
          <w:r>
            <w:rPr>
              <w:rFonts w:ascii="仿宋_GB2312" w:hAnsi="仿宋_GB2312" w:eastAsia="仿宋_GB2312" w:cs="仿宋_GB2312"/>
              <w:sz w:val="30"/>
              <w:szCs w:val="30"/>
              <w:highlight w:val="none"/>
            </w:rPr>
            <w:instrText xml:space="preserve"> HYPERLINK \l _Toc8792 </w:instrText>
          </w:r>
          <w:r>
            <w:rPr>
              <w:rFonts w:ascii="仿宋_GB2312" w:hAnsi="仿宋_GB2312" w:eastAsia="仿宋_GB2312" w:cs="仿宋_GB2312"/>
              <w:sz w:val="30"/>
              <w:szCs w:val="30"/>
              <w:highlight w:val="none"/>
            </w:rPr>
            <w:fldChar w:fldCharType="separate"/>
          </w:r>
          <w:r>
            <w:rPr>
              <w:rFonts w:hint="eastAsia" w:ascii="华文中宋" w:hAnsi="华文中宋" w:eastAsia="华文中宋" w:cs="华文中宋"/>
              <w:sz w:val="30"/>
              <w:szCs w:val="30"/>
              <w:highlight w:val="none"/>
              <w:lang w:val="en-US" w:eastAsia="zh-CN"/>
            </w:rPr>
            <w:t>（四）推动儿童福利工作提质增效</w:t>
          </w:r>
          <w:r>
            <w:rPr>
              <w:sz w:val="30"/>
              <w:szCs w:val="30"/>
            </w:rPr>
            <w:tab/>
          </w:r>
          <w:r>
            <w:rPr>
              <w:sz w:val="30"/>
              <w:szCs w:val="30"/>
            </w:rPr>
            <w:fldChar w:fldCharType="begin"/>
          </w:r>
          <w:r>
            <w:rPr>
              <w:sz w:val="30"/>
              <w:szCs w:val="30"/>
            </w:rPr>
            <w:instrText xml:space="preserve"> PAGEREF _Toc8792 \h </w:instrText>
          </w:r>
          <w:r>
            <w:rPr>
              <w:sz w:val="30"/>
              <w:szCs w:val="30"/>
            </w:rPr>
            <w:fldChar w:fldCharType="separate"/>
          </w:r>
          <w:r>
            <w:rPr>
              <w:sz w:val="30"/>
              <w:szCs w:val="30"/>
            </w:rPr>
            <w:t>32</w:t>
          </w:r>
          <w:r>
            <w:rPr>
              <w:sz w:val="30"/>
              <w:szCs w:val="30"/>
            </w:rPr>
            <w:fldChar w:fldCharType="end"/>
          </w:r>
          <w:r>
            <w:rPr>
              <w:rFonts w:ascii="仿宋_GB2312" w:hAnsi="仿宋_GB2312" w:eastAsia="仿宋_GB2312" w:cs="仿宋_GB2312"/>
              <w:color w:val="auto"/>
              <w:sz w:val="30"/>
              <w:szCs w:val="30"/>
              <w:highlight w:val="none"/>
            </w:rPr>
            <w:fldChar w:fldCharType="end"/>
          </w:r>
        </w:p>
        <w:p w14:paraId="44BC7A14">
          <w:pPr>
            <w:pStyle w:val="9"/>
            <w:keepNext w:val="0"/>
            <w:keepLines w:val="0"/>
            <w:pageBreakBefore w:val="0"/>
            <w:widowControl w:val="0"/>
            <w:tabs>
              <w:tab w:val="right" w:leader="dot" w:pos="8689"/>
            </w:tabs>
            <w:kinsoku/>
            <w:wordWrap/>
            <w:overflowPunct/>
            <w:topLinePunct w:val="0"/>
            <w:autoSpaceDE/>
            <w:autoSpaceDN/>
            <w:bidi w:val="0"/>
            <w:adjustRightInd/>
            <w:snapToGrid/>
            <w:spacing w:before="157" w:beforeLines="50"/>
            <w:textAlignment w:val="auto"/>
            <w:rPr>
              <w:sz w:val="30"/>
              <w:szCs w:val="30"/>
            </w:rPr>
          </w:pPr>
          <w:r>
            <w:rPr>
              <w:rFonts w:ascii="仿宋_GB2312" w:hAnsi="仿宋_GB2312" w:eastAsia="仿宋_GB2312" w:cs="仿宋_GB2312"/>
              <w:color w:val="auto"/>
              <w:sz w:val="30"/>
              <w:szCs w:val="30"/>
              <w:highlight w:val="none"/>
            </w:rPr>
            <w:fldChar w:fldCharType="begin"/>
          </w:r>
          <w:r>
            <w:rPr>
              <w:rFonts w:ascii="仿宋_GB2312" w:hAnsi="仿宋_GB2312" w:eastAsia="仿宋_GB2312" w:cs="仿宋_GB2312"/>
              <w:sz w:val="30"/>
              <w:szCs w:val="30"/>
              <w:highlight w:val="none"/>
            </w:rPr>
            <w:instrText xml:space="preserve"> HYPERLINK \l _Toc11369 </w:instrText>
          </w:r>
          <w:r>
            <w:rPr>
              <w:rFonts w:ascii="仿宋_GB2312" w:hAnsi="仿宋_GB2312" w:eastAsia="仿宋_GB2312" w:cs="仿宋_GB2312"/>
              <w:sz w:val="30"/>
              <w:szCs w:val="30"/>
              <w:highlight w:val="none"/>
            </w:rPr>
            <w:fldChar w:fldCharType="separate"/>
          </w:r>
          <w:r>
            <w:rPr>
              <w:rFonts w:hint="eastAsia" w:ascii="华文中宋" w:hAnsi="华文中宋" w:eastAsia="华文中宋" w:cs="华文中宋"/>
              <w:sz w:val="30"/>
              <w:szCs w:val="30"/>
              <w:highlight w:val="none"/>
            </w:rPr>
            <w:t>（</w:t>
          </w:r>
          <w:r>
            <w:rPr>
              <w:rFonts w:hint="eastAsia" w:ascii="华文中宋" w:hAnsi="华文中宋" w:eastAsia="华文中宋" w:cs="华文中宋"/>
              <w:sz w:val="30"/>
              <w:szCs w:val="30"/>
              <w:highlight w:val="none"/>
              <w:lang w:val="en-US" w:eastAsia="zh-CN"/>
            </w:rPr>
            <w:t>五</w:t>
          </w:r>
          <w:r>
            <w:rPr>
              <w:rFonts w:hint="eastAsia" w:ascii="华文中宋" w:hAnsi="华文中宋" w:eastAsia="华文中宋" w:cs="华文中宋"/>
              <w:sz w:val="30"/>
              <w:szCs w:val="30"/>
              <w:highlight w:val="none"/>
            </w:rPr>
            <w:t>）完善残疾人社会保障制度</w:t>
          </w:r>
          <w:r>
            <w:rPr>
              <w:sz w:val="30"/>
              <w:szCs w:val="30"/>
            </w:rPr>
            <w:tab/>
          </w:r>
          <w:r>
            <w:rPr>
              <w:sz w:val="30"/>
              <w:szCs w:val="30"/>
            </w:rPr>
            <w:fldChar w:fldCharType="begin"/>
          </w:r>
          <w:r>
            <w:rPr>
              <w:sz w:val="30"/>
              <w:szCs w:val="30"/>
            </w:rPr>
            <w:instrText xml:space="preserve"> PAGEREF _Toc11369 \h </w:instrText>
          </w:r>
          <w:r>
            <w:rPr>
              <w:sz w:val="30"/>
              <w:szCs w:val="30"/>
            </w:rPr>
            <w:fldChar w:fldCharType="separate"/>
          </w:r>
          <w:r>
            <w:rPr>
              <w:sz w:val="30"/>
              <w:szCs w:val="30"/>
            </w:rPr>
            <w:t>34</w:t>
          </w:r>
          <w:r>
            <w:rPr>
              <w:sz w:val="30"/>
              <w:szCs w:val="30"/>
            </w:rPr>
            <w:fldChar w:fldCharType="end"/>
          </w:r>
          <w:r>
            <w:rPr>
              <w:rFonts w:ascii="仿宋_GB2312" w:hAnsi="仿宋_GB2312" w:eastAsia="仿宋_GB2312" w:cs="仿宋_GB2312"/>
              <w:color w:val="auto"/>
              <w:sz w:val="30"/>
              <w:szCs w:val="30"/>
              <w:highlight w:val="none"/>
            </w:rPr>
            <w:fldChar w:fldCharType="end"/>
          </w:r>
        </w:p>
        <w:p w14:paraId="3F0D5358">
          <w:pPr>
            <w:pStyle w:val="16"/>
            <w:keepNext w:val="0"/>
            <w:keepLines w:val="0"/>
            <w:pageBreakBefore w:val="0"/>
            <w:widowControl w:val="0"/>
            <w:tabs>
              <w:tab w:val="right" w:leader="dot" w:pos="8689"/>
            </w:tabs>
            <w:kinsoku/>
            <w:wordWrap/>
            <w:overflowPunct/>
            <w:topLinePunct w:val="0"/>
            <w:autoSpaceDE/>
            <w:autoSpaceDN/>
            <w:bidi w:val="0"/>
            <w:adjustRightInd/>
            <w:snapToGrid/>
            <w:spacing w:before="157" w:beforeLines="50"/>
            <w:textAlignment w:val="auto"/>
            <w:rPr>
              <w:sz w:val="30"/>
              <w:szCs w:val="30"/>
            </w:rPr>
          </w:pPr>
          <w:r>
            <w:rPr>
              <w:rFonts w:ascii="仿宋_GB2312" w:hAnsi="仿宋_GB2312" w:eastAsia="仿宋_GB2312" w:cs="仿宋_GB2312"/>
              <w:color w:val="auto"/>
              <w:sz w:val="30"/>
              <w:szCs w:val="30"/>
              <w:highlight w:val="none"/>
            </w:rPr>
            <w:fldChar w:fldCharType="begin"/>
          </w:r>
          <w:r>
            <w:rPr>
              <w:rFonts w:ascii="仿宋_GB2312" w:hAnsi="仿宋_GB2312" w:eastAsia="仿宋_GB2312" w:cs="仿宋_GB2312"/>
              <w:sz w:val="30"/>
              <w:szCs w:val="30"/>
              <w:highlight w:val="none"/>
            </w:rPr>
            <w:instrText xml:space="preserve"> HYPERLINK \l _Toc11323 </w:instrText>
          </w:r>
          <w:r>
            <w:rPr>
              <w:rFonts w:ascii="仿宋_GB2312" w:hAnsi="仿宋_GB2312" w:eastAsia="仿宋_GB2312" w:cs="仿宋_GB2312"/>
              <w:sz w:val="30"/>
              <w:szCs w:val="30"/>
              <w:highlight w:val="none"/>
            </w:rPr>
            <w:fldChar w:fldCharType="separate"/>
          </w:r>
          <w:r>
            <w:rPr>
              <w:rFonts w:hint="eastAsia" w:ascii="黑体" w:hAnsi="黑体" w:eastAsia="黑体" w:cs="黑体"/>
              <w:sz w:val="30"/>
              <w:szCs w:val="30"/>
              <w:highlight w:val="none"/>
            </w:rPr>
            <w:t>三、</w:t>
          </w:r>
          <w:r>
            <w:rPr>
              <w:rFonts w:hint="eastAsia" w:ascii="黑体" w:hAnsi="黑体" w:eastAsia="黑体" w:cs="黑体"/>
              <w:sz w:val="30"/>
              <w:szCs w:val="30"/>
              <w:highlight w:val="none"/>
              <w:lang w:val="en-US" w:eastAsia="zh-CN"/>
            </w:rPr>
            <w:t>坚持高质量发展，</w:t>
          </w:r>
          <w:r>
            <w:rPr>
              <w:rFonts w:hint="eastAsia" w:ascii="黑体" w:hAnsi="黑体" w:eastAsia="黑体" w:cs="黑体"/>
              <w:sz w:val="30"/>
              <w:szCs w:val="30"/>
              <w:highlight w:val="none"/>
            </w:rPr>
            <w:t>激活治理新动能</w:t>
          </w:r>
          <w:r>
            <w:rPr>
              <w:sz w:val="30"/>
              <w:szCs w:val="30"/>
            </w:rPr>
            <w:tab/>
          </w:r>
          <w:r>
            <w:rPr>
              <w:sz w:val="30"/>
              <w:szCs w:val="30"/>
            </w:rPr>
            <w:fldChar w:fldCharType="begin"/>
          </w:r>
          <w:r>
            <w:rPr>
              <w:sz w:val="30"/>
              <w:szCs w:val="30"/>
            </w:rPr>
            <w:instrText xml:space="preserve"> PAGEREF _Toc11323 \h </w:instrText>
          </w:r>
          <w:r>
            <w:rPr>
              <w:sz w:val="30"/>
              <w:szCs w:val="30"/>
            </w:rPr>
            <w:fldChar w:fldCharType="separate"/>
          </w:r>
          <w:r>
            <w:rPr>
              <w:sz w:val="30"/>
              <w:szCs w:val="30"/>
            </w:rPr>
            <w:t>35</w:t>
          </w:r>
          <w:r>
            <w:rPr>
              <w:sz w:val="30"/>
              <w:szCs w:val="30"/>
            </w:rPr>
            <w:fldChar w:fldCharType="end"/>
          </w:r>
          <w:r>
            <w:rPr>
              <w:rFonts w:ascii="仿宋_GB2312" w:hAnsi="仿宋_GB2312" w:eastAsia="仿宋_GB2312" w:cs="仿宋_GB2312"/>
              <w:color w:val="auto"/>
              <w:sz w:val="30"/>
              <w:szCs w:val="30"/>
              <w:highlight w:val="none"/>
            </w:rPr>
            <w:fldChar w:fldCharType="end"/>
          </w:r>
        </w:p>
        <w:p w14:paraId="2F40AD23">
          <w:pPr>
            <w:pStyle w:val="9"/>
            <w:keepNext w:val="0"/>
            <w:keepLines w:val="0"/>
            <w:pageBreakBefore w:val="0"/>
            <w:widowControl w:val="0"/>
            <w:tabs>
              <w:tab w:val="right" w:leader="dot" w:pos="8689"/>
            </w:tabs>
            <w:kinsoku/>
            <w:wordWrap/>
            <w:overflowPunct/>
            <w:topLinePunct w:val="0"/>
            <w:autoSpaceDE/>
            <w:autoSpaceDN/>
            <w:bidi w:val="0"/>
            <w:adjustRightInd/>
            <w:snapToGrid/>
            <w:spacing w:before="157" w:beforeLines="50"/>
            <w:textAlignment w:val="auto"/>
            <w:rPr>
              <w:sz w:val="30"/>
              <w:szCs w:val="30"/>
            </w:rPr>
          </w:pPr>
          <w:r>
            <w:rPr>
              <w:rFonts w:ascii="仿宋_GB2312" w:hAnsi="仿宋_GB2312" w:eastAsia="仿宋_GB2312" w:cs="仿宋_GB2312"/>
              <w:color w:val="auto"/>
              <w:sz w:val="30"/>
              <w:szCs w:val="30"/>
              <w:highlight w:val="none"/>
            </w:rPr>
            <w:fldChar w:fldCharType="begin"/>
          </w:r>
          <w:r>
            <w:rPr>
              <w:rFonts w:ascii="仿宋_GB2312" w:hAnsi="仿宋_GB2312" w:eastAsia="仿宋_GB2312" w:cs="仿宋_GB2312"/>
              <w:sz w:val="30"/>
              <w:szCs w:val="30"/>
              <w:highlight w:val="none"/>
            </w:rPr>
            <w:instrText xml:space="preserve"> HYPERLINK \l _Toc2537 </w:instrText>
          </w:r>
          <w:r>
            <w:rPr>
              <w:rFonts w:ascii="仿宋_GB2312" w:hAnsi="仿宋_GB2312" w:eastAsia="仿宋_GB2312" w:cs="仿宋_GB2312"/>
              <w:sz w:val="30"/>
              <w:szCs w:val="30"/>
              <w:highlight w:val="none"/>
            </w:rPr>
            <w:fldChar w:fldCharType="separate"/>
          </w:r>
          <w:r>
            <w:rPr>
              <w:rFonts w:hint="eastAsia" w:ascii="华文中宋" w:hAnsi="华文中宋" w:eastAsia="华文中宋" w:cs="华文中宋"/>
              <w:sz w:val="30"/>
              <w:szCs w:val="30"/>
              <w:highlight w:val="none"/>
            </w:rPr>
            <w:t>（一）</w:t>
          </w:r>
          <w:r>
            <w:rPr>
              <w:rFonts w:hint="eastAsia" w:ascii="华文中宋" w:hAnsi="华文中宋" w:eastAsia="华文中宋" w:cs="华文中宋"/>
              <w:sz w:val="30"/>
              <w:szCs w:val="30"/>
              <w:highlight w:val="none"/>
              <w:lang w:val="en-US" w:eastAsia="zh-CN"/>
            </w:rPr>
            <w:t>加强</w:t>
          </w:r>
          <w:r>
            <w:rPr>
              <w:rFonts w:hint="eastAsia" w:ascii="华文中宋" w:hAnsi="华文中宋" w:eastAsia="华文中宋" w:cs="华文中宋"/>
              <w:sz w:val="30"/>
              <w:szCs w:val="30"/>
              <w:highlight w:val="none"/>
            </w:rPr>
            <w:t>社会组织</w:t>
          </w:r>
          <w:r>
            <w:rPr>
              <w:rFonts w:hint="eastAsia" w:ascii="华文中宋" w:hAnsi="华文中宋" w:eastAsia="华文中宋" w:cs="华文中宋"/>
              <w:sz w:val="30"/>
              <w:szCs w:val="30"/>
              <w:highlight w:val="none"/>
              <w:lang w:val="en-US" w:eastAsia="zh-CN"/>
            </w:rPr>
            <w:t>培育管理</w:t>
          </w:r>
          <w:r>
            <w:rPr>
              <w:sz w:val="30"/>
              <w:szCs w:val="30"/>
            </w:rPr>
            <w:tab/>
          </w:r>
          <w:r>
            <w:rPr>
              <w:sz w:val="30"/>
              <w:szCs w:val="30"/>
            </w:rPr>
            <w:fldChar w:fldCharType="begin"/>
          </w:r>
          <w:r>
            <w:rPr>
              <w:sz w:val="30"/>
              <w:szCs w:val="30"/>
            </w:rPr>
            <w:instrText xml:space="preserve"> PAGEREF _Toc2537 \h </w:instrText>
          </w:r>
          <w:r>
            <w:rPr>
              <w:sz w:val="30"/>
              <w:szCs w:val="30"/>
            </w:rPr>
            <w:fldChar w:fldCharType="separate"/>
          </w:r>
          <w:r>
            <w:rPr>
              <w:sz w:val="30"/>
              <w:szCs w:val="30"/>
            </w:rPr>
            <w:t>35</w:t>
          </w:r>
          <w:r>
            <w:rPr>
              <w:sz w:val="30"/>
              <w:szCs w:val="30"/>
            </w:rPr>
            <w:fldChar w:fldCharType="end"/>
          </w:r>
          <w:r>
            <w:rPr>
              <w:rFonts w:ascii="仿宋_GB2312" w:hAnsi="仿宋_GB2312" w:eastAsia="仿宋_GB2312" w:cs="仿宋_GB2312"/>
              <w:color w:val="auto"/>
              <w:sz w:val="30"/>
              <w:szCs w:val="30"/>
              <w:highlight w:val="none"/>
            </w:rPr>
            <w:fldChar w:fldCharType="end"/>
          </w:r>
        </w:p>
        <w:p w14:paraId="0E9DFF68">
          <w:pPr>
            <w:pStyle w:val="9"/>
            <w:keepNext w:val="0"/>
            <w:keepLines w:val="0"/>
            <w:pageBreakBefore w:val="0"/>
            <w:widowControl w:val="0"/>
            <w:tabs>
              <w:tab w:val="right" w:leader="dot" w:pos="8689"/>
            </w:tabs>
            <w:kinsoku/>
            <w:wordWrap/>
            <w:overflowPunct/>
            <w:topLinePunct w:val="0"/>
            <w:autoSpaceDE/>
            <w:autoSpaceDN/>
            <w:bidi w:val="0"/>
            <w:adjustRightInd/>
            <w:snapToGrid/>
            <w:spacing w:before="157" w:beforeLines="50"/>
            <w:textAlignment w:val="auto"/>
            <w:rPr>
              <w:sz w:val="30"/>
              <w:szCs w:val="30"/>
            </w:rPr>
          </w:pPr>
          <w:r>
            <w:rPr>
              <w:rFonts w:ascii="仿宋_GB2312" w:hAnsi="仿宋_GB2312" w:eastAsia="仿宋_GB2312" w:cs="仿宋_GB2312"/>
              <w:color w:val="auto"/>
              <w:sz w:val="30"/>
              <w:szCs w:val="30"/>
              <w:highlight w:val="none"/>
            </w:rPr>
            <w:fldChar w:fldCharType="begin"/>
          </w:r>
          <w:r>
            <w:rPr>
              <w:rFonts w:ascii="仿宋_GB2312" w:hAnsi="仿宋_GB2312" w:eastAsia="仿宋_GB2312" w:cs="仿宋_GB2312"/>
              <w:sz w:val="30"/>
              <w:szCs w:val="30"/>
              <w:highlight w:val="none"/>
            </w:rPr>
            <w:instrText xml:space="preserve"> HYPERLINK \l _Toc29667 </w:instrText>
          </w:r>
          <w:r>
            <w:rPr>
              <w:rFonts w:ascii="仿宋_GB2312" w:hAnsi="仿宋_GB2312" w:eastAsia="仿宋_GB2312" w:cs="仿宋_GB2312"/>
              <w:sz w:val="30"/>
              <w:szCs w:val="30"/>
              <w:highlight w:val="none"/>
            </w:rPr>
            <w:fldChar w:fldCharType="separate"/>
          </w:r>
          <w:r>
            <w:rPr>
              <w:rFonts w:hint="eastAsia" w:ascii="华文中宋" w:hAnsi="华文中宋" w:eastAsia="华文中宋" w:cs="华文中宋"/>
              <w:sz w:val="30"/>
              <w:szCs w:val="30"/>
              <w:highlight w:val="none"/>
            </w:rPr>
            <w:t>（二）</w:t>
          </w:r>
          <w:r>
            <w:rPr>
              <w:rFonts w:hint="eastAsia" w:ascii="华文中宋" w:hAnsi="华文中宋" w:eastAsia="华文中宋" w:cs="华文中宋"/>
              <w:sz w:val="30"/>
              <w:szCs w:val="30"/>
              <w:highlight w:val="none"/>
              <w:lang w:eastAsia="zh-CN"/>
            </w:rPr>
            <w:t>推动</w:t>
          </w:r>
          <w:r>
            <w:rPr>
              <w:rFonts w:hint="eastAsia" w:ascii="华文中宋" w:hAnsi="华文中宋" w:eastAsia="华文中宋" w:cs="华文中宋"/>
              <w:sz w:val="30"/>
              <w:szCs w:val="30"/>
              <w:highlight w:val="none"/>
            </w:rPr>
            <w:t>慈善事业高质量发展</w:t>
          </w:r>
          <w:r>
            <w:rPr>
              <w:sz w:val="30"/>
              <w:szCs w:val="30"/>
            </w:rPr>
            <w:tab/>
          </w:r>
          <w:r>
            <w:rPr>
              <w:sz w:val="30"/>
              <w:szCs w:val="30"/>
            </w:rPr>
            <w:fldChar w:fldCharType="begin"/>
          </w:r>
          <w:r>
            <w:rPr>
              <w:sz w:val="30"/>
              <w:szCs w:val="30"/>
            </w:rPr>
            <w:instrText xml:space="preserve"> PAGEREF _Toc29667 \h </w:instrText>
          </w:r>
          <w:r>
            <w:rPr>
              <w:sz w:val="30"/>
              <w:szCs w:val="30"/>
            </w:rPr>
            <w:fldChar w:fldCharType="separate"/>
          </w:r>
          <w:r>
            <w:rPr>
              <w:sz w:val="30"/>
              <w:szCs w:val="30"/>
            </w:rPr>
            <w:t>35</w:t>
          </w:r>
          <w:r>
            <w:rPr>
              <w:sz w:val="30"/>
              <w:szCs w:val="30"/>
            </w:rPr>
            <w:fldChar w:fldCharType="end"/>
          </w:r>
          <w:r>
            <w:rPr>
              <w:rFonts w:ascii="仿宋_GB2312" w:hAnsi="仿宋_GB2312" w:eastAsia="仿宋_GB2312" w:cs="仿宋_GB2312"/>
              <w:color w:val="auto"/>
              <w:sz w:val="30"/>
              <w:szCs w:val="30"/>
              <w:highlight w:val="none"/>
            </w:rPr>
            <w:fldChar w:fldCharType="end"/>
          </w:r>
        </w:p>
        <w:p w14:paraId="645602C5">
          <w:pPr>
            <w:pStyle w:val="9"/>
            <w:keepNext w:val="0"/>
            <w:keepLines w:val="0"/>
            <w:pageBreakBefore w:val="0"/>
            <w:widowControl w:val="0"/>
            <w:tabs>
              <w:tab w:val="right" w:leader="dot" w:pos="8689"/>
            </w:tabs>
            <w:kinsoku/>
            <w:wordWrap/>
            <w:overflowPunct/>
            <w:topLinePunct w:val="0"/>
            <w:autoSpaceDE/>
            <w:autoSpaceDN/>
            <w:bidi w:val="0"/>
            <w:adjustRightInd/>
            <w:snapToGrid/>
            <w:spacing w:before="157" w:beforeLines="50"/>
            <w:textAlignment w:val="auto"/>
            <w:rPr>
              <w:sz w:val="30"/>
              <w:szCs w:val="30"/>
            </w:rPr>
          </w:pPr>
          <w:r>
            <w:rPr>
              <w:rFonts w:ascii="仿宋_GB2312" w:hAnsi="仿宋_GB2312" w:eastAsia="仿宋_GB2312" w:cs="仿宋_GB2312"/>
              <w:color w:val="auto"/>
              <w:sz w:val="30"/>
              <w:szCs w:val="30"/>
              <w:highlight w:val="none"/>
            </w:rPr>
            <w:fldChar w:fldCharType="begin"/>
          </w:r>
          <w:r>
            <w:rPr>
              <w:rFonts w:ascii="仿宋_GB2312" w:hAnsi="仿宋_GB2312" w:eastAsia="仿宋_GB2312" w:cs="仿宋_GB2312"/>
              <w:sz w:val="30"/>
              <w:szCs w:val="30"/>
              <w:highlight w:val="none"/>
            </w:rPr>
            <w:instrText xml:space="preserve"> HYPERLINK \l _Toc7576 </w:instrText>
          </w:r>
          <w:r>
            <w:rPr>
              <w:rFonts w:ascii="仿宋_GB2312" w:hAnsi="仿宋_GB2312" w:eastAsia="仿宋_GB2312" w:cs="仿宋_GB2312"/>
              <w:sz w:val="30"/>
              <w:szCs w:val="30"/>
              <w:highlight w:val="none"/>
            </w:rPr>
            <w:fldChar w:fldCharType="separate"/>
          </w:r>
          <w:r>
            <w:rPr>
              <w:rFonts w:hint="eastAsia" w:ascii="华文中宋" w:hAnsi="华文中宋" w:eastAsia="华文中宋" w:cs="华文中宋"/>
              <w:sz w:val="30"/>
              <w:szCs w:val="30"/>
              <w:highlight w:val="none"/>
            </w:rPr>
            <w:t>（三）提升区划地名管理水平</w:t>
          </w:r>
          <w:r>
            <w:rPr>
              <w:sz w:val="30"/>
              <w:szCs w:val="30"/>
            </w:rPr>
            <w:tab/>
          </w:r>
          <w:r>
            <w:rPr>
              <w:sz w:val="30"/>
              <w:szCs w:val="30"/>
            </w:rPr>
            <w:fldChar w:fldCharType="begin"/>
          </w:r>
          <w:r>
            <w:rPr>
              <w:sz w:val="30"/>
              <w:szCs w:val="30"/>
            </w:rPr>
            <w:instrText xml:space="preserve"> PAGEREF _Toc7576 \h </w:instrText>
          </w:r>
          <w:r>
            <w:rPr>
              <w:sz w:val="30"/>
              <w:szCs w:val="30"/>
            </w:rPr>
            <w:fldChar w:fldCharType="separate"/>
          </w:r>
          <w:r>
            <w:rPr>
              <w:sz w:val="30"/>
              <w:szCs w:val="30"/>
            </w:rPr>
            <w:t>36</w:t>
          </w:r>
          <w:r>
            <w:rPr>
              <w:sz w:val="30"/>
              <w:szCs w:val="30"/>
            </w:rPr>
            <w:fldChar w:fldCharType="end"/>
          </w:r>
          <w:r>
            <w:rPr>
              <w:rFonts w:ascii="仿宋_GB2312" w:hAnsi="仿宋_GB2312" w:eastAsia="仿宋_GB2312" w:cs="仿宋_GB2312"/>
              <w:color w:val="auto"/>
              <w:sz w:val="30"/>
              <w:szCs w:val="30"/>
              <w:highlight w:val="none"/>
            </w:rPr>
            <w:fldChar w:fldCharType="end"/>
          </w:r>
        </w:p>
        <w:p w14:paraId="3578FD64">
          <w:pPr>
            <w:pStyle w:val="16"/>
            <w:keepNext w:val="0"/>
            <w:keepLines w:val="0"/>
            <w:pageBreakBefore w:val="0"/>
            <w:widowControl w:val="0"/>
            <w:tabs>
              <w:tab w:val="right" w:leader="dot" w:pos="8689"/>
            </w:tabs>
            <w:kinsoku/>
            <w:wordWrap/>
            <w:overflowPunct/>
            <w:topLinePunct w:val="0"/>
            <w:autoSpaceDE/>
            <w:autoSpaceDN/>
            <w:bidi w:val="0"/>
            <w:adjustRightInd/>
            <w:snapToGrid/>
            <w:spacing w:before="157" w:beforeLines="50"/>
            <w:textAlignment w:val="auto"/>
            <w:rPr>
              <w:sz w:val="30"/>
              <w:szCs w:val="30"/>
            </w:rPr>
          </w:pPr>
          <w:r>
            <w:rPr>
              <w:rFonts w:ascii="仿宋_GB2312" w:hAnsi="仿宋_GB2312" w:eastAsia="仿宋_GB2312" w:cs="仿宋_GB2312"/>
              <w:color w:val="auto"/>
              <w:sz w:val="30"/>
              <w:szCs w:val="30"/>
              <w:highlight w:val="none"/>
            </w:rPr>
            <w:fldChar w:fldCharType="begin"/>
          </w:r>
          <w:r>
            <w:rPr>
              <w:rFonts w:ascii="仿宋_GB2312" w:hAnsi="仿宋_GB2312" w:eastAsia="仿宋_GB2312" w:cs="仿宋_GB2312"/>
              <w:sz w:val="30"/>
              <w:szCs w:val="30"/>
              <w:highlight w:val="none"/>
            </w:rPr>
            <w:instrText xml:space="preserve"> HYPERLINK \l _Toc22399 </w:instrText>
          </w:r>
          <w:r>
            <w:rPr>
              <w:rFonts w:ascii="仿宋_GB2312" w:hAnsi="仿宋_GB2312" w:eastAsia="仿宋_GB2312" w:cs="仿宋_GB2312"/>
              <w:sz w:val="30"/>
              <w:szCs w:val="30"/>
              <w:highlight w:val="none"/>
            </w:rPr>
            <w:fldChar w:fldCharType="separate"/>
          </w:r>
          <w:r>
            <w:rPr>
              <w:rFonts w:hint="eastAsia" w:ascii="黑体" w:hAnsi="黑体" w:eastAsia="黑体" w:cs="黑体"/>
              <w:sz w:val="30"/>
              <w:szCs w:val="30"/>
              <w:highlight w:val="none"/>
            </w:rPr>
            <w:t>四、聚力便民惠民</w:t>
          </w:r>
          <w:r>
            <w:rPr>
              <w:rFonts w:hint="eastAsia" w:ascii="黑体" w:hAnsi="黑体" w:eastAsia="黑体" w:cs="黑体"/>
              <w:sz w:val="30"/>
              <w:szCs w:val="30"/>
              <w:highlight w:val="none"/>
              <w:lang w:eastAsia="zh-CN"/>
            </w:rPr>
            <w:t>，</w:t>
          </w:r>
          <w:r>
            <w:rPr>
              <w:rFonts w:hint="eastAsia" w:ascii="黑体" w:hAnsi="黑体" w:eastAsia="黑体" w:cs="黑体"/>
              <w:sz w:val="30"/>
              <w:szCs w:val="30"/>
              <w:highlight w:val="none"/>
            </w:rPr>
            <w:t>促进专项社会事务提质增效</w:t>
          </w:r>
          <w:r>
            <w:rPr>
              <w:sz w:val="30"/>
              <w:szCs w:val="30"/>
            </w:rPr>
            <w:tab/>
          </w:r>
          <w:r>
            <w:rPr>
              <w:sz w:val="30"/>
              <w:szCs w:val="30"/>
            </w:rPr>
            <w:fldChar w:fldCharType="begin"/>
          </w:r>
          <w:r>
            <w:rPr>
              <w:sz w:val="30"/>
              <w:szCs w:val="30"/>
            </w:rPr>
            <w:instrText xml:space="preserve"> PAGEREF _Toc22399 \h </w:instrText>
          </w:r>
          <w:r>
            <w:rPr>
              <w:sz w:val="30"/>
              <w:szCs w:val="30"/>
            </w:rPr>
            <w:fldChar w:fldCharType="separate"/>
          </w:r>
          <w:r>
            <w:rPr>
              <w:sz w:val="30"/>
              <w:szCs w:val="30"/>
            </w:rPr>
            <w:t>37</w:t>
          </w:r>
          <w:r>
            <w:rPr>
              <w:sz w:val="30"/>
              <w:szCs w:val="30"/>
            </w:rPr>
            <w:fldChar w:fldCharType="end"/>
          </w:r>
          <w:r>
            <w:rPr>
              <w:rFonts w:ascii="仿宋_GB2312" w:hAnsi="仿宋_GB2312" w:eastAsia="仿宋_GB2312" w:cs="仿宋_GB2312"/>
              <w:color w:val="auto"/>
              <w:sz w:val="30"/>
              <w:szCs w:val="30"/>
              <w:highlight w:val="none"/>
            </w:rPr>
            <w:fldChar w:fldCharType="end"/>
          </w:r>
        </w:p>
        <w:p w14:paraId="0C304E39">
          <w:pPr>
            <w:pStyle w:val="9"/>
            <w:keepNext w:val="0"/>
            <w:keepLines w:val="0"/>
            <w:pageBreakBefore w:val="0"/>
            <w:widowControl w:val="0"/>
            <w:tabs>
              <w:tab w:val="right" w:leader="dot" w:pos="8689"/>
            </w:tabs>
            <w:kinsoku/>
            <w:wordWrap/>
            <w:overflowPunct/>
            <w:topLinePunct w:val="0"/>
            <w:autoSpaceDE/>
            <w:autoSpaceDN/>
            <w:bidi w:val="0"/>
            <w:adjustRightInd/>
            <w:snapToGrid/>
            <w:spacing w:before="157" w:beforeLines="50"/>
            <w:textAlignment w:val="auto"/>
            <w:rPr>
              <w:sz w:val="30"/>
              <w:szCs w:val="30"/>
            </w:rPr>
          </w:pPr>
          <w:r>
            <w:rPr>
              <w:rFonts w:ascii="仿宋_GB2312" w:hAnsi="仿宋_GB2312" w:eastAsia="仿宋_GB2312" w:cs="仿宋_GB2312"/>
              <w:color w:val="auto"/>
              <w:sz w:val="30"/>
              <w:szCs w:val="30"/>
              <w:highlight w:val="none"/>
            </w:rPr>
            <w:fldChar w:fldCharType="begin"/>
          </w:r>
          <w:r>
            <w:rPr>
              <w:rFonts w:ascii="仿宋_GB2312" w:hAnsi="仿宋_GB2312" w:eastAsia="仿宋_GB2312" w:cs="仿宋_GB2312"/>
              <w:sz w:val="30"/>
              <w:szCs w:val="30"/>
              <w:highlight w:val="none"/>
            </w:rPr>
            <w:instrText xml:space="preserve"> HYPERLINK \l _Toc31459 </w:instrText>
          </w:r>
          <w:r>
            <w:rPr>
              <w:rFonts w:ascii="仿宋_GB2312" w:hAnsi="仿宋_GB2312" w:eastAsia="仿宋_GB2312" w:cs="仿宋_GB2312"/>
              <w:sz w:val="30"/>
              <w:szCs w:val="30"/>
              <w:highlight w:val="none"/>
            </w:rPr>
            <w:fldChar w:fldCharType="separate"/>
          </w:r>
          <w:r>
            <w:rPr>
              <w:rFonts w:hint="eastAsia" w:ascii="华文中宋" w:hAnsi="华文中宋" w:eastAsia="华文中宋" w:cs="华文中宋"/>
              <w:sz w:val="30"/>
              <w:szCs w:val="30"/>
              <w:highlight w:val="none"/>
            </w:rPr>
            <w:t>（</w:t>
          </w:r>
          <w:r>
            <w:rPr>
              <w:rFonts w:hint="eastAsia" w:ascii="华文中宋" w:hAnsi="华文中宋" w:eastAsia="华文中宋" w:cs="华文中宋"/>
              <w:sz w:val="30"/>
              <w:szCs w:val="30"/>
              <w:highlight w:val="none"/>
              <w:lang w:val="en-US" w:eastAsia="zh-CN"/>
            </w:rPr>
            <w:t>一</w:t>
          </w:r>
          <w:r>
            <w:rPr>
              <w:rFonts w:hint="eastAsia" w:ascii="华文中宋" w:hAnsi="华文中宋" w:eastAsia="华文中宋" w:cs="华文中宋"/>
              <w:sz w:val="30"/>
              <w:szCs w:val="30"/>
              <w:highlight w:val="none"/>
            </w:rPr>
            <w:t>）</w:t>
          </w:r>
          <w:r>
            <w:rPr>
              <w:rFonts w:hint="eastAsia" w:ascii="华文中宋" w:hAnsi="华文中宋" w:eastAsia="华文中宋" w:cs="华文中宋"/>
              <w:sz w:val="30"/>
              <w:szCs w:val="30"/>
              <w:highlight w:val="none"/>
              <w:lang w:val="en-US" w:eastAsia="zh-CN"/>
            </w:rPr>
            <w:t>完善殡葬事务管理机制</w:t>
          </w:r>
          <w:r>
            <w:rPr>
              <w:sz w:val="30"/>
              <w:szCs w:val="30"/>
            </w:rPr>
            <w:tab/>
          </w:r>
          <w:r>
            <w:rPr>
              <w:sz w:val="30"/>
              <w:szCs w:val="30"/>
            </w:rPr>
            <w:fldChar w:fldCharType="begin"/>
          </w:r>
          <w:r>
            <w:rPr>
              <w:sz w:val="30"/>
              <w:szCs w:val="30"/>
            </w:rPr>
            <w:instrText xml:space="preserve"> PAGEREF _Toc31459 \h </w:instrText>
          </w:r>
          <w:r>
            <w:rPr>
              <w:sz w:val="30"/>
              <w:szCs w:val="30"/>
            </w:rPr>
            <w:fldChar w:fldCharType="separate"/>
          </w:r>
          <w:r>
            <w:rPr>
              <w:sz w:val="30"/>
              <w:szCs w:val="30"/>
            </w:rPr>
            <w:t>37</w:t>
          </w:r>
          <w:r>
            <w:rPr>
              <w:sz w:val="30"/>
              <w:szCs w:val="30"/>
            </w:rPr>
            <w:fldChar w:fldCharType="end"/>
          </w:r>
          <w:r>
            <w:rPr>
              <w:rFonts w:ascii="仿宋_GB2312" w:hAnsi="仿宋_GB2312" w:eastAsia="仿宋_GB2312" w:cs="仿宋_GB2312"/>
              <w:color w:val="auto"/>
              <w:sz w:val="30"/>
              <w:szCs w:val="30"/>
              <w:highlight w:val="none"/>
            </w:rPr>
            <w:fldChar w:fldCharType="end"/>
          </w:r>
        </w:p>
        <w:p w14:paraId="6D0A2CF4">
          <w:pPr>
            <w:pStyle w:val="9"/>
            <w:keepNext w:val="0"/>
            <w:keepLines w:val="0"/>
            <w:pageBreakBefore w:val="0"/>
            <w:widowControl w:val="0"/>
            <w:tabs>
              <w:tab w:val="right" w:leader="dot" w:pos="8689"/>
            </w:tabs>
            <w:kinsoku/>
            <w:wordWrap/>
            <w:overflowPunct/>
            <w:topLinePunct w:val="0"/>
            <w:autoSpaceDE/>
            <w:autoSpaceDN/>
            <w:bidi w:val="0"/>
            <w:adjustRightInd/>
            <w:snapToGrid/>
            <w:spacing w:before="157" w:beforeLines="50"/>
            <w:textAlignment w:val="auto"/>
            <w:rPr>
              <w:sz w:val="30"/>
              <w:szCs w:val="30"/>
            </w:rPr>
          </w:pPr>
          <w:r>
            <w:rPr>
              <w:rFonts w:ascii="仿宋_GB2312" w:hAnsi="仿宋_GB2312" w:eastAsia="仿宋_GB2312" w:cs="仿宋_GB2312"/>
              <w:color w:val="auto"/>
              <w:sz w:val="30"/>
              <w:szCs w:val="30"/>
              <w:highlight w:val="none"/>
            </w:rPr>
            <w:fldChar w:fldCharType="begin"/>
          </w:r>
          <w:r>
            <w:rPr>
              <w:rFonts w:ascii="仿宋_GB2312" w:hAnsi="仿宋_GB2312" w:eastAsia="仿宋_GB2312" w:cs="仿宋_GB2312"/>
              <w:sz w:val="30"/>
              <w:szCs w:val="30"/>
              <w:highlight w:val="none"/>
            </w:rPr>
            <w:instrText xml:space="preserve"> HYPERLINK \l _Toc31453 </w:instrText>
          </w:r>
          <w:r>
            <w:rPr>
              <w:rFonts w:ascii="仿宋_GB2312" w:hAnsi="仿宋_GB2312" w:eastAsia="仿宋_GB2312" w:cs="仿宋_GB2312"/>
              <w:sz w:val="30"/>
              <w:szCs w:val="30"/>
              <w:highlight w:val="none"/>
            </w:rPr>
            <w:fldChar w:fldCharType="separate"/>
          </w:r>
          <w:r>
            <w:rPr>
              <w:rFonts w:hint="eastAsia" w:ascii="华文中宋" w:hAnsi="华文中宋" w:eastAsia="华文中宋" w:cs="华文中宋"/>
              <w:bCs w:val="0"/>
              <w:sz w:val="30"/>
              <w:szCs w:val="30"/>
              <w:highlight w:val="none"/>
            </w:rPr>
            <w:t>（</w:t>
          </w:r>
          <w:r>
            <w:rPr>
              <w:rFonts w:hint="eastAsia" w:ascii="华文中宋" w:hAnsi="华文中宋" w:eastAsia="华文中宋" w:cs="华文中宋"/>
              <w:bCs w:val="0"/>
              <w:sz w:val="30"/>
              <w:szCs w:val="30"/>
              <w:highlight w:val="none"/>
              <w:lang w:val="en-US" w:eastAsia="zh-CN"/>
            </w:rPr>
            <w:t>二</w:t>
          </w:r>
          <w:r>
            <w:rPr>
              <w:rFonts w:hint="eastAsia" w:ascii="华文中宋" w:hAnsi="华文中宋" w:eastAsia="华文中宋" w:cs="华文中宋"/>
              <w:bCs w:val="0"/>
              <w:sz w:val="30"/>
              <w:szCs w:val="30"/>
              <w:highlight w:val="none"/>
            </w:rPr>
            <w:t>）加强婚姻管理服务</w:t>
          </w:r>
          <w:r>
            <w:rPr>
              <w:sz w:val="30"/>
              <w:szCs w:val="30"/>
            </w:rPr>
            <w:tab/>
          </w:r>
          <w:r>
            <w:rPr>
              <w:sz w:val="30"/>
              <w:szCs w:val="30"/>
            </w:rPr>
            <w:fldChar w:fldCharType="begin"/>
          </w:r>
          <w:r>
            <w:rPr>
              <w:sz w:val="30"/>
              <w:szCs w:val="30"/>
            </w:rPr>
            <w:instrText xml:space="preserve"> PAGEREF _Toc31453 \h </w:instrText>
          </w:r>
          <w:r>
            <w:rPr>
              <w:sz w:val="30"/>
              <w:szCs w:val="30"/>
            </w:rPr>
            <w:fldChar w:fldCharType="separate"/>
          </w:r>
          <w:r>
            <w:rPr>
              <w:sz w:val="30"/>
              <w:szCs w:val="30"/>
            </w:rPr>
            <w:t>38</w:t>
          </w:r>
          <w:r>
            <w:rPr>
              <w:sz w:val="30"/>
              <w:szCs w:val="30"/>
            </w:rPr>
            <w:fldChar w:fldCharType="end"/>
          </w:r>
          <w:r>
            <w:rPr>
              <w:rFonts w:ascii="仿宋_GB2312" w:hAnsi="仿宋_GB2312" w:eastAsia="仿宋_GB2312" w:cs="仿宋_GB2312"/>
              <w:color w:val="auto"/>
              <w:sz w:val="30"/>
              <w:szCs w:val="30"/>
              <w:highlight w:val="none"/>
            </w:rPr>
            <w:fldChar w:fldCharType="end"/>
          </w:r>
        </w:p>
        <w:p w14:paraId="24D99665">
          <w:pPr>
            <w:pStyle w:val="9"/>
            <w:keepNext w:val="0"/>
            <w:keepLines w:val="0"/>
            <w:pageBreakBefore w:val="0"/>
            <w:widowControl w:val="0"/>
            <w:tabs>
              <w:tab w:val="right" w:leader="dot" w:pos="8689"/>
            </w:tabs>
            <w:kinsoku/>
            <w:wordWrap/>
            <w:overflowPunct/>
            <w:topLinePunct w:val="0"/>
            <w:autoSpaceDE/>
            <w:autoSpaceDN/>
            <w:bidi w:val="0"/>
            <w:adjustRightInd/>
            <w:snapToGrid/>
            <w:spacing w:before="157" w:beforeLines="50"/>
            <w:textAlignment w:val="auto"/>
            <w:rPr>
              <w:sz w:val="30"/>
              <w:szCs w:val="30"/>
            </w:rPr>
          </w:pPr>
          <w:r>
            <w:rPr>
              <w:rFonts w:ascii="仿宋_GB2312" w:hAnsi="仿宋_GB2312" w:eastAsia="仿宋_GB2312" w:cs="仿宋_GB2312"/>
              <w:color w:val="auto"/>
              <w:sz w:val="30"/>
              <w:szCs w:val="30"/>
              <w:highlight w:val="none"/>
            </w:rPr>
            <w:fldChar w:fldCharType="begin"/>
          </w:r>
          <w:r>
            <w:rPr>
              <w:rFonts w:ascii="仿宋_GB2312" w:hAnsi="仿宋_GB2312" w:eastAsia="仿宋_GB2312" w:cs="仿宋_GB2312"/>
              <w:sz w:val="30"/>
              <w:szCs w:val="30"/>
              <w:highlight w:val="none"/>
            </w:rPr>
            <w:instrText xml:space="preserve"> HYPERLINK \l _Toc25645 </w:instrText>
          </w:r>
          <w:r>
            <w:rPr>
              <w:rFonts w:ascii="仿宋_GB2312" w:hAnsi="仿宋_GB2312" w:eastAsia="仿宋_GB2312" w:cs="仿宋_GB2312"/>
              <w:sz w:val="30"/>
              <w:szCs w:val="30"/>
              <w:highlight w:val="none"/>
            </w:rPr>
            <w:fldChar w:fldCharType="separate"/>
          </w:r>
          <w:r>
            <w:rPr>
              <w:rFonts w:hint="eastAsia" w:ascii="华文中宋" w:hAnsi="华文中宋" w:eastAsia="华文中宋" w:cs="华文中宋"/>
              <w:sz w:val="30"/>
              <w:szCs w:val="30"/>
              <w:highlight w:val="none"/>
              <w:lang w:val="en-US" w:eastAsia="zh-CN"/>
            </w:rPr>
            <w:t>（三）推动救助管理服务转型升级</w:t>
          </w:r>
          <w:r>
            <w:rPr>
              <w:sz w:val="30"/>
              <w:szCs w:val="30"/>
            </w:rPr>
            <w:tab/>
          </w:r>
          <w:r>
            <w:rPr>
              <w:sz w:val="30"/>
              <w:szCs w:val="30"/>
            </w:rPr>
            <w:fldChar w:fldCharType="begin"/>
          </w:r>
          <w:r>
            <w:rPr>
              <w:sz w:val="30"/>
              <w:szCs w:val="30"/>
            </w:rPr>
            <w:instrText xml:space="preserve"> PAGEREF _Toc25645 \h </w:instrText>
          </w:r>
          <w:r>
            <w:rPr>
              <w:sz w:val="30"/>
              <w:szCs w:val="30"/>
            </w:rPr>
            <w:fldChar w:fldCharType="separate"/>
          </w:r>
          <w:r>
            <w:rPr>
              <w:sz w:val="30"/>
              <w:szCs w:val="30"/>
            </w:rPr>
            <w:t>40</w:t>
          </w:r>
          <w:r>
            <w:rPr>
              <w:sz w:val="30"/>
              <w:szCs w:val="30"/>
            </w:rPr>
            <w:fldChar w:fldCharType="end"/>
          </w:r>
          <w:r>
            <w:rPr>
              <w:rFonts w:ascii="仿宋_GB2312" w:hAnsi="仿宋_GB2312" w:eastAsia="仿宋_GB2312" w:cs="仿宋_GB2312"/>
              <w:color w:val="auto"/>
              <w:sz w:val="30"/>
              <w:szCs w:val="30"/>
              <w:highlight w:val="none"/>
            </w:rPr>
            <w:fldChar w:fldCharType="end"/>
          </w:r>
        </w:p>
        <w:p w14:paraId="7E4F7C1F">
          <w:pPr>
            <w:pStyle w:val="13"/>
            <w:keepNext w:val="0"/>
            <w:keepLines w:val="0"/>
            <w:pageBreakBefore w:val="0"/>
            <w:widowControl w:val="0"/>
            <w:tabs>
              <w:tab w:val="right" w:leader="dot" w:pos="8689"/>
            </w:tabs>
            <w:kinsoku/>
            <w:wordWrap/>
            <w:overflowPunct/>
            <w:topLinePunct w:val="0"/>
            <w:autoSpaceDE/>
            <w:autoSpaceDN/>
            <w:bidi w:val="0"/>
            <w:adjustRightInd/>
            <w:snapToGrid/>
            <w:spacing w:before="157" w:beforeLines="50"/>
            <w:textAlignment w:val="auto"/>
            <w:rPr>
              <w:sz w:val="30"/>
              <w:szCs w:val="30"/>
            </w:rPr>
          </w:pPr>
          <w:r>
            <w:rPr>
              <w:rFonts w:ascii="仿宋_GB2312" w:hAnsi="仿宋_GB2312" w:eastAsia="仿宋_GB2312" w:cs="仿宋_GB2312"/>
              <w:color w:val="auto"/>
              <w:sz w:val="30"/>
              <w:szCs w:val="30"/>
              <w:highlight w:val="none"/>
            </w:rPr>
            <w:fldChar w:fldCharType="begin"/>
          </w:r>
          <w:r>
            <w:rPr>
              <w:rFonts w:ascii="仿宋_GB2312" w:hAnsi="仿宋_GB2312" w:eastAsia="仿宋_GB2312" w:cs="仿宋_GB2312"/>
              <w:sz w:val="30"/>
              <w:szCs w:val="30"/>
              <w:highlight w:val="none"/>
            </w:rPr>
            <w:instrText xml:space="preserve"> HYPERLINK \l _Toc13685 </w:instrText>
          </w:r>
          <w:r>
            <w:rPr>
              <w:rFonts w:ascii="仿宋_GB2312" w:hAnsi="仿宋_GB2312" w:eastAsia="仿宋_GB2312" w:cs="仿宋_GB2312"/>
              <w:sz w:val="30"/>
              <w:szCs w:val="30"/>
              <w:highlight w:val="none"/>
            </w:rPr>
            <w:fldChar w:fldCharType="separate"/>
          </w:r>
          <w:r>
            <w:rPr>
              <w:rFonts w:hint="eastAsia" w:ascii="黑体" w:hAnsi="黑体" w:eastAsia="黑体"/>
              <w:sz w:val="30"/>
              <w:szCs w:val="30"/>
              <w:highlight w:val="none"/>
            </w:rPr>
            <w:t>第</w:t>
          </w:r>
          <w:r>
            <w:rPr>
              <w:rFonts w:hint="eastAsia" w:ascii="黑体" w:hAnsi="黑体" w:eastAsia="黑体"/>
              <w:sz w:val="30"/>
              <w:szCs w:val="30"/>
              <w:highlight w:val="none"/>
              <w:lang w:val="en-US" w:eastAsia="zh-CN"/>
            </w:rPr>
            <w:t>四</w:t>
          </w:r>
          <w:r>
            <w:rPr>
              <w:rFonts w:hint="eastAsia" w:ascii="黑体" w:hAnsi="黑体" w:eastAsia="黑体"/>
              <w:sz w:val="30"/>
              <w:szCs w:val="30"/>
              <w:highlight w:val="none"/>
            </w:rPr>
            <w:t>章  保障措施</w:t>
          </w:r>
          <w:r>
            <w:rPr>
              <w:sz w:val="30"/>
              <w:szCs w:val="30"/>
            </w:rPr>
            <w:tab/>
          </w:r>
          <w:r>
            <w:rPr>
              <w:sz w:val="30"/>
              <w:szCs w:val="30"/>
            </w:rPr>
            <w:fldChar w:fldCharType="begin"/>
          </w:r>
          <w:r>
            <w:rPr>
              <w:sz w:val="30"/>
              <w:szCs w:val="30"/>
            </w:rPr>
            <w:instrText xml:space="preserve"> PAGEREF _Toc13685 \h </w:instrText>
          </w:r>
          <w:r>
            <w:rPr>
              <w:sz w:val="30"/>
              <w:szCs w:val="30"/>
            </w:rPr>
            <w:fldChar w:fldCharType="separate"/>
          </w:r>
          <w:r>
            <w:rPr>
              <w:sz w:val="30"/>
              <w:szCs w:val="30"/>
            </w:rPr>
            <w:t>41</w:t>
          </w:r>
          <w:r>
            <w:rPr>
              <w:sz w:val="30"/>
              <w:szCs w:val="30"/>
            </w:rPr>
            <w:fldChar w:fldCharType="end"/>
          </w:r>
          <w:r>
            <w:rPr>
              <w:rFonts w:ascii="仿宋_GB2312" w:hAnsi="仿宋_GB2312" w:eastAsia="仿宋_GB2312" w:cs="仿宋_GB2312"/>
              <w:color w:val="auto"/>
              <w:sz w:val="30"/>
              <w:szCs w:val="30"/>
              <w:highlight w:val="none"/>
            </w:rPr>
            <w:fldChar w:fldCharType="end"/>
          </w:r>
        </w:p>
        <w:p w14:paraId="6A639EBC">
          <w:pPr>
            <w:pStyle w:val="16"/>
            <w:keepNext w:val="0"/>
            <w:keepLines w:val="0"/>
            <w:pageBreakBefore w:val="0"/>
            <w:widowControl w:val="0"/>
            <w:tabs>
              <w:tab w:val="right" w:leader="dot" w:pos="8689"/>
            </w:tabs>
            <w:kinsoku/>
            <w:wordWrap/>
            <w:overflowPunct/>
            <w:topLinePunct w:val="0"/>
            <w:autoSpaceDE/>
            <w:autoSpaceDN/>
            <w:bidi w:val="0"/>
            <w:adjustRightInd/>
            <w:snapToGrid/>
            <w:spacing w:before="157" w:beforeLines="50"/>
            <w:textAlignment w:val="auto"/>
            <w:rPr>
              <w:sz w:val="30"/>
              <w:szCs w:val="30"/>
            </w:rPr>
          </w:pPr>
          <w:r>
            <w:rPr>
              <w:rFonts w:ascii="仿宋_GB2312" w:hAnsi="仿宋_GB2312" w:eastAsia="仿宋_GB2312" w:cs="仿宋_GB2312"/>
              <w:color w:val="auto"/>
              <w:sz w:val="30"/>
              <w:szCs w:val="30"/>
              <w:highlight w:val="none"/>
            </w:rPr>
            <w:fldChar w:fldCharType="begin"/>
          </w:r>
          <w:r>
            <w:rPr>
              <w:rFonts w:ascii="仿宋_GB2312" w:hAnsi="仿宋_GB2312" w:eastAsia="仿宋_GB2312" w:cs="仿宋_GB2312"/>
              <w:sz w:val="30"/>
              <w:szCs w:val="30"/>
              <w:highlight w:val="none"/>
            </w:rPr>
            <w:instrText xml:space="preserve"> HYPERLINK \l _Toc32551 </w:instrText>
          </w:r>
          <w:r>
            <w:rPr>
              <w:rFonts w:ascii="仿宋_GB2312" w:hAnsi="仿宋_GB2312" w:eastAsia="仿宋_GB2312" w:cs="仿宋_GB2312"/>
              <w:sz w:val="30"/>
              <w:szCs w:val="30"/>
              <w:highlight w:val="none"/>
            </w:rPr>
            <w:fldChar w:fldCharType="separate"/>
          </w:r>
          <w:r>
            <w:rPr>
              <w:rFonts w:hint="eastAsia" w:ascii="黑体" w:hAnsi="黑体" w:eastAsia="黑体" w:cs="黑体"/>
              <w:sz w:val="30"/>
              <w:szCs w:val="30"/>
              <w:highlight w:val="none"/>
            </w:rPr>
            <w:t>一、加强党建引领</w:t>
          </w:r>
          <w:r>
            <w:rPr>
              <w:sz w:val="30"/>
              <w:szCs w:val="30"/>
            </w:rPr>
            <w:tab/>
          </w:r>
          <w:r>
            <w:rPr>
              <w:sz w:val="30"/>
              <w:szCs w:val="30"/>
            </w:rPr>
            <w:fldChar w:fldCharType="begin"/>
          </w:r>
          <w:r>
            <w:rPr>
              <w:sz w:val="30"/>
              <w:szCs w:val="30"/>
            </w:rPr>
            <w:instrText xml:space="preserve"> PAGEREF _Toc32551 \h </w:instrText>
          </w:r>
          <w:r>
            <w:rPr>
              <w:sz w:val="30"/>
              <w:szCs w:val="30"/>
            </w:rPr>
            <w:fldChar w:fldCharType="separate"/>
          </w:r>
          <w:r>
            <w:rPr>
              <w:sz w:val="30"/>
              <w:szCs w:val="30"/>
            </w:rPr>
            <w:t>41</w:t>
          </w:r>
          <w:r>
            <w:rPr>
              <w:sz w:val="30"/>
              <w:szCs w:val="30"/>
            </w:rPr>
            <w:fldChar w:fldCharType="end"/>
          </w:r>
          <w:r>
            <w:rPr>
              <w:rFonts w:ascii="仿宋_GB2312" w:hAnsi="仿宋_GB2312" w:eastAsia="仿宋_GB2312" w:cs="仿宋_GB2312"/>
              <w:color w:val="auto"/>
              <w:sz w:val="30"/>
              <w:szCs w:val="30"/>
              <w:highlight w:val="none"/>
            </w:rPr>
            <w:fldChar w:fldCharType="end"/>
          </w:r>
        </w:p>
        <w:p w14:paraId="28D6B288">
          <w:pPr>
            <w:pStyle w:val="16"/>
            <w:keepNext w:val="0"/>
            <w:keepLines w:val="0"/>
            <w:pageBreakBefore w:val="0"/>
            <w:widowControl w:val="0"/>
            <w:tabs>
              <w:tab w:val="right" w:leader="dot" w:pos="8689"/>
            </w:tabs>
            <w:kinsoku/>
            <w:wordWrap/>
            <w:overflowPunct/>
            <w:topLinePunct w:val="0"/>
            <w:autoSpaceDE/>
            <w:autoSpaceDN/>
            <w:bidi w:val="0"/>
            <w:adjustRightInd/>
            <w:snapToGrid/>
            <w:spacing w:before="157" w:beforeLines="50"/>
            <w:textAlignment w:val="auto"/>
            <w:rPr>
              <w:sz w:val="30"/>
              <w:szCs w:val="30"/>
            </w:rPr>
          </w:pPr>
          <w:r>
            <w:rPr>
              <w:rFonts w:ascii="仿宋_GB2312" w:hAnsi="仿宋_GB2312" w:eastAsia="仿宋_GB2312" w:cs="仿宋_GB2312"/>
              <w:color w:val="auto"/>
              <w:sz w:val="30"/>
              <w:szCs w:val="30"/>
              <w:highlight w:val="none"/>
            </w:rPr>
            <w:fldChar w:fldCharType="begin"/>
          </w:r>
          <w:r>
            <w:rPr>
              <w:rFonts w:ascii="仿宋_GB2312" w:hAnsi="仿宋_GB2312" w:eastAsia="仿宋_GB2312" w:cs="仿宋_GB2312"/>
              <w:sz w:val="30"/>
              <w:szCs w:val="30"/>
              <w:highlight w:val="none"/>
            </w:rPr>
            <w:instrText xml:space="preserve"> HYPERLINK \l _Toc31204 </w:instrText>
          </w:r>
          <w:r>
            <w:rPr>
              <w:rFonts w:ascii="仿宋_GB2312" w:hAnsi="仿宋_GB2312" w:eastAsia="仿宋_GB2312" w:cs="仿宋_GB2312"/>
              <w:sz w:val="30"/>
              <w:szCs w:val="30"/>
              <w:highlight w:val="none"/>
            </w:rPr>
            <w:fldChar w:fldCharType="separate"/>
          </w:r>
          <w:r>
            <w:rPr>
              <w:rFonts w:hint="eastAsia" w:ascii="黑体" w:hAnsi="黑体" w:eastAsia="黑体" w:cs="黑体"/>
              <w:sz w:val="30"/>
              <w:szCs w:val="30"/>
              <w:highlight w:val="none"/>
            </w:rPr>
            <w:t>二、强化统筹布局</w:t>
          </w:r>
          <w:r>
            <w:rPr>
              <w:sz w:val="30"/>
              <w:szCs w:val="30"/>
            </w:rPr>
            <w:tab/>
          </w:r>
          <w:r>
            <w:rPr>
              <w:sz w:val="30"/>
              <w:szCs w:val="30"/>
            </w:rPr>
            <w:fldChar w:fldCharType="begin"/>
          </w:r>
          <w:r>
            <w:rPr>
              <w:sz w:val="30"/>
              <w:szCs w:val="30"/>
            </w:rPr>
            <w:instrText xml:space="preserve"> PAGEREF _Toc31204 \h </w:instrText>
          </w:r>
          <w:r>
            <w:rPr>
              <w:sz w:val="30"/>
              <w:szCs w:val="30"/>
            </w:rPr>
            <w:fldChar w:fldCharType="separate"/>
          </w:r>
          <w:r>
            <w:rPr>
              <w:sz w:val="30"/>
              <w:szCs w:val="30"/>
            </w:rPr>
            <w:t>41</w:t>
          </w:r>
          <w:r>
            <w:rPr>
              <w:sz w:val="30"/>
              <w:szCs w:val="30"/>
            </w:rPr>
            <w:fldChar w:fldCharType="end"/>
          </w:r>
          <w:r>
            <w:rPr>
              <w:rFonts w:ascii="仿宋_GB2312" w:hAnsi="仿宋_GB2312" w:eastAsia="仿宋_GB2312" w:cs="仿宋_GB2312"/>
              <w:color w:val="auto"/>
              <w:sz w:val="30"/>
              <w:szCs w:val="30"/>
              <w:highlight w:val="none"/>
            </w:rPr>
            <w:fldChar w:fldCharType="end"/>
          </w:r>
        </w:p>
        <w:p w14:paraId="252255A4">
          <w:pPr>
            <w:pStyle w:val="16"/>
            <w:keepNext w:val="0"/>
            <w:keepLines w:val="0"/>
            <w:pageBreakBefore w:val="0"/>
            <w:widowControl w:val="0"/>
            <w:tabs>
              <w:tab w:val="right" w:leader="dot" w:pos="8689"/>
            </w:tabs>
            <w:kinsoku/>
            <w:wordWrap/>
            <w:overflowPunct/>
            <w:topLinePunct w:val="0"/>
            <w:autoSpaceDE/>
            <w:autoSpaceDN/>
            <w:bidi w:val="0"/>
            <w:adjustRightInd/>
            <w:snapToGrid/>
            <w:spacing w:before="157" w:beforeLines="50"/>
            <w:textAlignment w:val="auto"/>
            <w:rPr>
              <w:sz w:val="30"/>
              <w:szCs w:val="30"/>
            </w:rPr>
          </w:pPr>
          <w:r>
            <w:rPr>
              <w:rFonts w:ascii="仿宋_GB2312" w:hAnsi="仿宋_GB2312" w:eastAsia="仿宋_GB2312" w:cs="仿宋_GB2312"/>
              <w:color w:val="auto"/>
              <w:sz w:val="30"/>
              <w:szCs w:val="30"/>
              <w:highlight w:val="none"/>
            </w:rPr>
            <w:fldChar w:fldCharType="begin"/>
          </w:r>
          <w:r>
            <w:rPr>
              <w:rFonts w:ascii="仿宋_GB2312" w:hAnsi="仿宋_GB2312" w:eastAsia="仿宋_GB2312" w:cs="仿宋_GB2312"/>
              <w:sz w:val="30"/>
              <w:szCs w:val="30"/>
              <w:highlight w:val="none"/>
            </w:rPr>
            <w:instrText xml:space="preserve"> HYPERLINK \l _Toc4320 </w:instrText>
          </w:r>
          <w:r>
            <w:rPr>
              <w:rFonts w:ascii="仿宋_GB2312" w:hAnsi="仿宋_GB2312" w:eastAsia="仿宋_GB2312" w:cs="仿宋_GB2312"/>
              <w:sz w:val="30"/>
              <w:szCs w:val="30"/>
              <w:highlight w:val="none"/>
            </w:rPr>
            <w:fldChar w:fldCharType="separate"/>
          </w:r>
          <w:r>
            <w:rPr>
              <w:rFonts w:hint="eastAsia" w:ascii="黑体" w:hAnsi="黑体" w:eastAsia="黑体" w:cs="黑体"/>
              <w:sz w:val="30"/>
              <w:szCs w:val="30"/>
              <w:highlight w:val="none"/>
            </w:rPr>
            <w:t>三、</w:t>
          </w:r>
          <w:r>
            <w:rPr>
              <w:rFonts w:hint="eastAsia" w:ascii="黑体" w:hAnsi="黑体" w:eastAsia="黑体" w:cs="黑体"/>
              <w:sz w:val="30"/>
              <w:szCs w:val="30"/>
              <w:highlight w:val="none"/>
              <w:lang w:val="en-US" w:eastAsia="zh-CN"/>
            </w:rPr>
            <w:t>健全投入保障机制</w:t>
          </w:r>
          <w:r>
            <w:rPr>
              <w:sz w:val="30"/>
              <w:szCs w:val="30"/>
            </w:rPr>
            <w:tab/>
          </w:r>
          <w:r>
            <w:rPr>
              <w:sz w:val="30"/>
              <w:szCs w:val="30"/>
            </w:rPr>
            <w:fldChar w:fldCharType="begin"/>
          </w:r>
          <w:r>
            <w:rPr>
              <w:sz w:val="30"/>
              <w:szCs w:val="30"/>
            </w:rPr>
            <w:instrText xml:space="preserve"> PAGEREF _Toc4320 \h </w:instrText>
          </w:r>
          <w:r>
            <w:rPr>
              <w:sz w:val="30"/>
              <w:szCs w:val="30"/>
            </w:rPr>
            <w:fldChar w:fldCharType="separate"/>
          </w:r>
          <w:r>
            <w:rPr>
              <w:sz w:val="30"/>
              <w:szCs w:val="30"/>
            </w:rPr>
            <w:t>41</w:t>
          </w:r>
          <w:r>
            <w:rPr>
              <w:sz w:val="30"/>
              <w:szCs w:val="30"/>
            </w:rPr>
            <w:fldChar w:fldCharType="end"/>
          </w:r>
          <w:r>
            <w:rPr>
              <w:rFonts w:ascii="仿宋_GB2312" w:hAnsi="仿宋_GB2312" w:eastAsia="仿宋_GB2312" w:cs="仿宋_GB2312"/>
              <w:color w:val="auto"/>
              <w:sz w:val="30"/>
              <w:szCs w:val="30"/>
              <w:highlight w:val="none"/>
            </w:rPr>
            <w:fldChar w:fldCharType="end"/>
          </w:r>
        </w:p>
        <w:p w14:paraId="711DC933">
          <w:pPr>
            <w:pStyle w:val="16"/>
            <w:keepNext w:val="0"/>
            <w:keepLines w:val="0"/>
            <w:pageBreakBefore w:val="0"/>
            <w:widowControl w:val="0"/>
            <w:tabs>
              <w:tab w:val="right" w:leader="dot" w:pos="8689"/>
            </w:tabs>
            <w:kinsoku/>
            <w:wordWrap/>
            <w:overflowPunct/>
            <w:topLinePunct w:val="0"/>
            <w:autoSpaceDE/>
            <w:autoSpaceDN/>
            <w:bidi w:val="0"/>
            <w:adjustRightInd/>
            <w:snapToGrid/>
            <w:spacing w:before="157" w:beforeLines="50"/>
            <w:textAlignment w:val="auto"/>
            <w:rPr>
              <w:sz w:val="30"/>
              <w:szCs w:val="30"/>
            </w:rPr>
          </w:pPr>
          <w:r>
            <w:rPr>
              <w:rFonts w:ascii="仿宋_GB2312" w:hAnsi="仿宋_GB2312" w:eastAsia="仿宋_GB2312" w:cs="仿宋_GB2312"/>
              <w:color w:val="auto"/>
              <w:sz w:val="30"/>
              <w:szCs w:val="30"/>
              <w:highlight w:val="none"/>
            </w:rPr>
            <w:fldChar w:fldCharType="begin"/>
          </w:r>
          <w:r>
            <w:rPr>
              <w:rFonts w:ascii="仿宋_GB2312" w:hAnsi="仿宋_GB2312" w:eastAsia="仿宋_GB2312" w:cs="仿宋_GB2312"/>
              <w:sz w:val="30"/>
              <w:szCs w:val="30"/>
              <w:highlight w:val="none"/>
            </w:rPr>
            <w:instrText xml:space="preserve"> HYPERLINK \l _Toc19008 </w:instrText>
          </w:r>
          <w:r>
            <w:rPr>
              <w:rFonts w:ascii="仿宋_GB2312" w:hAnsi="仿宋_GB2312" w:eastAsia="仿宋_GB2312" w:cs="仿宋_GB2312"/>
              <w:sz w:val="30"/>
              <w:szCs w:val="30"/>
              <w:highlight w:val="none"/>
            </w:rPr>
            <w:fldChar w:fldCharType="separate"/>
          </w:r>
          <w:r>
            <w:rPr>
              <w:rFonts w:hint="eastAsia" w:ascii="黑体" w:hAnsi="黑体" w:eastAsia="黑体" w:cs="黑体"/>
              <w:kern w:val="2"/>
              <w:sz w:val="30"/>
              <w:szCs w:val="30"/>
              <w:highlight w:val="none"/>
              <w:lang w:val="en-US" w:eastAsia="zh-CN" w:bidi="ar-SA"/>
            </w:rPr>
            <w:t>四、</w:t>
          </w:r>
          <w:r>
            <w:rPr>
              <w:rFonts w:hint="eastAsia" w:ascii="黑体" w:hAnsi="黑体" w:eastAsia="黑体" w:cs="黑体"/>
              <w:sz w:val="30"/>
              <w:szCs w:val="30"/>
              <w:highlight w:val="none"/>
              <w:lang w:val="en-US" w:eastAsia="zh-CN"/>
            </w:rPr>
            <w:t>加强民政人才队伍建设</w:t>
          </w:r>
          <w:r>
            <w:rPr>
              <w:sz w:val="30"/>
              <w:szCs w:val="30"/>
            </w:rPr>
            <w:tab/>
          </w:r>
          <w:r>
            <w:rPr>
              <w:sz w:val="30"/>
              <w:szCs w:val="30"/>
            </w:rPr>
            <w:fldChar w:fldCharType="begin"/>
          </w:r>
          <w:r>
            <w:rPr>
              <w:sz w:val="30"/>
              <w:szCs w:val="30"/>
            </w:rPr>
            <w:instrText xml:space="preserve"> PAGEREF _Toc19008 \h </w:instrText>
          </w:r>
          <w:r>
            <w:rPr>
              <w:sz w:val="30"/>
              <w:szCs w:val="30"/>
            </w:rPr>
            <w:fldChar w:fldCharType="separate"/>
          </w:r>
          <w:r>
            <w:rPr>
              <w:sz w:val="30"/>
              <w:szCs w:val="30"/>
            </w:rPr>
            <w:t>42</w:t>
          </w:r>
          <w:r>
            <w:rPr>
              <w:sz w:val="30"/>
              <w:szCs w:val="30"/>
            </w:rPr>
            <w:fldChar w:fldCharType="end"/>
          </w:r>
          <w:r>
            <w:rPr>
              <w:rFonts w:ascii="仿宋_GB2312" w:hAnsi="仿宋_GB2312" w:eastAsia="仿宋_GB2312" w:cs="仿宋_GB2312"/>
              <w:color w:val="auto"/>
              <w:sz w:val="30"/>
              <w:szCs w:val="30"/>
              <w:highlight w:val="none"/>
            </w:rPr>
            <w:fldChar w:fldCharType="end"/>
          </w:r>
        </w:p>
        <w:p w14:paraId="6384E941">
          <w:pPr>
            <w:pStyle w:val="16"/>
            <w:keepNext w:val="0"/>
            <w:keepLines w:val="0"/>
            <w:pageBreakBefore w:val="0"/>
            <w:widowControl w:val="0"/>
            <w:tabs>
              <w:tab w:val="right" w:leader="dot" w:pos="8689"/>
            </w:tabs>
            <w:kinsoku/>
            <w:wordWrap/>
            <w:overflowPunct/>
            <w:topLinePunct w:val="0"/>
            <w:autoSpaceDE/>
            <w:autoSpaceDN/>
            <w:bidi w:val="0"/>
            <w:adjustRightInd/>
            <w:snapToGrid/>
            <w:spacing w:before="157" w:beforeLines="50"/>
            <w:textAlignment w:val="auto"/>
            <w:rPr>
              <w:sz w:val="30"/>
              <w:szCs w:val="30"/>
            </w:rPr>
          </w:pPr>
          <w:r>
            <w:rPr>
              <w:rFonts w:ascii="仿宋_GB2312" w:hAnsi="仿宋_GB2312" w:eastAsia="仿宋_GB2312" w:cs="仿宋_GB2312"/>
              <w:color w:val="auto"/>
              <w:sz w:val="30"/>
              <w:szCs w:val="30"/>
              <w:highlight w:val="none"/>
            </w:rPr>
            <w:fldChar w:fldCharType="begin"/>
          </w:r>
          <w:r>
            <w:rPr>
              <w:rFonts w:ascii="仿宋_GB2312" w:hAnsi="仿宋_GB2312" w:eastAsia="仿宋_GB2312" w:cs="仿宋_GB2312"/>
              <w:sz w:val="30"/>
              <w:szCs w:val="30"/>
              <w:highlight w:val="none"/>
            </w:rPr>
            <w:instrText xml:space="preserve"> HYPERLINK \l _Toc10072 </w:instrText>
          </w:r>
          <w:r>
            <w:rPr>
              <w:rFonts w:ascii="仿宋_GB2312" w:hAnsi="仿宋_GB2312" w:eastAsia="仿宋_GB2312" w:cs="仿宋_GB2312"/>
              <w:sz w:val="30"/>
              <w:szCs w:val="30"/>
              <w:highlight w:val="none"/>
            </w:rPr>
            <w:fldChar w:fldCharType="separate"/>
          </w:r>
          <w:r>
            <w:rPr>
              <w:rFonts w:hint="eastAsia" w:ascii="黑体" w:hAnsi="黑体" w:eastAsia="黑体" w:cs="黑体"/>
              <w:sz w:val="30"/>
              <w:szCs w:val="30"/>
              <w:highlight w:val="none"/>
              <w:lang w:val="en-US" w:eastAsia="zh-CN"/>
            </w:rPr>
            <w:t>五</w:t>
          </w:r>
          <w:r>
            <w:rPr>
              <w:rFonts w:hint="eastAsia" w:ascii="黑体" w:hAnsi="黑体" w:eastAsia="黑体" w:cs="黑体"/>
              <w:sz w:val="30"/>
              <w:szCs w:val="30"/>
              <w:highlight w:val="none"/>
            </w:rPr>
            <w:t>、推进民政数字化转型</w:t>
          </w:r>
          <w:r>
            <w:rPr>
              <w:sz w:val="30"/>
              <w:szCs w:val="30"/>
            </w:rPr>
            <w:tab/>
          </w:r>
          <w:r>
            <w:rPr>
              <w:sz w:val="30"/>
              <w:szCs w:val="30"/>
            </w:rPr>
            <w:fldChar w:fldCharType="begin"/>
          </w:r>
          <w:r>
            <w:rPr>
              <w:sz w:val="30"/>
              <w:szCs w:val="30"/>
            </w:rPr>
            <w:instrText xml:space="preserve"> PAGEREF _Toc10072 \h </w:instrText>
          </w:r>
          <w:r>
            <w:rPr>
              <w:sz w:val="30"/>
              <w:szCs w:val="30"/>
            </w:rPr>
            <w:fldChar w:fldCharType="separate"/>
          </w:r>
          <w:r>
            <w:rPr>
              <w:sz w:val="30"/>
              <w:szCs w:val="30"/>
            </w:rPr>
            <w:t>42</w:t>
          </w:r>
          <w:r>
            <w:rPr>
              <w:sz w:val="30"/>
              <w:szCs w:val="30"/>
            </w:rPr>
            <w:fldChar w:fldCharType="end"/>
          </w:r>
          <w:r>
            <w:rPr>
              <w:rFonts w:ascii="仿宋_GB2312" w:hAnsi="仿宋_GB2312" w:eastAsia="仿宋_GB2312" w:cs="仿宋_GB2312"/>
              <w:color w:val="auto"/>
              <w:sz w:val="30"/>
              <w:szCs w:val="30"/>
              <w:highlight w:val="none"/>
            </w:rPr>
            <w:fldChar w:fldCharType="end"/>
          </w:r>
        </w:p>
        <w:p w14:paraId="5F7ECD53">
          <w:pPr>
            <w:pStyle w:val="16"/>
            <w:keepNext w:val="0"/>
            <w:keepLines w:val="0"/>
            <w:pageBreakBefore w:val="0"/>
            <w:widowControl w:val="0"/>
            <w:tabs>
              <w:tab w:val="right" w:leader="dot" w:pos="8689"/>
            </w:tabs>
            <w:kinsoku/>
            <w:wordWrap/>
            <w:overflowPunct/>
            <w:topLinePunct w:val="0"/>
            <w:autoSpaceDE/>
            <w:autoSpaceDN/>
            <w:bidi w:val="0"/>
            <w:adjustRightInd/>
            <w:snapToGrid/>
            <w:spacing w:before="157" w:beforeLines="50"/>
            <w:textAlignment w:val="auto"/>
          </w:pPr>
          <w:r>
            <w:rPr>
              <w:rFonts w:ascii="仿宋_GB2312" w:hAnsi="仿宋_GB2312" w:eastAsia="仿宋_GB2312" w:cs="仿宋_GB2312"/>
              <w:color w:val="auto"/>
              <w:sz w:val="30"/>
              <w:szCs w:val="30"/>
              <w:highlight w:val="none"/>
            </w:rPr>
            <w:fldChar w:fldCharType="begin"/>
          </w:r>
          <w:r>
            <w:rPr>
              <w:rFonts w:ascii="仿宋_GB2312" w:hAnsi="仿宋_GB2312" w:eastAsia="仿宋_GB2312" w:cs="仿宋_GB2312"/>
              <w:sz w:val="30"/>
              <w:szCs w:val="30"/>
              <w:highlight w:val="none"/>
            </w:rPr>
            <w:instrText xml:space="preserve"> HYPERLINK \l _Toc10204 </w:instrText>
          </w:r>
          <w:r>
            <w:rPr>
              <w:rFonts w:ascii="仿宋_GB2312" w:hAnsi="仿宋_GB2312" w:eastAsia="仿宋_GB2312" w:cs="仿宋_GB2312"/>
              <w:sz w:val="30"/>
              <w:szCs w:val="30"/>
              <w:highlight w:val="none"/>
            </w:rPr>
            <w:fldChar w:fldCharType="separate"/>
          </w:r>
          <w:r>
            <w:rPr>
              <w:rFonts w:hint="eastAsia" w:ascii="黑体" w:hAnsi="黑体" w:eastAsia="黑体" w:cs="黑体"/>
              <w:sz w:val="30"/>
              <w:szCs w:val="30"/>
              <w:highlight w:val="none"/>
              <w:lang w:val="en-US" w:eastAsia="zh-CN"/>
            </w:rPr>
            <w:t>六</w:t>
          </w:r>
          <w:r>
            <w:rPr>
              <w:rFonts w:hint="eastAsia" w:ascii="黑体" w:hAnsi="黑体" w:eastAsia="黑体" w:cs="黑体"/>
              <w:sz w:val="30"/>
              <w:szCs w:val="30"/>
              <w:highlight w:val="none"/>
            </w:rPr>
            <w:t>、加强监测评估</w:t>
          </w:r>
          <w:r>
            <w:rPr>
              <w:sz w:val="30"/>
              <w:szCs w:val="30"/>
            </w:rPr>
            <w:tab/>
          </w:r>
          <w:r>
            <w:rPr>
              <w:sz w:val="30"/>
              <w:szCs w:val="30"/>
            </w:rPr>
            <w:fldChar w:fldCharType="begin"/>
          </w:r>
          <w:r>
            <w:rPr>
              <w:sz w:val="30"/>
              <w:szCs w:val="30"/>
            </w:rPr>
            <w:instrText xml:space="preserve"> PAGEREF _Toc10204 \h </w:instrText>
          </w:r>
          <w:r>
            <w:rPr>
              <w:sz w:val="30"/>
              <w:szCs w:val="30"/>
            </w:rPr>
            <w:fldChar w:fldCharType="separate"/>
          </w:r>
          <w:r>
            <w:rPr>
              <w:sz w:val="30"/>
              <w:szCs w:val="30"/>
            </w:rPr>
            <w:t>43</w:t>
          </w:r>
          <w:r>
            <w:rPr>
              <w:sz w:val="30"/>
              <w:szCs w:val="30"/>
            </w:rPr>
            <w:fldChar w:fldCharType="end"/>
          </w:r>
          <w:r>
            <w:rPr>
              <w:rFonts w:ascii="仿宋_GB2312" w:hAnsi="仿宋_GB2312" w:eastAsia="仿宋_GB2312" w:cs="仿宋_GB2312"/>
              <w:color w:val="auto"/>
              <w:sz w:val="30"/>
              <w:szCs w:val="30"/>
              <w:highlight w:val="none"/>
            </w:rPr>
            <w:fldChar w:fldCharType="end"/>
          </w:r>
        </w:p>
        <w:p w14:paraId="104BB9A7">
          <w:pPr>
            <w:keepNext w:val="0"/>
            <w:keepLines w:val="0"/>
            <w:pageBreakBefore w:val="0"/>
            <w:widowControl w:val="0"/>
            <w:kinsoku/>
            <w:wordWrap/>
            <w:overflowPunct/>
            <w:topLinePunct w:val="0"/>
            <w:autoSpaceDE/>
            <w:autoSpaceDN/>
            <w:bidi w:val="0"/>
            <w:adjustRightInd/>
            <w:snapToGrid/>
            <w:spacing w:before="63" w:beforeLines="20" w:line="480" w:lineRule="auto"/>
            <w:ind w:firstLine="420" w:firstLineChars="200"/>
            <w:textAlignment w:val="auto"/>
            <w:rPr>
              <w:rFonts w:ascii="仿宋_GB2312" w:hAnsi="仿宋_GB2312" w:eastAsia="仿宋_GB2312" w:cs="仿宋_GB2312"/>
              <w:color w:val="auto"/>
              <w:kern w:val="2"/>
              <w:sz w:val="21"/>
              <w:szCs w:val="32"/>
              <w:highlight w:val="none"/>
              <w:lang w:val="en-US" w:eastAsia="zh-CN" w:bidi="ar-SA"/>
            </w:rPr>
          </w:pPr>
          <w:r>
            <w:rPr>
              <w:rFonts w:ascii="仿宋_GB2312" w:hAnsi="仿宋_GB2312" w:eastAsia="仿宋_GB2312" w:cs="仿宋_GB2312"/>
              <w:color w:val="auto"/>
              <w:szCs w:val="32"/>
              <w:highlight w:val="none"/>
            </w:rPr>
            <w:fldChar w:fldCharType="end"/>
          </w:r>
        </w:p>
      </w:sdtContent>
    </w:sdt>
    <w:p w14:paraId="207AFD35">
      <w:pPr>
        <w:ind w:firstLine="420" w:firstLineChars="200"/>
        <w:rPr>
          <w:rFonts w:ascii="仿宋_GB2312" w:hAnsi="仿宋_GB2312" w:eastAsia="仿宋_GB2312" w:cs="仿宋_GB2312"/>
          <w:color w:val="auto"/>
          <w:kern w:val="2"/>
          <w:sz w:val="21"/>
          <w:szCs w:val="32"/>
          <w:highlight w:val="none"/>
          <w:lang w:val="en-US" w:eastAsia="zh-CN" w:bidi="ar-SA"/>
        </w:rPr>
      </w:pPr>
    </w:p>
    <w:p w14:paraId="6BD22572">
      <w:pPr>
        <w:ind w:firstLine="420" w:firstLineChars="200"/>
        <w:rPr>
          <w:rFonts w:ascii="仿宋_GB2312" w:hAnsi="仿宋_GB2312" w:eastAsia="仿宋_GB2312" w:cs="仿宋_GB2312"/>
          <w:color w:val="auto"/>
          <w:kern w:val="2"/>
          <w:sz w:val="21"/>
          <w:szCs w:val="32"/>
          <w:highlight w:val="none"/>
          <w:lang w:val="en-US" w:eastAsia="zh-CN" w:bidi="ar-SA"/>
        </w:rPr>
        <w:sectPr>
          <w:footerReference r:id="rId3" w:type="default"/>
          <w:pgSz w:w="11906" w:h="16838"/>
          <w:pgMar w:top="1440" w:right="1800" w:bottom="1440" w:left="1417" w:header="851" w:footer="992" w:gutter="0"/>
          <w:pgNumType w:fmt="decimal"/>
          <w:cols w:space="425" w:num="1"/>
          <w:docGrid w:type="lines" w:linePitch="312" w:charSpace="0"/>
        </w:sectPr>
      </w:pPr>
    </w:p>
    <w:p w14:paraId="31EB33D3">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仿宋_GB2312" w:hAnsi="仿宋_GB2312" w:eastAsia="华文中宋" w:cs="仿宋_GB2312"/>
          <w:color w:val="auto"/>
          <w:sz w:val="32"/>
          <w:szCs w:val="32"/>
          <w:highlight w:val="none"/>
          <w:lang w:eastAsia="zh-CN"/>
        </w:rPr>
      </w:pPr>
      <w:r>
        <w:rPr>
          <w:rFonts w:hint="eastAsia" w:ascii="华文中宋" w:hAnsi="华文中宋" w:eastAsia="华文中宋" w:cs="华文中宋"/>
          <w:b/>
          <w:bCs/>
          <w:color w:val="auto"/>
          <w:spacing w:val="-6"/>
          <w:sz w:val="44"/>
          <w:szCs w:val="44"/>
          <w:highlight w:val="none"/>
          <w:lang w:val="en-US" w:eastAsia="zh-CN"/>
        </w:rPr>
        <w:t>潜江市</w:t>
      </w:r>
      <w:r>
        <w:rPr>
          <w:rFonts w:hint="eastAsia" w:ascii="华文中宋" w:hAnsi="华文中宋" w:eastAsia="华文中宋" w:cs="华文中宋"/>
          <w:b/>
          <w:bCs/>
          <w:color w:val="auto"/>
          <w:spacing w:val="-6"/>
          <w:sz w:val="44"/>
          <w:szCs w:val="44"/>
          <w:highlight w:val="none"/>
        </w:rPr>
        <w:t>民政事业发展“十五五”规划</w:t>
      </w:r>
    </w:p>
    <w:p w14:paraId="4B32F994">
      <w:pPr>
        <w:ind w:firstLine="640" w:firstLineChars="200"/>
        <w:rPr>
          <w:rFonts w:hint="eastAsia" w:ascii="仿宋_GB2312" w:hAnsi="仿宋_GB2312" w:eastAsia="仿宋_GB2312" w:cs="仿宋_GB2312"/>
          <w:color w:val="auto"/>
          <w:sz w:val="32"/>
          <w:szCs w:val="32"/>
          <w:highlight w:val="none"/>
        </w:rPr>
      </w:pPr>
    </w:p>
    <w:p w14:paraId="3B73F02C">
      <w:pPr>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为</w:t>
      </w:r>
      <w:r>
        <w:rPr>
          <w:rFonts w:hint="eastAsia" w:ascii="仿宋_GB2312" w:hAnsi="仿宋_GB2312" w:eastAsia="仿宋_GB2312" w:cs="仿宋_GB2312"/>
          <w:color w:val="auto"/>
          <w:sz w:val="32"/>
          <w:szCs w:val="32"/>
          <w:highlight w:val="none"/>
        </w:rPr>
        <w:t>全</w:t>
      </w:r>
      <w:r>
        <w:rPr>
          <w:rFonts w:hint="eastAsia" w:ascii="仿宋_GB2312" w:hAnsi="仿宋_GB2312" w:eastAsia="仿宋_GB2312" w:cs="仿宋_GB2312"/>
          <w:color w:val="auto"/>
          <w:sz w:val="32"/>
          <w:szCs w:val="32"/>
          <w:highlight w:val="none"/>
          <w:lang w:val="en-US" w:eastAsia="zh-CN"/>
        </w:rPr>
        <w:t>市</w:t>
      </w:r>
      <w:r>
        <w:rPr>
          <w:rFonts w:hint="eastAsia" w:ascii="仿宋_GB2312" w:hAnsi="仿宋_GB2312" w:eastAsia="仿宋_GB2312" w:cs="仿宋_GB2312"/>
          <w:color w:val="auto"/>
          <w:sz w:val="32"/>
          <w:szCs w:val="32"/>
          <w:highlight w:val="none"/>
        </w:rPr>
        <w:t>民政系统更好履行基本民生保障、基本社会服务和专项事务管理等职责，</w:t>
      </w:r>
      <w:r>
        <w:rPr>
          <w:rFonts w:hint="eastAsia" w:ascii="仿宋_GB2312" w:hAnsi="仿宋_GB2312" w:eastAsia="仿宋_GB2312" w:cs="仿宋_GB2312"/>
          <w:color w:val="auto"/>
          <w:sz w:val="32"/>
          <w:szCs w:val="32"/>
          <w:highlight w:val="none"/>
          <w:lang w:eastAsia="zh-CN"/>
        </w:rPr>
        <w:t>明确“十五五”时期潜江民政事业发展目标，</w:t>
      </w:r>
      <w:r>
        <w:rPr>
          <w:rFonts w:hint="eastAsia" w:ascii="仿宋_GB2312" w:hAnsi="仿宋_GB2312" w:eastAsia="仿宋_GB2312" w:cs="仿宋_GB2312"/>
          <w:color w:val="auto"/>
          <w:sz w:val="32"/>
          <w:szCs w:val="32"/>
          <w:highlight w:val="none"/>
        </w:rPr>
        <w:t>根据</w:t>
      </w:r>
      <w:r>
        <w:rPr>
          <w:rFonts w:hint="eastAsia" w:ascii="仿宋_GB2312" w:hAnsi="仿宋_GB2312" w:eastAsia="仿宋_GB2312" w:cs="仿宋_GB2312"/>
          <w:color w:val="auto"/>
          <w:sz w:val="32"/>
          <w:szCs w:val="32"/>
          <w:highlight w:val="none"/>
          <w:lang w:eastAsia="zh-CN"/>
        </w:rPr>
        <w:t>《湖北省民政事业发展“十五五”规划》、</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潜江市</w:t>
      </w:r>
      <w:r>
        <w:rPr>
          <w:rFonts w:hint="eastAsia" w:ascii="仿宋_GB2312" w:hAnsi="仿宋_GB2312" w:eastAsia="仿宋_GB2312" w:cs="仿宋_GB2312"/>
          <w:color w:val="auto"/>
          <w:sz w:val="32"/>
          <w:szCs w:val="32"/>
          <w:highlight w:val="none"/>
        </w:rPr>
        <w:t>国民经济和社会发展第十五个五年规划》，制定本规划。</w:t>
      </w:r>
    </w:p>
    <w:p w14:paraId="3BD17509">
      <w:pPr>
        <w:snapToGrid w:val="0"/>
        <w:spacing w:before="312" w:beforeLines="100" w:after="312" w:afterLines="100" w:line="360" w:lineRule="auto"/>
        <w:ind w:firstLine="320" w:firstLineChars="100"/>
        <w:jc w:val="center"/>
        <w:outlineLvl w:val="0"/>
        <w:rPr>
          <w:rFonts w:hint="eastAsia" w:ascii="黑体" w:hAnsi="黑体" w:eastAsia="黑体"/>
          <w:color w:val="auto"/>
          <w:sz w:val="32"/>
          <w:szCs w:val="32"/>
          <w:highlight w:val="none"/>
          <w:lang w:eastAsia="zh-CN"/>
        </w:rPr>
      </w:pPr>
      <w:bookmarkStart w:id="0" w:name="_Toc20185"/>
      <w:bookmarkStart w:id="1" w:name="_Toc8770"/>
      <w:r>
        <w:rPr>
          <w:rFonts w:hint="eastAsia" w:ascii="黑体" w:hAnsi="黑体" w:eastAsia="黑体"/>
          <w:color w:val="auto"/>
          <w:sz w:val="32"/>
          <w:szCs w:val="32"/>
          <w:highlight w:val="none"/>
        </w:rPr>
        <w:t>第一章  规划背景</w:t>
      </w:r>
      <w:bookmarkEnd w:id="0"/>
      <w:bookmarkEnd w:id="1"/>
    </w:p>
    <w:p w14:paraId="05884788">
      <w:pPr>
        <w:spacing w:before="156" w:beforeLines="50" w:line="360" w:lineRule="auto"/>
        <w:ind w:firstLine="64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近年来，</w:t>
      </w:r>
      <w:r>
        <w:rPr>
          <w:rFonts w:hint="eastAsia" w:ascii="仿宋_GB2312" w:hAnsi="仿宋_GB2312" w:eastAsia="仿宋_GB2312" w:cs="仿宋_GB2312"/>
          <w:color w:val="auto"/>
          <w:sz w:val="32"/>
          <w:szCs w:val="32"/>
          <w:highlight w:val="none"/>
          <w:lang w:eastAsia="zh-CN"/>
        </w:rPr>
        <w:t>潜江</w:t>
      </w:r>
      <w:r>
        <w:rPr>
          <w:rFonts w:hint="eastAsia" w:ascii="仿宋_GB2312" w:hAnsi="仿宋_GB2312" w:eastAsia="仿宋_GB2312" w:cs="仿宋_GB2312"/>
          <w:color w:val="auto"/>
          <w:sz w:val="32"/>
          <w:szCs w:val="32"/>
          <w:highlight w:val="none"/>
        </w:rPr>
        <w:t>民政系统</w:t>
      </w:r>
      <w:r>
        <w:rPr>
          <w:rFonts w:hint="eastAsia" w:ascii="仿宋_GB2312" w:hAnsi="仿宋_GB2312" w:eastAsia="仿宋_GB2312" w:cs="仿宋_GB2312"/>
          <w:color w:val="auto"/>
          <w:sz w:val="32"/>
          <w:szCs w:val="32"/>
          <w:highlight w:val="none"/>
          <w:lang w:eastAsia="zh-CN"/>
        </w:rPr>
        <w:t>坚持以习近平新时代中国特色社会主义思想为指导，深入</w:t>
      </w:r>
      <w:r>
        <w:rPr>
          <w:rFonts w:hint="eastAsia" w:ascii="仿宋_GB2312" w:hAnsi="仿宋_GB2312" w:eastAsia="仿宋_GB2312" w:cs="仿宋_GB2312"/>
          <w:color w:val="auto"/>
          <w:sz w:val="32"/>
          <w:szCs w:val="32"/>
          <w:highlight w:val="none"/>
        </w:rPr>
        <w:t>贯彻习近平总书记关于民政工作重要论述</w:t>
      </w:r>
      <w:r>
        <w:rPr>
          <w:rFonts w:hint="eastAsia" w:ascii="仿宋_GB2312" w:hAnsi="仿宋_GB2312" w:eastAsia="仿宋_GB2312" w:cs="仿宋_GB2312"/>
          <w:color w:val="auto"/>
          <w:sz w:val="32"/>
          <w:szCs w:val="32"/>
          <w:highlight w:val="none"/>
          <w:lang w:eastAsia="zh-CN"/>
        </w:rPr>
        <w:t>和重要指示批示精神</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认真</w:t>
      </w:r>
      <w:r>
        <w:rPr>
          <w:rFonts w:hint="eastAsia" w:ascii="仿宋_GB2312" w:hAnsi="仿宋_GB2312" w:eastAsia="仿宋_GB2312" w:cs="仿宋_GB2312"/>
          <w:color w:val="auto"/>
          <w:sz w:val="32"/>
          <w:szCs w:val="32"/>
          <w:highlight w:val="none"/>
        </w:rPr>
        <w:t>落实</w:t>
      </w:r>
      <w:r>
        <w:rPr>
          <w:rFonts w:hint="eastAsia" w:ascii="仿宋_GB2312" w:hAnsi="仿宋_GB2312" w:eastAsia="仿宋_GB2312" w:cs="仿宋_GB2312"/>
          <w:color w:val="auto"/>
          <w:sz w:val="32"/>
          <w:szCs w:val="32"/>
          <w:highlight w:val="none"/>
          <w:lang w:eastAsia="zh-CN"/>
        </w:rPr>
        <w:t>省、市各级</w:t>
      </w:r>
      <w:r>
        <w:rPr>
          <w:rFonts w:hint="eastAsia" w:ascii="仿宋_GB2312" w:hAnsi="仿宋_GB2312" w:eastAsia="仿宋_GB2312" w:cs="仿宋_GB2312"/>
          <w:color w:val="auto"/>
          <w:sz w:val="32"/>
          <w:szCs w:val="32"/>
          <w:highlight w:val="none"/>
        </w:rPr>
        <w:t>决策部署，凝心聚力兜底线、保</w:t>
      </w:r>
      <w:r>
        <w:rPr>
          <w:rFonts w:hint="eastAsia" w:ascii="仿宋_GB2312" w:hAnsi="仿宋_GB2312" w:eastAsia="仿宋_GB2312" w:cs="仿宋_GB2312"/>
          <w:color w:val="auto"/>
          <w:sz w:val="32"/>
          <w:szCs w:val="32"/>
          <w:highlight w:val="none"/>
          <w:lang w:eastAsia="zh-CN"/>
        </w:rPr>
        <w:t>民生</w:t>
      </w:r>
      <w:r>
        <w:rPr>
          <w:rFonts w:hint="eastAsia" w:ascii="仿宋_GB2312" w:hAnsi="仿宋_GB2312" w:eastAsia="仿宋_GB2312" w:cs="仿宋_GB2312"/>
          <w:color w:val="auto"/>
          <w:sz w:val="32"/>
          <w:szCs w:val="32"/>
          <w:highlight w:val="none"/>
        </w:rPr>
        <w:t>、促发展，为</w:t>
      </w:r>
      <w:r>
        <w:rPr>
          <w:rFonts w:hint="eastAsia" w:ascii="仿宋_GB2312" w:hAnsi="仿宋_GB2312" w:eastAsia="仿宋_GB2312" w:cs="仿宋_GB2312"/>
          <w:color w:val="auto"/>
          <w:sz w:val="32"/>
          <w:szCs w:val="32"/>
          <w:highlight w:val="none"/>
          <w:lang w:eastAsia="zh-CN"/>
        </w:rPr>
        <w:t>推动</w:t>
      </w:r>
      <w:r>
        <w:rPr>
          <w:rFonts w:hint="eastAsia" w:ascii="仿宋_GB2312" w:hAnsi="仿宋_GB2312" w:eastAsia="仿宋_GB2312" w:cs="仿宋_GB2312"/>
          <w:color w:val="auto"/>
          <w:sz w:val="32"/>
          <w:szCs w:val="32"/>
          <w:highlight w:val="none"/>
        </w:rPr>
        <w:t>全</w:t>
      </w:r>
      <w:r>
        <w:rPr>
          <w:rFonts w:hint="eastAsia" w:ascii="仿宋_GB2312" w:hAnsi="仿宋_GB2312" w:eastAsia="仿宋_GB2312" w:cs="仿宋_GB2312"/>
          <w:color w:val="auto"/>
          <w:sz w:val="32"/>
          <w:szCs w:val="32"/>
          <w:highlight w:val="none"/>
          <w:lang w:val="en-US" w:eastAsia="zh-CN"/>
        </w:rPr>
        <w:t>市经济</w:t>
      </w:r>
      <w:r>
        <w:rPr>
          <w:rFonts w:hint="eastAsia" w:ascii="仿宋_GB2312" w:hAnsi="仿宋_GB2312" w:eastAsia="仿宋_GB2312" w:cs="仿宋_GB2312"/>
          <w:color w:val="auto"/>
          <w:sz w:val="32"/>
          <w:szCs w:val="32"/>
          <w:highlight w:val="none"/>
        </w:rPr>
        <w:t>社会高质量发展提供了有力</w:t>
      </w:r>
      <w:r>
        <w:rPr>
          <w:rFonts w:hint="eastAsia" w:ascii="仿宋_GB2312" w:hAnsi="仿宋_GB2312" w:eastAsia="仿宋_GB2312" w:cs="仿宋_GB2312"/>
          <w:color w:val="auto"/>
          <w:sz w:val="32"/>
          <w:szCs w:val="32"/>
          <w:highlight w:val="none"/>
          <w:lang w:eastAsia="zh-CN"/>
        </w:rPr>
        <w:t>支撑</w:t>
      </w:r>
      <w:r>
        <w:rPr>
          <w:rFonts w:hint="eastAsia" w:ascii="仿宋_GB2312" w:hAnsi="仿宋_GB2312" w:eastAsia="仿宋_GB2312" w:cs="仿宋_GB2312"/>
          <w:color w:val="auto"/>
          <w:sz w:val="32"/>
          <w:szCs w:val="32"/>
          <w:highlight w:val="none"/>
        </w:rPr>
        <w:t>。</w:t>
      </w:r>
    </w:p>
    <w:p w14:paraId="3E859CC1">
      <w:pPr>
        <w:snapToGrid w:val="0"/>
        <w:spacing w:before="312" w:beforeLines="100" w:line="360" w:lineRule="auto"/>
        <w:ind w:firstLine="640" w:firstLineChars="200"/>
        <w:outlineLvl w:val="1"/>
        <w:rPr>
          <w:rFonts w:hint="eastAsia" w:ascii="黑体" w:hAnsi="黑体" w:eastAsia="黑体" w:cs="黑体"/>
          <w:color w:val="auto"/>
          <w:sz w:val="32"/>
          <w:szCs w:val="32"/>
          <w:highlight w:val="none"/>
          <w:lang w:eastAsia="zh-CN"/>
        </w:rPr>
      </w:pPr>
      <w:bookmarkStart w:id="2" w:name="_Toc779"/>
      <w:bookmarkStart w:id="3" w:name="_Toc30583"/>
      <w:r>
        <w:rPr>
          <w:rFonts w:hint="eastAsia" w:ascii="黑体" w:hAnsi="黑体" w:eastAsia="黑体" w:cs="黑体"/>
          <w:color w:val="auto"/>
          <w:sz w:val="32"/>
          <w:szCs w:val="32"/>
          <w:highlight w:val="none"/>
        </w:rPr>
        <w:t>一、发展基础</w:t>
      </w:r>
      <w:bookmarkEnd w:id="2"/>
      <w:bookmarkEnd w:id="3"/>
      <w:bookmarkStart w:id="4" w:name="_Toc9513"/>
    </w:p>
    <w:bookmarkEnd w:id="4"/>
    <w:p w14:paraId="2E5CB50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color w:val="auto"/>
          <w:sz w:val="32"/>
          <w:szCs w:val="32"/>
          <w:highlight w:val="none"/>
        </w:rPr>
      </w:pPr>
      <w:r>
        <w:rPr>
          <w:rFonts w:hint="eastAsia" w:eastAsia="仿宋_GB2312" w:cs="仿宋_GB2312" w:asciiTheme="minorEastAsia" w:hAnsiTheme="minorEastAsia"/>
          <w:color w:val="auto"/>
          <w:sz w:val="32"/>
          <w:szCs w:val="32"/>
          <w:highlight w:val="none"/>
        </w:rPr>
        <w:t>“十四五”时期，</w:t>
      </w:r>
      <w:r>
        <w:rPr>
          <w:rFonts w:hint="eastAsia" w:eastAsia="仿宋_GB2312" w:cs="仿宋_GB2312" w:asciiTheme="minorEastAsia" w:hAnsiTheme="minorEastAsia"/>
          <w:color w:val="auto"/>
          <w:sz w:val="32"/>
          <w:szCs w:val="32"/>
          <w:highlight w:val="none"/>
          <w:lang w:val="en-US" w:eastAsia="zh-CN"/>
        </w:rPr>
        <w:t>全</w:t>
      </w:r>
      <w:r>
        <w:rPr>
          <w:rFonts w:hint="eastAsia" w:eastAsia="仿宋_GB2312" w:cs="仿宋_GB2312" w:asciiTheme="minorEastAsia" w:hAnsiTheme="minorEastAsia"/>
          <w:color w:val="auto"/>
          <w:sz w:val="32"/>
          <w:szCs w:val="32"/>
          <w:highlight w:val="none"/>
        </w:rPr>
        <w:t>市民政系统牢固树立“民政为民、民政爱民”工作理念，</w:t>
      </w:r>
      <w:r>
        <w:rPr>
          <w:rFonts w:hint="eastAsia" w:ascii="仿宋" w:hAnsi="仿宋" w:eastAsia="仿宋" w:cs="仿宋"/>
          <w:color w:val="auto"/>
          <w:sz w:val="32"/>
          <w:szCs w:val="32"/>
          <w:highlight w:val="none"/>
        </w:rPr>
        <w:t>履行“三基职责”，不断夯实</w:t>
      </w:r>
      <w:r>
        <w:rPr>
          <w:rFonts w:hint="eastAsia" w:ascii="仿宋" w:hAnsi="仿宋" w:eastAsia="仿宋" w:cs="仿宋"/>
          <w:color w:val="auto"/>
          <w:sz w:val="32"/>
          <w:szCs w:val="32"/>
          <w:highlight w:val="none"/>
          <w:lang w:eastAsia="zh-CN"/>
        </w:rPr>
        <w:t>工作</w:t>
      </w:r>
      <w:r>
        <w:rPr>
          <w:rFonts w:hint="eastAsia" w:ascii="仿宋" w:hAnsi="仿宋" w:eastAsia="仿宋" w:cs="仿宋"/>
          <w:color w:val="auto"/>
          <w:sz w:val="32"/>
          <w:szCs w:val="32"/>
          <w:highlight w:val="none"/>
        </w:rPr>
        <w:t>基础，稳步提升服务质量，加速改善民生福祉</w:t>
      </w:r>
      <w:r>
        <w:rPr>
          <w:rFonts w:hint="eastAsia" w:ascii="仿宋" w:hAnsi="仿宋" w:eastAsia="仿宋" w:cs="仿宋"/>
          <w:color w:val="auto"/>
          <w:sz w:val="32"/>
          <w:szCs w:val="32"/>
          <w:highlight w:val="none"/>
          <w:lang w:eastAsia="zh-CN"/>
        </w:rPr>
        <w:t>，开拓创新、扎实工作</w:t>
      </w:r>
      <w:r>
        <w:rPr>
          <w:rFonts w:hint="eastAsia" w:ascii="仿宋" w:hAnsi="仿宋" w:eastAsia="仿宋" w:cs="仿宋"/>
          <w:color w:val="auto"/>
          <w:sz w:val="32"/>
          <w:szCs w:val="32"/>
          <w:highlight w:val="none"/>
        </w:rPr>
        <w:t>，</w:t>
      </w:r>
      <w:r>
        <w:rPr>
          <w:rFonts w:hint="eastAsia" w:eastAsia="仿宋_GB2312" w:cs="仿宋_GB2312" w:asciiTheme="minorEastAsia" w:hAnsiTheme="minorEastAsia"/>
          <w:color w:val="auto"/>
          <w:sz w:val="32"/>
          <w:szCs w:val="32"/>
          <w:highlight w:val="none"/>
        </w:rPr>
        <w:t>各项事业取得显著成效</w:t>
      </w:r>
      <w:r>
        <w:rPr>
          <w:rFonts w:hint="eastAsia" w:eastAsia="仿宋_GB2312" w:cs="仿宋_GB2312" w:asciiTheme="minorEastAsia" w:hAnsiTheme="minorEastAsia"/>
          <w:color w:val="auto"/>
          <w:sz w:val="32"/>
          <w:szCs w:val="32"/>
          <w:highlight w:val="none"/>
          <w:lang w:eastAsia="zh-CN"/>
        </w:rPr>
        <w:t>，</w:t>
      </w:r>
      <w:r>
        <w:rPr>
          <w:rFonts w:hint="eastAsia" w:ascii="仿宋" w:hAnsi="仿宋" w:eastAsia="仿宋" w:cs="仿宋"/>
          <w:color w:val="auto"/>
          <w:sz w:val="32"/>
          <w:szCs w:val="32"/>
          <w:highlight w:val="none"/>
        </w:rPr>
        <w:t>为</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十五五</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时期</w:t>
      </w:r>
      <w:r>
        <w:rPr>
          <w:rFonts w:hint="eastAsia" w:ascii="仿宋" w:hAnsi="仿宋" w:eastAsia="仿宋" w:cs="仿宋"/>
          <w:color w:val="auto"/>
          <w:sz w:val="32"/>
          <w:szCs w:val="32"/>
          <w:highlight w:val="none"/>
        </w:rPr>
        <w:t>民政事业高质量发展奠定了坚实基础。</w:t>
      </w:r>
    </w:p>
    <w:p w14:paraId="2632C1E6">
      <w:pPr>
        <w:keepNext/>
        <w:keepLines/>
        <w:spacing w:before="156" w:beforeLines="50" w:line="413" w:lineRule="auto"/>
        <w:ind w:firstLine="640" w:firstLineChars="200"/>
        <w:outlineLvl w:val="2"/>
        <w:rPr>
          <w:rFonts w:hint="eastAsia" w:ascii="华文中宋" w:hAnsi="华文中宋" w:eastAsia="华文中宋" w:cs="华文中宋"/>
          <w:color w:val="auto"/>
          <w:sz w:val="32"/>
          <w:szCs w:val="32"/>
          <w:highlight w:val="none"/>
          <w:lang w:eastAsia="zh-CN"/>
        </w:rPr>
      </w:pPr>
      <w:bookmarkStart w:id="5" w:name="_Toc7217"/>
      <w:r>
        <w:rPr>
          <w:rFonts w:hint="eastAsia" w:ascii="华文中宋" w:hAnsi="华文中宋" w:eastAsia="华文中宋" w:cs="华文中宋"/>
          <w:color w:val="auto"/>
          <w:sz w:val="32"/>
          <w:szCs w:val="32"/>
          <w:highlight w:val="none"/>
        </w:rPr>
        <w:t>（一）基本民生保障</w:t>
      </w:r>
      <w:r>
        <w:rPr>
          <w:rFonts w:hint="eastAsia" w:ascii="华文中宋" w:hAnsi="华文中宋" w:eastAsia="华文中宋" w:cs="华文中宋"/>
          <w:color w:val="auto"/>
          <w:sz w:val="32"/>
          <w:szCs w:val="32"/>
          <w:highlight w:val="none"/>
          <w:lang w:eastAsia="zh-CN"/>
        </w:rPr>
        <w:t>水平显著提升</w:t>
      </w:r>
      <w:bookmarkEnd w:id="5"/>
    </w:p>
    <w:p w14:paraId="3F70C801">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default" w:eastAsia="仿宋_GB2312" w:cs="仿宋_GB2312" w:asciiTheme="minorEastAsia" w:hAnsiTheme="minorEastAsia"/>
          <w:color w:val="auto"/>
          <w:sz w:val="32"/>
          <w:szCs w:val="32"/>
          <w:highlight w:val="none"/>
          <w:lang w:val="en-US" w:eastAsia="zh-CN"/>
        </w:rPr>
      </w:pPr>
      <w:r>
        <w:rPr>
          <w:rFonts w:hint="eastAsia" w:ascii="华文楷体" w:hAnsi="华文楷体" w:eastAsia="华文楷体" w:cs="华文楷体"/>
          <w:b/>
          <w:bCs/>
          <w:color w:val="auto"/>
          <w:sz w:val="32"/>
          <w:szCs w:val="32"/>
          <w:highlight w:val="none"/>
        </w:rPr>
        <w:t>社会救助标准持续提</w:t>
      </w:r>
      <w:r>
        <w:rPr>
          <w:rFonts w:hint="eastAsia" w:ascii="华文楷体" w:hAnsi="华文楷体" w:eastAsia="华文楷体" w:cs="华文楷体"/>
          <w:b/>
          <w:bCs/>
          <w:color w:val="auto"/>
          <w:sz w:val="32"/>
          <w:szCs w:val="32"/>
          <w:highlight w:val="none"/>
          <w:lang w:eastAsia="zh-CN"/>
        </w:rPr>
        <w:t>档</w:t>
      </w:r>
      <w:r>
        <w:rPr>
          <w:rFonts w:hint="eastAsia" w:ascii="华文楷体" w:hAnsi="华文楷体" w:eastAsia="华文楷体" w:cs="华文楷体"/>
          <w:b/>
          <w:bCs/>
          <w:color w:val="auto"/>
          <w:sz w:val="32"/>
          <w:szCs w:val="32"/>
          <w:highlight w:val="none"/>
        </w:rPr>
        <w:t>。</w:t>
      </w:r>
      <w:r>
        <w:rPr>
          <w:rFonts w:hint="eastAsia" w:eastAsia="仿宋_GB2312" w:cs="仿宋_GB2312" w:asciiTheme="minorEastAsia" w:hAnsiTheme="minorEastAsia"/>
          <w:color w:val="auto"/>
          <w:sz w:val="32"/>
          <w:szCs w:val="32"/>
          <w:highlight w:val="none"/>
          <w:lang w:val="en-US" w:eastAsia="zh-CN"/>
        </w:rPr>
        <w:t>建立健全</w:t>
      </w:r>
      <w:r>
        <w:rPr>
          <w:rFonts w:hint="eastAsia" w:eastAsia="仿宋_GB2312" w:cs="仿宋_GB2312" w:asciiTheme="minorEastAsia" w:hAnsiTheme="minorEastAsia"/>
          <w:color w:val="auto"/>
          <w:sz w:val="32"/>
          <w:szCs w:val="32"/>
          <w:highlight w:val="none"/>
        </w:rPr>
        <w:t>城乡低保、特困人员救助供养标准动态调整机制</w:t>
      </w:r>
      <w:r>
        <w:rPr>
          <w:rFonts w:hint="eastAsia" w:eastAsia="仿宋_GB2312" w:cs="仿宋_GB2312" w:asciiTheme="minorEastAsia" w:hAnsiTheme="minorEastAsia"/>
          <w:color w:val="auto"/>
          <w:sz w:val="32"/>
          <w:szCs w:val="32"/>
          <w:highlight w:val="none"/>
          <w:lang w:eastAsia="zh-CN"/>
        </w:rPr>
        <w:t>。</w:t>
      </w:r>
      <w:r>
        <w:rPr>
          <w:rFonts w:hint="eastAsia" w:eastAsia="仿宋_GB2312" w:cs="仿宋_GB2312" w:asciiTheme="minorEastAsia" w:hAnsiTheme="minorEastAsia"/>
          <w:color w:val="auto"/>
          <w:sz w:val="32"/>
          <w:szCs w:val="32"/>
          <w:highlight w:val="none"/>
        </w:rPr>
        <w:t>城市低保标准</w:t>
      </w:r>
      <w:r>
        <w:rPr>
          <w:rFonts w:hint="eastAsia" w:eastAsia="仿宋_GB2312" w:cs="仿宋_GB2312" w:asciiTheme="minorEastAsia" w:hAnsiTheme="minorEastAsia"/>
          <w:color w:val="auto"/>
          <w:sz w:val="32"/>
          <w:szCs w:val="32"/>
          <w:highlight w:val="none"/>
          <w:lang w:eastAsia="zh-CN"/>
        </w:rPr>
        <w:t>达到</w:t>
      </w:r>
      <w:r>
        <w:rPr>
          <w:rFonts w:hint="eastAsia" w:eastAsia="仿宋_GB2312" w:cs="仿宋_GB2312" w:asciiTheme="minorEastAsia" w:hAnsiTheme="minorEastAsia"/>
          <w:color w:val="auto"/>
          <w:sz w:val="32"/>
          <w:szCs w:val="32"/>
          <w:highlight w:val="none"/>
          <w:lang w:val="en-US" w:eastAsia="zh-CN"/>
        </w:rPr>
        <w:t>758</w:t>
      </w:r>
      <w:r>
        <w:rPr>
          <w:rFonts w:hint="eastAsia" w:eastAsia="仿宋_GB2312" w:cs="仿宋_GB2312" w:asciiTheme="minorEastAsia" w:hAnsiTheme="minorEastAsia"/>
          <w:color w:val="auto"/>
          <w:sz w:val="32"/>
          <w:szCs w:val="32"/>
          <w:highlight w:val="none"/>
        </w:rPr>
        <w:t>元/人·</w:t>
      </w:r>
      <w:r>
        <w:rPr>
          <w:rFonts w:hint="eastAsia" w:eastAsia="仿宋_GB2312" w:cs="仿宋_GB2312" w:asciiTheme="minorEastAsia" w:hAnsiTheme="minorEastAsia"/>
          <w:color w:val="auto"/>
          <w:sz w:val="32"/>
          <w:szCs w:val="32"/>
          <w:highlight w:val="none"/>
          <w:lang w:eastAsia="zh-CN"/>
        </w:rPr>
        <w:t>月</w:t>
      </w:r>
      <w:r>
        <w:rPr>
          <w:rFonts w:hint="eastAsia" w:eastAsia="仿宋_GB2312" w:cs="仿宋_GB2312" w:asciiTheme="minorEastAsia" w:hAnsiTheme="minorEastAsia"/>
          <w:color w:val="auto"/>
          <w:sz w:val="32"/>
          <w:szCs w:val="32"/>
          <w:highlight w:val="none"/>
        </w:rPr>
        <w:t>，</w:t>
      </w:r>
      <w:r>
        <w:rPr>
          <w:rFonts w:hint="eastAsia" w:eastAsia="仿宋_GB2312" w:cs="仿宋_GB2312" w:asciiTheme="minorEastAsia" w:hAnsiTheme="minorEastAsia"/>
          <w:color w:val="auto"/>
          <w:sz w:val="32"/>
          <w:szCs w:val="32"/>
          <w:highlight w:val="none"/>
          <w:lang w:eastAsia="zh-CN"/>
        </w:rPr>
        <w:t>较</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十三五</w:t>
      </w:r>
      <w:r>
        <w:rPr>
          <w:rFonts w:hint="eastAsia" w:ascii="仿宋" w:hAnsi="仿宋" w:eastAsia="仿宋" w:cs="仿宋"/>
          <w:color w:val="auto"/>
          <w:sz w:val="32"/>
          <w:szCs w:val="32"/>
          <w:highlight w:val="none"/>
          <w:lang w:eastAsia="zh-CN"/>
        </w:rPr>
        <w:t>”</w:t>
      </w:r>
      <w:r>
        <w:rPr>
          <w:rFonts w:hint="eastAsia" w:eastAsia="仿宋_GB2312" w:cs="仿宋_GB2312" w:asciiTheme="minorEastAsia" w:hAnsiTheme="minorEastAsia"/>
          <w:color w:val="auto"/>
          <w:sz w:val="32"/>
          <w:szCs w:val="32"/>
          <w:highlight w:val="none"/>
          <w:lang w:eastAsia="zh-CN"/>
        </w:rPr>
        <w:t>末</w:t>
      </w:r>
      <w:r>
        <w:rPr>
          <w:rFonts w:hint="eastAsia" w:eastAsia="仿宋_GB2312" w:cs="仿宋_GB2312" w:asciiTheme="minorEastAsia" w:hAnsiTheme="minorEastAsia"/>
          <w:color w:val="auto"/>
          <w:sz w:val="32"/>
          <w:szCs w:val="32"/>
          <w:highlight w:val="none"/>
        </w:rPr>
        <w:t>增长</w:t>
      </w:r>
      <w:r>
        <w:rPr>
          <w:rFonts w:hint="eastAsia" w:eastAsia="仿宋_GB2312" w:cs="仿宋_GB2312" w:asciiTheme="minorEastAsia" w:hAnsiTheme="minorEastAsia"/>
          <w:color w:val="auto"/>
          <w:sz w:val="32"/>
          <w:szCs w:val="32"/>
          <w:highlight w:val="none"/>
          <w:lang w:val="en-US" w:eastAsia="zh-CN"/>
        </w:rPr>
        <w:t>9.9</w:t>
      </w:r>
      <w:r>
        <w:rPr>
          <w:rFonts w:hint="eastAsia" w:eastAsia="仿宋_GB2312" w:cs="仿宋_GB2312" w:asciiTheme="minorEastAsia" w:hAnsiTheme="minorEastAsia"/>
          <w:color w:val="auto"/>
          <w:sz w:val="32"/>
          <w:szCs w:val="32"/>
          <w:highlight w:val="none"/>
        </w:rPr>
        <w:t>%；农村低保标准</w:t>
      </w:r>
      <w:r>
        <w:rPr>
          <w:rFonts w:hint="eastAsia" w:eastAsia="仿宋_GB2312" w:cs="仿宋_GB2312" w:asciiTheme="minorEastAsia" w:hAnsiTheme="minorEastAsia"/>
          <w:color w:val="auto"/>
          <w:sz w:val="32"/>
          <w:szCs w:val="32"/>
          <w:highlight w:val="none"/>
          <w:lang w:eastAsia="zh-CN"/>
        </w:rPr>
        <w:t>达到</w:t>
      </w:r>
      <w:r>
        <w:rPr>
          <w:rFonts w:hint="eastAsia" w:eastAsia="仿宋_GB2312" w:cs="仿宋_GB2312" w:asciiTheme="minorEastAsia" w:hAnsiTheme="minorEastAsia"/>
          <w:color w:val="auto"/>
          <w:sz w:val="32"/>
          <w:szCs w:val="32"/>
          <w:highlight w:val="none"/>
          <w:lang w:val="en-US" w:eastAsia="zh-CN"/>
        </w:rPr>
        <w:t>666</w:t>
      </w:r>
      <w:r>
        <w:rPr>
          <w:rFonts w:hint="eastAsia" w:eastAsia="仿宋_GB2312" w:cs="仿宋_GB2312" w:asciiTheme="minorEastAsia" w:hAnsiTheme="minorEastAsia"/>
          <w:color w:val="auto"/>
          <w:sz w:val="32"/>
          <w:szCs w:val="32"/>
          <w:highlight w:val="none"/>
        </w:rPr>
        <w:t>元/人·</w:t>
      </w:r>
      <w:r>
        <w:rPr>
          <w:rFonts w:hint="eastAsia" w:eastAsia="仿宋_GB2312" w:cs="仿宋_GB2312" w:asciiTheme="minorEastAsia" w:hAnsiTheme="minorEastAsia"/>
          <w:color w:val="auto"/>
          <w:sz w:val="32"/>
          <w:szCs w:val="32"/>
          <w:highlight w:val="none"/>
          <w:lang w:eastAsia="zh-CN"/>
        </w:rPr>
        <w:t>月</w:t>
      </w:r>
      <w:r>
        <w:rPr>
          <w:rFonts w:hint="eastAsia" w:eastAsia="仿宋_GB2312" w:cs="仿宋_GB2312" w:asciiTheme="minorEastAsia" w:hAnsiTheme="minorEastAsia"/>
          <w:color w:val="auto"/>
          <w:sz w:val="32"/>
          <w:szCs w:val="32"/>
          <w:highlight w:val="none"/>
        </w:rPr>
        <w:t>，</w:t>
      </w:r>
      <w:r>
        <w:rPr>
          <w:rFonts w:hint="eastAsia" w:eastAsia="仿宋_GB2312" w:cs="仿宋_GB2312" w:asciiTheme="minorEastAsia" w:hAnsiTheme="minorEastAsia"/>
          <w:color w:val="auto"/>
          <w:sz w:val="32"/>
          <w:szCs w:val="32"/>
          <w:highlight w:val="none"/>
          <w:lang w:eastAsia="zh-CN"/>
        </w:rPr>
        <w:t>较</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十三五</w:t>
      </w:r>
      <w:r>
        <w:rPr>
          <w:rFonts w:hint="eastAsia" w:ascii="仿宋" w:hAnsi="仿宋" w:eastAsia="仿宋" w:cs="仿宋"/>
          <w:color w:val="auto"/>
          <w:sz w:val="32"/>
          <w:szCs w:val="32"/>
          <w:highlight w:val="none"/>
          <w:lang w:eastAsia="zh-CN"/>
        </w:rPr>
        <w:t>”</w:t>
      </w:r>
      <w:r>
        <w:rPr>
          <w:rFonts w:hint="eastAsia" w:eastAsia="仿宋_GB2312" w:cs="仿宋_GB2312" w:asciiTheme="minorEastAsia" w:hAnsiTheme="minorEastAsia"/>
          <w:color w:val="auto"/>
          <w:sz w:val="32"/>
          <w:szCs w:val="32"/>
          <w:highlight w:val="none"/>
          <w:lang w:eastAsia="zh-CN"/>
        </w:rPr>
        <w:t>末</w:t>
      </w:r>
      <w:r>
        <w:rPr>
          <w:rFonts w:hint="eastAsia" w:eastAsia="仿宋_GB2312" w:cs="仿宋_GB2312" w:asciiTheme="minorEastAsia" w:hAnsiTheme="minorEastAsia"/>
          <w:color w:val="auto"/>
          <w:sz w:val="32"/>
          <w:szCs w:val="32"/>
          <w:highlight w:val="none"/>
        </w:rPr>
        <w:t>增长</w:t>
      </w:r>
      <w:r>
        <w:rPr>
          <w:rFonts w:hint="eastAsia" w:eastAsia="仿宋_GB2312" w:cs="仿宋_GB2312" w:asciiTheme="minorEastAsia" w:hAnsiTheme="minorEastAsia"/>
          <w:color w:val="auto"/>
          <w:sz w:val="32"/>
          <w:szCs w:val="32"/>
          <w:highlight w:val="none"/>
          <w:lang w:val="en-US" w:eastAsia="zh-CN"/>
        </w:rPr>
        <w:t>26.6</w:t>
      </w:r>
      <w:r>
        <w:rPr>
          <w:rFonts w:hint="eastAsia" w:eastAsia="仿宋_GB2312" w:cs="仿宋_GB2312" w:asciiTheme="minorEastAsia" w:hAnsiTheme="minorEastAsia"/>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w:t>
      </w:r>
      <w:r>
        <w:rPr>
          <w:rFonts w:hint="eastAsia" w:eastAsia="仿宋_GB2312" w:cs="仿宋_GB2312" w:asciiTheme="minorEastAsia" w:hAnsiTheme="minorEastAsia"/>
          <w:color w:val="auto"/>
          <w:sz w:val="32"/>
          <w:szCs w:val="32"/>
          <w:highlight w:val="none"/>
        </w:rPr>
        <w:t>城市特困人员供养标准</w:t>
      </w:r>
      <w:r>
        <w:rPr>
          <w:rFonts w:hint="eastAsia" w:eastAsia="仿宋_GB2312" w:cs="仿宋_GB2312" w:asciiTheme="minorEastAsia" w:hAnsiTheme="minorEastAsia"/>
          <w:color w:val="auto"/>
          <w:sz w:val="32"/>
          <w:szCs w:val="32"/>
          <w:highlight w:val="none"/>
          <w:lang w:eastAsia="zh-CN"/>
        </w:rPr>
        <w:t>达到</w:t>
      </w:r>
      <w:r>
        <w:rPr>
          <w:rFonts w:hint="eastAsia" w:eastAsia="仿宋_GB2312" w:cs="仿宋_GB2312" w:asciiTheme="minorEastAsia" w:hAnsiTheme="minorEastAsia"/>
          <w:color w:val="auto"/>
          <w:sz w:val="32"/>
          <w:szCs w:val="32"/>
          <w:highlight w:val="none"/>
          <w:lang w:val="en-US" w:eastAsia="zh-CN"/>
        </w:rPr>
        <w:t>1516</w:t>
      </w:r>
      <w:r>
        <w:rPr>
          <w:rFonts w:hint="eastAsia" w:eastAsia="仿宋_GB2312" w:cs="仿宋_GB2312" w:asciiTheme="minorEastAsia" w:hAnsiTheme="minorEastAsia"/>
          <w:color w:val="auto"/>
          <w:sz w:val="32"/>
          <w:szCs w:val="32"/>
          <w:highlight w:val="none"/>
        </w:rPr>
        <w:t>元/人·</w:t>
      </w:r>
      <w:r>
        <w:rPr>
          <w:rFonts w:hint="eastAsia" w:eastAsia="仿宋_GB2312" w:cs="仿宋_GB2312" w:asciiTheme="minorEastAsia" w:hAnsiTheme="minorEastAsia"/>
          <w:color w:val="auto"/>
          <w:sz w:val="32"/>
          <w:szCs w:val="32"/>
          <w:highlight w:val="none"/>
          <w:lang w:eastAsia="zh-CN"/>
        </w:rPr>
        <w:t>月</w:t>
      </w:r>
      <w:r>
        <w:rPr>
          <w:rFonts w:hint="eastAsia" w:eastAsia="仿宋_GB2312" w:cs="仿宋_GB2312" w:asciiTheme="minorEastAsia" w:hAnsiTheme="minorEastAsia"/>
          <w:color w:val="auto"/>
          <w:sz w:val="32"/>
          <w:szCs w:val="32"/>
          <w:highlight w:val="none"/>
        </w:rPr>
        <w:t>，</w:t>
      </w:r>
      <w:r>
        <w:rPr>
          <w:rFonts w:hint="eastAsia" w:eastAsia="仿宋_GB2312" w:cs="仿宋_GB2312" w:asciiTheme="minorEastAsia" w:hAnsiTheme="minorEastAsia"/>
          <w:color w:val="auto"/>
          <w:sz w:val="32"/>
          <w:szCs w:val="32"/>
          <w:highlight w:val="none"/>
          <w:lang w:eastAsia="zh-CN"/>
        </w:rPr>
        <w:t>较</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十三五</w:t>
      </w:r>
      <w:r>
        <w:rPr>
          <w:rFonts w:hint="eastAsia" w:ascii="仿宋" w:hAnsi="仿宋" w:eastAsia="仿宋" w:cs="仿宋"/>
          <w:color w:val="auto"/>
          <w:sz w:val="32"/>
          <w:szCs w:val="32"/>
          <w:highlight w:val="none"/>
          <w:lang w:eastAsia="zh-CN"/>
        </w:rPr>
        <w:t>”</w:t>
      </w:r>
      <w:r>
        <w:rPr>
          <w:rFonts w:hint="eastAsia" w:eastAsia="仿宋_GB2312" w:cs="仿宋_GB2312" w:asciiTheme="minorEastAsia" w:hAnsiTheme="minorEastAsia"/>
          <w:color w:val="auto"/>
          <w:sz w:val="32"/>
          <w:szCs w:val="32"/>
          <w:highlight w:val="none"/>
          <w:lang w:eastAsia="zh-CN"/>
        </w:rPr>
        <w:t>末</w:t>
      </w:r>
      <w:r>
        <w:rPr>
          <w:rFonts w:hint="eastAsia" w:eastAsia="仿宋_GB2312" w:cs="仿宋_GB2312" w:asciiTheme="minorEastAsia" w:hAnsiTheme="minorEastAsia"/>
          <w:color w:val="auto"/>
          <w:sz w:val="32"/>
          <w:szCs w:val="32"/>
          <w:highlight w:val="none"/>
        </w:rPr>
        <w:t>增长</w:t>
      </w:r>
      <w:r>
        <w:rPr>
          <w:rFonts w:hint="eastAsia" w:eastAsia="仿宋_GB2312" w:cs="仿宋_GB2312" w:asciiTheme="minorEastAsia" w:hAnsiTheme="minorEastAsia"/>
          <w:color w:val="auto"/>
          <w:sz w:val="32"/>
          <w:szCs w:val="32"/>
          <w:highlight w:val="none"/>
          <w:lang w:val="en-US" w:eastAsia="zh-CN"/>
        </w:rPr>
        <w:t>9.9</w:t>
      </w:r>
      <w:r>
        <w:rPr>
          <w:rFonts w:hint="eastAsia" w:eastAsia="仿宋_GB2312" w:cs="仿宋_GB2312" w:asciiTheme="minorEastAsia" w:hAnsiTheme="minorEastAsia"/>
          <w:color w:val="auto"/>
          <w:sz w:val="32"/>
          <w:szCs w:val="32"/>
          <w:highlight w:val="none"/>
        </w:rPr>
        <w:t>%；农村特困人员供养标准</w:t>
      </w:r>
      <w:r>
        <w:rPr>
          <w:rFonts w:hint="eastAsia" w:eastAsia="仿宋_GB2312" w:cs="仿宋_GB2312" w:asciiTheme="minorEastAsia" w:hAnsiTheme="minorEastAsia"/>
          <w:color w:val="auto"/>
          <w:sz w:val="32"/>
          <w:szCs w:val="32"/>
          <w:highlight w:val="none"/>
          <w:lang w:eastAsia="zh-CN"/>
        </w:rPr>
        <w:t>达到</w:t>
      </w:r>
      <w:r>
        <w:rPr>
          <w:rFonts w:hint="eastAsia" w:eastAsia="仿宋_GB2312" w:cs="仿宋_GB2312" w:asciiTheme="minorEastAsia" w:hAnsiTheme="minorEastAsia"/>
          <w:color w:val="auto"/>
          <w:sz w:val="32"/>
          <w:szCs w:val="32"/>
          <w:highlight w:val="none"/>
          <w:lang w:val="en-US" w:eastAsia="zh-CN"/>
        </w:rPr>
        <w:t>1332</w:t>
      </w:r>
      <w:r>
        <w:rPr>
          <w:rFonts w:hint="eastAsia" w:eastAsia="仿宋_GB2312" w:cs="仿宋_GB2312" w:asciiTheme="minorEastAsia" w:hAnsiTheme="minorEastAsia"/>
          <w:color w:val="auto"/>
          <w:sz w:val="32"/>
          <w:szCs w:val="32"/>
          <w:highlight w:val="none"/>
        </w:rPr>
        <w:t>元/人·</w:t>
      </w:r>
      <w:r>
        <w:rPr>
          <w:rFonts w:hint="eastAsia" w:eastAsia="仿宋_GB2312" w:cs="仿宋_GB2312" w:asciiTheme="minorEastAsia" w:hAnsiTheme="minorEastAsia"/>
          <w:color w:val="auto"/>
          <w:sz w:val="32"/>
          <w:szCs w:val="32"/>
          <w:highlight w:val="none"/>
          <w:lang w:eastAsia="zh-CN"/>
        </w:rPr>
        <w:t>月</w:t>
      </w:r>
      <w:r>
        <w:rPr>
          <w:rFonts w:hint="eastAsia" w:eastAsia="仿宋_GB2312" w:cs="仿宋_GB2312" w:asciiTheme="minorEastAsia" w:hAnsiTheme="minorEastAsia"/>
          <w:color w:val="auto"/>
          <w:sz w:val="32"/>
          <w:szCs w:val="32"/>
          <w:highlight w:val="none"/>
        </w:rPr>
        <w:t>，</w:t>
      </w:r>
      <w:r>
        <w:rPr>
          <w:rFonts w:hint="eastAsia" w:eastAsia="仿宋_GB2312" w:cs="仿宋_GB2312" w:asciiTheme="minorEastAsia" w:hAnsiTheme="minorEastAsia"/>
          <w:color w:val="auto"/>
          <w:sz w:val="32"/>
          <w:szCs w:val="32"/>
          <w:highlight w:val="none"/>
          <w:lang w:eastAsia="zh-CN"/>
        </w:rPr>
        <w:t>较</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十三五</w:t>
      </w:r>
      <w:r>
        <w:rPr>
          <w:rFonts w:hint="eastAsia" w:ascii="仿宋" w:hAnsi="仿宋" w:eastAsia="仿宋" w:cs="仿宋"/>
          <w:color w:val="auto"/>
          <w:sz w:val="32"/>
          <w:szCs w:val="32"/>
          <w:highlight w:val="none"/>
          <w:lang w:eastAsia="zh-CN"/>
        </w:rPr>
        <w:t>”</w:t>
      </w:r>
      <w:r>
        <w:rPr>
          <w:rFonts w:hint="eastAsia" w:eastAsia="仿宋_GB2312" w:cs="仿宋_GB2312" w:asciiTheme="minorEastAsia" w:hAnsiTheme="minorEastAsia"/>
          <w:color w:val="auto"/>
          <w:sz w:val="32"/>
          <w:szCs w:val="32"/>
          <w:highlight w:val="none"/>
          <w:lang w:eastAsia="zh-CN"/>
        </w:rPr>
        <w:t>末</w:t>
      </w:r>
      <w:r>
        <w:rPr>
          <w:rFonts w:hint="eastAsia" w:eastAsia="仿宋_GB2312" w:cs="仿宋_GB2312" w:asciiTheme="minorEastAsia" w:hAnsiTheme="minorEastAsia"/>
          <w:color w:val="auto"/>
          <w:sz w:val="32"/>
          <w:szCs w:val="32"/>
          <w:highlight w:val="none"/>
        </w:rPr>
        <w:t>增长</w:t>
      </w:r>
      <w:r>
        <w:rPr>
          <w:rFonts w:hint="eastAsia" w:eastAsia="仿宋_GB2312" w:cs="仿宋_GB2312" w:asciiTheme="minorEastAsia" w:hAnsiTheme="minorEastAsia"/>
          <w:color w:val="auto"/>
          <w:sz w:val="32"/>
          <w:szCs w:val="32"/>
          <w:highlight w:val="none"/>
          <w:lang w:val="en-US" w:eastAsia="zh-CN"/>
        </w:rPr>
        <w:t>42.3</w:t>
      </w:r>
      <w:r>
        <w:rPr>
          <w:rFonts w:hint="eastAsia" w:eastAsia="仿宋_GB2312" w:cs="仿宋_GB2312" w:asciiTheme="minorEastAsia" w:hAnsiTheme="minorEastAsia"/>
          <w:color w:val="auto"/>
          <w:sz w:val="32"/>
          <w:szCs w:val="32"/>
          <w:highlight w:val="none"/>
        </w:rPr>
        <w:t>%。</w:t>
      </w:r>
    </w:p>
    <w:p w14:paraId="704124CE">
      <w:pPr>
        <w:keepNext w:val="0"/>
        <w:keepLines w:val="0"/>
        <w:pageBreakBefore w:val="0"/>
        <w:widowControl w:val="0"/>
        <w:kinsoku/>
        <w:wordWrap/>
        <w:overflowPunct/>
        <w:topLinePunct w:val="0"/>
        <w:autoSpaceDE/>
        <w:autoSpaceDN/>
        <w:bidi w:val="0"/>
        <w:adjustRightInd/>
        <w:snapToGrid/>
        <w:spacing w:before="157" w:beforeLines="50" w:line="360" w:lineRule="auto"/>
        <w:ind w:firstLine="643" w:firstLineChars="200"/>
        <w:textAlignment w:val="auto"/>
        <w:rPr>
          <w:rFonts w:hint="eastAsia" w:eastAsia="仿宋_GB2312" w:cs="仿宋_GB2312" w:asciiTheme="minorEastAsia" w:hAnsiTheme="minorEastAsia"/>
          <w:color w:val="auto"/>
          <w:sz w:val="32"/>
          <w:szCs w:val="32"/>
          <w:highlight w:val="none"/>
        </w:rPr>
      </w:pPr>
      <w:r>
        <w:rPr>
          <w:rFonts w:hint="eastAsia" w:ascii="华文楷体" w:hAnsi="华文楷体" w:eastAsia="华文楷体" w:cs="华文楷体"/>
          <w:b/>
          <w:bCs/>
          <w:color w:val="auto"/>
          <w:sz w:val="32"/>
          <w:szCs w:val="32"/>
          <w:highlight w:val="none"/>
          <w:lang w:val="en-US" w:eastAsia="zh-CN"/>
        </w:rPr>
        <w:t>构建综合救助新格局。</w:t>
      </w:r>
      <w:r>
        <w:rPr>
          <w:rFonts w:hint="eastAsia" w:eastAsia="仿宋_GB2312" w:cs="仿宋_GB2312" w:asciiTheme="minorEastAsia" w:hAnsiTheme="minorEastAsia"/>
          <w:color w:val="auto"/>
          <w:sz w:val="32"/>
          <w:szCs w:val="32"/>
          <w:highlight w:val="none"/>
          <w:lang w:val="en-US" w:eastAsia="zh-CN"/>
        </w:rPr>
        <w:t>建立主动发现救助机制、农村低收入人口监测预警机制、政府救助与慈善帮扶衔接机制、“一门受理，协同办理”机制，打造“物质救助+服务救助”综合模式，签订“四方协议”，做到分散供养特困人员重新签订率100%。“十四五”期间，累计实施临时救助22484人次，发放救助资金4876.87万元。编制线上版“基层经办人员应知应会社会救助政策服务清单”，实现政策文件即调即查、即时研学。社会救助事项实现“多门申请”到“一门受理、协同办理”迭代升级</w:t>
      </w:r>
      <w:r>
        <w:rPr>
          <w:rFonts w:hint="eastAsia" w:eastAsia="仿宋_GB2312" w:cs="仿宋_GB2312" w:asciiTheme="minorEastAsia" w:hAnsiTheme="minorEastAsia"/>
          <w:color w:val="auto"/>
          <w:sz w:val="32"/>
          <w:szCs w:val="32"/>
          <w:highlight w:val="none"/>
        </w:rPr>
        <w:t>，便民服务持续优化。</w:t>
      </w:r>
    </w:p>
    <w:p w14:paraId="59B0D884">
      <w:pPr>
        <w:tabs>
          <w:tab w:val="left" w:pos="720"/>
        </w:tabs>
        <w:spacing w:before="156" w:beforeLines="50" w:line="360" w:lineRule="auto"/>
        <w:ind w:firstLine="643" w:firstLineChars="200"/>
        <w:rPr>
          <w:rFonts w:hint="eastAsia" w:eastAsia="仿宋_GB2312" w:cs="仿宋_GB2312" w:asciiTheme="minorEastAsia" w:hAnsiTheme="minorEastAsia"/>
          <w:color w:val="auto"/>
          <w:sz w:val="32"/>
          <w:szCs w:val="32"/>
          <w:highlight w:val="none"/>
          <w:lang w:val="en-US" w:eastAsia="zh-CN"/>
        </w:rPr>
      </w:pPr>
      <w:r>
        <w:rPr>
          <w:rFonts w:hint="eastAsia" w:ascii="华文楷体" w:hAnsi="华文楷体" w:eastAsia="华文楷体" w:cs="华文楷体"/>
          <w:b/>
          <w:bCs/>
          <w:color w:val="auto"/>
          <w:sz w:val="32"/>
          <w:szCs w:val="32"/>
          <w:highlight w:val="none"/>
        </w:rPr>
        <w:t>儿童福利保障政策不断完善。</w:t>
      </w:r>
      <w:r>
        <w:rPr>
          <w:rFonts w:hint="eastAsia" w:eastAsia="仿宋_GB2312" w:cs="仿宋_GB2312" w:asciiTheme="minorEastAsia" w:hAnsiTheme="minorEastAsia"/>
          <w:color w:val="auto"/>
          <w:sz w:val="32"/>
          <w:szCs w:val="32"/>
          <w:highlight w:val="none"/>
          <w:lang w:val="en-US" w:eastAsia="zh-CN"/>
        </w:rPr>
        <w:t>“十四五”以来，相继出台《潜江市未成年人保护工作个案会商制度》、《潜江市留守儿童和困境儿童关爱服务质量提升三年行动实施方案》、《关于进一步加强儿童福利和权益保障高质量发展的实施意见》等系列政策文件，逐步实现儿童福利从兜底保障向分类保障及适度普惠型转变，为儿童福利事业发展提供政策支撑。</w:t>
      </w:r>
    </w:p>
    <w:p w14:paraId="354DDDAB">
      <w:pPr>
        <w:tabs>
          <w:tab w:val="left" w:pos="720"/>
        </w:tabs>
        <w:spacing w:before="156" w:beforeLines="50" w:line="360" w:lineRule="auto"/>
        <w:ind w:firstLine="643" w:firstLineChars="200"/>
        <w:rPr>
          <w:rFonts w:hint="eastAsia" w:eastAsia="仿宋_GB2312" w:cs="仿宋_GB2312" w:asciiTheme="minorEastAsia" w:hAnsiTheme="minorEastAsia"/>
          <w:color w:val="auto"/>
          <w:sz w:val="32"/>
          <w:szCs w:val="32"/>
          <w:highlight w:val="none"/>
          <w:lang w:val="en-US" w:eastAsia="zh-CN"/>
        </w:rPr>
      </w:pPr>
      <w:r>
        <w:rPr>
          <w:rFonts w:hint="eastAsia" w:ascii="华文楷体" w:hAnsi="华文楷体" w:eastAsia="华文楷体" w:cs="华文楷体"/>
          <w:b/>
          <w:bCs/>
          <w:color w:val="auto"/>
          <w:sz w:val="32"/>
          <w:szCs w:val="32"/>
          <w:highlight w:val="none"/>
        </w:rPr>
        <w:t>儿童福利保障水平持续上升。</w:t>
      </w:r>
      <w:r>
        <w:rPr>
          <w:rFonts w:hint="eastAsia" w:eastAsia="仿宋_GB2312" w:cs="仿宋_GB2312" w:asciiTheme="minorEastAsia" w:hAnsiTheme="minorEastAsia"/>
          <w:color w:val="auto"/>
          <w:sz w:val="32"/>
          <w:szCs w:val="32"/>
          <w:highlight w:val="none"/>
        </w:rPr>
        <w:t>孤儿、事实无人抚养儿童基本生活保障标准稳步增长，</w:t>
      </w:r>
      <w:r>
        <w:rPr>
          <w:rFonts w:hint="eastAsia" w:eastAsia="仿宋_GB2312" w:cs="仿宋_GB2312" w:asciiTheme="minorEastAsia" w:hAnsiTheme="minorEastAsia"/>
          <w:color w:val="auto"/>
          <w:sz w:val="32"/>
          <w:szCs w:val="32"/>
          <w:highlight w:val="none"/>
          <w:lang w:val="en-US" w:eastAsia="zh-CN"/>
        </w:rPr>
        <w:t>社会散居孤儿供养标准1516元/月/人，较“十三五”末增长9.86%；机构集中供养标准2426元/月/人，较“十三五”末增长9.87%。“十四五”期间，累计发放孤儿养育费及事实无人抚养儿童生活补贴1582.45万元。</w:t>
      </w:r>
    </w:p>
    <w:p w14:paraId="0DE43150">
      <w:pPr>
        <w:tabs>
          <w:tab w:val="left" w:pos="720"/>
        </w:tabs>
        <w:spacing w:before="156" w:beforeLines="50" w:line="360" w:lineRule="auto"/>
        <w:ind w:firstLine="643" w:firstLineChars="200"/>
        <w:rPr>
          <w:rFonts w:hint="eastAsia" w:ascii="仿宋" w:hAnsi="仿宋" w:eastAsia="仿宋" w:cs="仿宋"/>
          <w:color w:val="auto"/>
          <w:sz w:val="32"/>
          <w:szCs w:val="32"/>
          <w:highlight w:val="none"/>
        </w:rPr>
      </w:pPr>
      <w:r>
        <w:rPr>
          <w:rFonts w:hint="eastAsia" w:ascii="华文楷体" w:hAnsi="华文楷体" w:eastAsia="华文楷体" w:cs="华文楷体"/>
          <w:b/>
          <w:bCs/>
          <w:color w:val="auto"/>
          <w:sz w:val="32"/>
          <w:szCs w:val="32"/>
          <w:highlight w:val="none"/>
        </w:rPr>
        <w:t>未成年人保护阵地建设稳步推进。</w:t>
      </w:r>
      <w:r>
        <w:rPr>
          <w:rFonts w:hint="eastAsia" w:ascii="仿宋" w:hAnsi="仿宋" w:eastAsia="仿宋" w:cs="仿宋"/>
          <w:color w:val="auto"/>
          <w:sz w:val="32"/>
          <w:szCs w:val="32"/>
          <w:highlight w:val="none"/>
        </w:rPr>
        <w:t>构建市、镇、村三级全覆盖的组织网络</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配备乡镇儿童督导员23名、村级儿童主任440名</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投入1180万元资金，新建集养育、教育、培训、康复于一体的市儿童福利院和市未成年人保护中心，新增床位32张。投入95万元</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建设25个村级儿童服务站，乡镇（街道）覆盖率达到65%。构建“民政推动+高校联动+专家行动”的未成年人心理健康服务基地，累计开展困境儿童心理个案服务1000余例。打造“高校专家专题讲、本土专家面对面”模式，累计培训儿童主任近3000余人次。</w:t>
      </w:r>
    </w:p>
    <w:p w14:paraId="7B2384D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0" w:afterLines="0" w:line="360" w:lineRule="auto"/>
        <w:ind w:left="0" w:leftChars="0" w:right="0" w:rightChars="0" w:firstLine="643" w:firstLineChars="200"/>
        <w:textAlignment w:val="auto"/>
        <w:outlineLvl w:val="9"/>
        <w:rPr>
          <w:rFonts w:hint="eastAsia" w:ascii="仿宋" w:hAnsi="仿宋" w:eastAsia="仿宋" w:cs="仿宋"/>
          <w:color w:val="auto"/>
          <w:sz w:val="32"/>
          <w:szCs w:val="32"/>
          <w:highlight w:val="none"/>
          <w:lang w:val="en-US" w:eastAsia="zh-CN"/>
        </w:rPr>
      </w:pPr>
      <w:r>
        <w:rPr>
          <w:rFonts w:hint="eastAsia" w:ascii="华文楷体" w:hAnsi="华文楷体" w:eastAsia="华文楷体" w:cs="华文楷体"/>
          <w:b/>
          <w:bCs/>
          <w:color w:val="auto"/>
          <w:sz w:val="32"/>
          <w:szCs w:val="32"/>
          <w:highlight w:val="none"/>
        </w:rPr>
        <w:t>残疾人福利</w:t>
      </w:r>
      <w:r>
        <w:rPr>
          <w:rFonts w:hint="eastAsia" w:ascii="华文楷体" w:hAnsi="华文楷体" w:eastAsia="华文楷体" w:cs="华文楷体"/>
          <w:b/>
          <w:bCs/>
          <w:color w:val="auto"/>
          <w:sz w:val="32"/>
          <w:szCs w:val="32"/>
          <w:highlight w:val="none"/>
          <w:lang w:val="en-US" w:eastAsia="zh-CN"/>
        </w:rPr>
        <w:t>保障不断优化</w:t>
      </w:r>
      <w:r>
        <w:rPr>
          <w:rFonts w:hint="eastAsia" w:ascii="华文楷体" w:hAnsi="华文楷体" w:eastAsia="华文楷体" w:cs="华文楷体"/>
          <w:b/>
          <w:bCs/>
          <w:color w:val="auto"/>
          <w:sz w:val="32"/>
          <w:szCs w:val="32"/>
          <w:highlight w:val="none"/>
        </w:rPr>
        <w:t>。</w:t>
      </w:r>
      <w:r>
        <w:rPr>
          <w:rFonts w:hint="eastAsia" w:ascii="仿宋" w:hAnsi="仿宋" w:eastAsia="仿宋" w:cs="仿宋"/>
          <w:color w:val="auto"/>
          <w:sz w:val="32"/>
          <w:szCs w:val="32"/>
          <w:highlight w:val="none"/>
          <w:lang w:val="en-US" w:eastAsia="zh-CN"/>
        </w:rPr>
        <w:t>残疾人两项补贴发放权限实现全程网办。实现资格认定“跨省通办”、“马上办、就近办、一地办”。“十四五”期间，将市社会救助管理站和福雅精神卫生院改造成精神障碍社区康复服务试点。</w:t>
      </w:r>
    </w:p>
    <w:p w14:paraId="0490185B">
      <w:pPr>
        <w:tabs>
          <w:tab w:val="left" w:pos="720"/>
        </w:tabs>
        <w:spacing w:before="156" w:beforeLines="50" w:line="360" w:lineRule="auto"/>
        <w:ind w:firstLine="643" w:firstLineChars="200"/>
        <w:rPr>
          <w:rFonts w:hint="eastAsia" w:ascii="仿宋" w:hAnsi="仿宋" w:eastAsia="仿宋" w:cs="仿宋"/>
          <w:color w:val="auto"/>
          <w:sz w:val="32"/>
          <w:szCs w:val="32"/>
          <w:highlight w:val="none"/>
          <w:lang w:val="en-US" w:eastAsia="zh-CN"/>
        </w:rPr>
      </w:pPr>
      <w:r>
        <w:rPr>
          <w:rFonts w:hint="eastAsia" w:ascii="华文楷体" w:hAnsi="华文楷体" w:eastAsia="华文楷体" w:cs="华文楷体"/>
          <w:b/>
          <w:bCs/>
          <w:color w:val="auto"/>
          <w:sz w:val="32"/>
          <w:szCs w:val="32"/>
          <w:highlight w:val="none"/>
        </w:rPr>
        <w:t>流浪乞讨人员救助</w:t>
      </w:r>
      <w:r>
        <w:rPr>
          <w:rFonts w:hint="eastAsia" w:ascii="华文楷体" w:hAnsi="华文楷体" w:eastAsia="华文楷体" w:cs="华文楷体"/>
          <w:b/>
          <w:bCs/>
          <w:color w:val="auto"/>
          <w:sz w:val="32"/>
          <w:szCs w:val="32"/>
          <w:highlight w:val="none"/>
          <w:lang w:val="en-US" w:eastAsia="zh-CN"/>
        </w:rPr>
        <w:t>成效明显</w:t>
      </w:r>
      <w:r>
        <w:rPr>
          <w:rFonts w:hint="eastAsia" w:ascii="华文楷体" w:hAnsi="华文楷体" w:eastAsia="华文楷体" w:cs="华文楷体"/>
          <w:b/>
          <w:bCs/>
          <w:color w:val="auto"/>
          <w:sz w:val="32"/>
          <w:szCs w:val="32"/>
          <w:highlight w:val="none"/>
        </w:rPr>
        <w:t>。</w:t>
      </w:r>
      <w:r>
        <w:rPr>
          <w:rFonts w:hint="eastAsia" w:ascii="仿宋" w:hAnsi="仿宋" w:eastAsia="仿宋" w:cs="仿宋"/>
          <w:color w:val="auto"/>
          <w:sz w:val="32"/>
          <w:szCs w:val="32"/>
          <w:highlight w:val="none"/>
          <w:lang w:val="en-US" w:eastAsia="zh-CN"/>
        </w:rPr>
        <w:t>以市救助管理站为核心，依托各区（镇、街道）党群服务中心、便民服务大厅等公共资源建设临时救助点6个，全市救助服务网络实现全覆盖。依托公安技术开展人脸识别、DNA和指纹比对加强流浪乞讨人员信息核查，不断提高寻亲成功率，累计救助1531人次，寻亲成功护送返乡率100%。</w:t>
      </w:r>
    </w:p>
    <w:p w14:paraId="37EA93CE">
      <w:pPr>
        <w:keepNext/>
        <w:keepLines/>
        <w:spacing w:before="156" w:beforeLines="50" w:line="413" w:lineRule="auto"/>
        <w:ind w:firstLine="640" w:firstLineChars="200"/>
        <w:outlineLvl w:val="2"/>
        <w:rPr>
          <w:rFonts w:hint="eastAsia" w:ascii="华文中宋" w:hAnsi="华文中宋" w:eastAsia="华文中宋" w:cs="华文中宋"/>
          <w:color w:val="auto"/>
          <w:sz w:val="32"/>
          <w:szCs w:val="32"/>
          <w:highlight w:val="none"/>
        </w:rPr>
      </w:pPr>
      <w:bookmarkStart w:id="6" w:name="_Toc1402"/>
      <w:r>
        <w:rPr>
          <w:rFonts w:hint="eastAsia" w:ascii="华文中宋" w:hAnsi="华文中宋" w:eastAsia="华文中宋" w:cs="华文中宋"/>
          <w:color w:val="auto"/>
          <w:sz w:val="32"/>
          <w:szCs w:val="32"/>
          <w:highlight w:val="none"/>
        </w:rPr>
        <w:t>（二）</w:t>
      </w:r>
      <w:r>
        <w:rPr>
          <w:rFonts w:hint="eastAsia" w:ascii="华文中宋" w:hAnsi="华文中宋" w:eastAsia="华文中宋" w:cs="华文中宋"/>
          <w:color w:val="auto"/>
          <w:sz w:val="32"/>
          <w:szCs w:val="32"/>
          <w:highlight w:val="none"/>
          <w:lang w:val="en-US" w:eastAsia="zh-CN"/>
        </w:rPr>
        <w:t>老龄工作和</w:t>
      </w:r>
      <w:r>
        <w:rPr>
          <w:rFonts w:hint="eastAsia" w:ascii="华文中宋" w:hAnsi="华文中宋" w:eastAsia="华文中宋" w:cs="华文中宋"/>
          <w:color w:val="auto"/>
          <w:sz w:val="32"/>
          <w:szCs w:val="32"/>
          <w:highlight w:val="none"/>
        </w:rPr>
        <w:t>养老服务体系</w:t>
      </w:r>
      <w:r>
        <w:rPr>
          <w:rFonts w:hint="eastAsia" w:ascii="华文中宋" w:hAnsi="华文中宋" w:eastAsia="华文中宋" w:cs="华文中宋"/>
          <w:color w:val="auto"/>
          <w:sz w:val="32"/>
          <w:szCs w:val="32"/>
          <w:highlight w:val="none"/>
          <w:lang w:val="en-US" w:eastAsia="zh-CN"/>
        </w:rPr>
        <w:t>逐步</w:t>
      </w:r>
      <w:r>
        <w:rPr>
          <w:rFonts w:hint="eastAsia" w:ascii="华文中宋" w:hAnsi="华文中宋" w:eastAsia="华文中宋" w:cs="华文中宋"/>
          <w:color w:val="auto"/>
          <w:sz w:val="32"/>
          <w:szCs w:val="32"/>
          <w:highlight w:val="none"/>
        </w:rPr>
        <w:t>完善</w:t>
      </w:r>
      <w:bookmarkEnd w:id="6"/>
    </w:p>
    <w:p w14:paraId="469A059B">
      <w:pPr>
        <w:tabs>
          <w:tab w:val="left" w:pos="720"/>
        </w:tabs>
        <w:spacing w:before="156" w:beforeLines="50" w:line="360" w:lineRule="auto"/>
        <w:ind w:firstLine="643" w:firstLineChars="200"/>
        <w:rPr>
          <w:rFonts w:hint="eastAsia" w:ascii="仿宋" w:hAnsi="仿宋" w:eastAsia="仿宋" w:cs="仿宋"/>
          <w:color w:val="auto"/>
          <w:sz w:val="32"/>
          <w:szCs w:val="32"/>
          <w:highlight w:val="none"/>
          <w:lang w:val="en-US" w:eastAsia="zh-CN"/>
        </w:rPr>
      </w:pPr>
      <w:r>
        <w:rPr>
          <w:rFonts w:hint="eastAsia" w:ascii="华文楷体" w:hAnsi="华文楷体" w:eastAsia="华文楷体" w:cs="华文楷体"/>
          <w:b/>
          <w:bCs/>
          <w:color w:val="auto"/>
          <w:sz w:val="32"/>
          <w:szCs w:val="32"/>
          <w:highlight w:val="none"/>
          <w:lang w:val="en-US" w:eastAsia="zh-CN"/>
        </w:rPr>
        <w:t>养老服务保障水平不断提升。</w:t>
      </w:r>
      <w:r>
        <w:rPr>
          <w:rFonts w:hint="eastAsia" w:ascii="仿宋" w:hAnsi="仿宋" w:eastAsia="仿宋" w:cs="仿宋"/>
          <w:color w:val="auto"/>
          <w:sz w:val="32"/>
          <w:szCs w:val="32"/>
          <w:highlight w:val="none"/>
          <w:lang w:val="en-US" w:eastAsia="zh-CN"/>
        </w:rPr>
        <w:t>目前，全市共有养老机构15所，总床位2654张，护理型床位占比超过70%，其中公办5家（含1家社会福利院、4家区域性农村福利院）、民办10家；3级养老机构5家、2级养老机构7家。“十四五”期间，各地持续推动养老机构提质改造，优化床位结构，服务标准化、规范化水平不断提升，安全管理、质量评价、行业监管体系日趋完善；公办养老机构改革稳妥推进，公建民营、医养结合等模式加快推广。全市全面实施高龄津贴制度，累计发放8500余万元，建立特困供养数据库及民办养老机构预收费三方监管机制，有效防范诈骗及非法集资风险。人才队伍建设方面，组织参加技能大赛及培训班，培训养老护理员98人，其中96人获初级证书；组织17所机构消防责任人考取资格证书。通过上述举措，机构养老服务更加安全、便捷、普惠，有效满足了失能、半失能老年人的专业照护需求，老年人的获得感、幸福感、安全感持续增强。</w:t>
      </w:r>
    </w:p>
    <w:p w14:paraId="2DA11A62">
      <w:pPr>
        <w:tabs>
          <w:tab w:val="left" w:pos="720"/>
        </w:tabs>
        <w:spacing w:before="156" w:beforeLines="50" w:line="360" w:lineRule="auto"/>
        <w:ind w:firstLine="643" w:firstLineChars="200"/>
        <w:rPr>
          <w:rFonts w:hint="eastAsia" w:ascii="仿宋" w:hAnsi="仿宋" w:eastAsia="仿宋" w:cs="仿宋"/>
          <w:color w:val="auto"/>
          <w:sz w:val="32"/>
          <w:szCs w:val="32"/>
          <w:highlight w:val="none"/>
          <w:lang w:val="en-US" w:eastAsia="zh-CN"/>
        </w:rPr>
      </w:pPr>
      <w:r>
        <w:rPr>
          <w:rFonts w:hint="eastAsia" w:ascii="华文楷体" w:hAnsi="华文楷体" w:eastAsia="华文楷体" w:cs="华文楷体"/>
          <w:b/>
          <w:bCs/>
          <w:color w:val="auto"/>
          <w:sz w:val="32"/>
          <w:szCs w:val="32"/>
          <w:highlight w:val="none"/>
          <w:lang w:val="en-US" w:eastAsia="zh-CN"/>
        </w:rPr>
        <w:t>社区居家养老服务创新发展。</w:t>
      </w:r>
      <w:r>
        <w:rPr>
          <w:rFonts w:hint="eastAsia" w:ascii="仿宋" w:hAnsi="仿宋" w:eastAsia="仿宋" w:cs="仿宋"/>
          <w:color w:val="auto"/>
          <w:sz w:val="32"/>
          <w:szCs w:val="32"/>
          <w:highlight w:val="none"/>
          <w:lang w:val="en-US" w:eastAsia="zh-CN"/>
        </w:rPr>
        <w:t>投资950万元建成8个街道养老服务综合体（平均800㎡以上），提供休闲、康复、助餐等“六助”服务。投资130万元升级12处农村互助照料中心（平均300㎡以上），增强农村养老可及性。完成944户特殊困难老年人家庭适老化改造，试点“智能+居家养老”，建成230张家庭照护床位。健全特殊困难老年人探访关爱机制，创新打造“中央厨房+助餐点+送餐上门”模式，建成18个社区助餐点，中心城区覆盖率达70%以上。华美社区“专业机构+社区养老+居家养老”可持续养老服务模式为全市推广“15分钟养老服务圈”提供经验。</w:t>
      </w:r>
    </w:p>
    <w:p w14:paraId="47FC0E84">
      <w:pPr>
        <w:tabs>
          <w:tab w:val="left" w:pos="720"/>
        </w:tabs>
        <w:spacing w:before="156" w:beforeLines="50" w:line="360" w:lineRule="auto"/>
        <w:ind w:firstLine="643" w:firstLineChars="200"/>
        <w:rPr>
          <w:rFonts w:hint="eastAsia" w:ascii="仿宋" w:hAnsi="仿宋" w:eastAsia="仿宋" w:cs="仿宋"/>
          <w:color w:val="auto"/>
          <w:sz w:val="32"/>
          <w:szCs w:val="32"/>
          <w:highlight w:val="none"/>
          <w:lang w:val="en-US" w:eastAsia="zh-CN"/>
        </w:rPr>
      </w:pPr>
      <w:r>
        <w:rPr>
          <w:rFonts w:hint="eastAsia" w:ascii="华文楷体" w:hAnsi="华文楷体" w:eastAsia="华文楷体" w:cs="华文楷体"/>
          <w:b/>
          <w:bCs/>
          <w:color w:val="auto"/>
          <w:sz w:val="32"/>
          <w:szCs w:val="32"/>
          <w:highlight w:val="none"/>
          <w:lang w:val="en-US" w:eastAsia="zh-CN"/>
        </w:rPr>
        <w:t>完成老龄工作体制机制改革。</w:t>
      </w:r>
      <w:r>
        <w:rPr>
          <w:rFonts w:hint="eastAsia" w:ascii="仿宋" w:hAnsi="仿宋" w:eastAsia="仿宋" w:cs="仿宋"/>
          <w:color w:val="auto"/>
          <w:sz w:val="32"/>
          <w:szCs w:val="32"/>
          <w:highlight w:val="none"/>
          <w:lang w:val="en-US" w:eastAsia="zh-CN"/>
        </w:rPr>
        <w:t>全面落实党和国家机构改革调整要求，完成老龄工作职能划入，设置老龄工作科。建立全市老龄工作联席会议机制，切实发挥民政部门综合协调、督促指导、组织推进老龄事业发展的职责作用，推动老龄工作各成员单位积极履职尽责，形成齐抓共管、协同推进的良好局面。</w:t>
      </w:r>
    </w:p>
    <w:p w14:paraId="04A8090E">
      <w:pPr>
        <w:tabs>
          <w:tab w:val="left" w:pos="720"/>
        </w:tabs>
        <w:spacing w:before="156" w:beforeLines="50" w:line="360" w:lineRule="auto"/>
        <w:ind w:firstLine="643" w:firstLineChars="200"/>
        <w:rPr>
          <w:rFonts w:hint="eastAsia" w:ascii="仿宋" w:hAnsi="仿宋" w:eastAsia="仿宋" w:cs="仿宋"/>
          <w:color w:val="auto"/>
          <w:sz w:val="32"/>
          <w:szCs w:val="32"/>
          <w:highlight w:val="none"/>
          <w:lang w:val="en-US" w:eastAsia="zh-CN"/>
        </w:rPr>
      </w:pPr>
      <w:r>
        <w:rPr>
          <w:rFonts w:hint="eastAsia" w:ascii="华文楷体" w:hAnsi="华文楷体" w:eastAsia="华文楷体" w:cs="华文楷体"/>
          <w:b/>
          <w:bCs/>
          <w:color w:val="auto"/>
          <w:sz w:val="32"/>
          <w:szCs w:val="32"/>
          <w:highlight w:val="none"/>
          <w:lang w:val="en-US" w:eastAsia="zh-CN"/>
        </w:rPr>
        <w:t>老年友好型社会建设加快。</w:t>
      </w:r>
      <w:r>
        <w:rPr>
          <w:rFonts w:hint="eastAsia" w:ascii="仿宋" w:hAnsi="仿宋" w:eastAsia="仿宋" w:cs="仿宋"/>
          <w:color w:val="auto"/>
          <w:sz w:val="32"/>
          <w:szCs w:val="32"/>
          <w:highlight w:val="none"/>
          <w:lang w:val="en-US" w:eastAsia="zh-CN"/>
        </w:rPr>
        <w:t>老年宜居环境持续改善，已创成2家全国示范性老年友好型社区，分别为园林街道雅苑社区和广华寺街道广北社区。聚焦老年群体多元需求，持续完善交通出行、景区游览、健康医疗等普惠优待政策，稳步提升公共场所、公共交通设施适老化建设水平。有效破解老年人政务办理、就医办事等智能应用难题。同时，深化老年法治关爱服务，常态化开展 “法治护航夕阳红” 普法宣传活动，覆盖社区、养老机构及老年家庭，开通老年人法律援助绿色通道，切实守护老年人合法权益。</w:t>
      </w:r>
    </w:p>
    <w:p w14:paraId="7DC4A1F3">
      <w:pPr>
        <w:tabs>
          <w:tab w:val="left" w:pos="720"/>
        </w:tabs>
        <w:spacing w:before="156" w:beforeLines="50" w:line="360" w:lineRule="auto"/>
        <w:ind w:firstLine="643" w:firstLineChars="200"/>
        <w:rPr>
          <w:rFonts w:hint="eastAsia" w:ascii="仿宋" w:hAnsi="仿宋" w:eastAsia="仿宋" w:cs="仿宋"/>
          <w:color w:val="auto"/>
          <w:sz w:val="32"/>
          <w:szCs w:val="32"/>
          <w:highlight w:val="none"/>
          <w:lang w:val="en-US" w:eastAsia="zh-CN"/>
        </w:rPr>
      </w:pPr>
      <w:r>
        <w:rPr>
          <w:rFonts w:hint="eastAsia" w:ascii="华文楷体" w:hAnsi="华文楷体" w:eastAsia="华文楷体" w:cs="华文楷体"/>
          <w:b/>
          <w:bCs/>
          <w:color w:val="auto"/>
          <w:sz w:val="32"/>
          <w:szCs w:val="32"/>
          <w:highlight w:val="none"/>
          <w:lang w:val="en-US" w:eastAsia="zh-CN"/>
        </w:rPr>
        <w:t>老年人社会参与更为广泛。</w:t>
      </w:r>
      <w:r>
        <w:rPr>
          <w:rFonts w:hint="eastAsia" w:ascii="仿宋" w:hAnsi="仿宋" w:eastAsia="仿宋" w:cs="仿宋"/>
          <w:color w:val="auto"/>
          <w:sz w:val="32"/>
          <w:szCs w:val="32"/>
          <w:highlight w:val="none"/>
          <w:lang w:val="en-US" w:eastAsia="zh-CN"/>
        </w:rPr>
        <w:t>市-区镇（街道）-村（社区）三级老年协会网络建设持续完善，基层老年协会数量达到385个。实施“银龄行动”，打造“银龄展艺铸和谐·志愿传能促振兴”、“银龄和事佬-社区矛盾纠纷调解”、“芦洑河畔·红心向党”、“老吾老·心连心”等多个品牌项目，在引导老年群体发挥余热、助力社会发展方面取得一定成效。践行积极老龄观，组织发动全市老年群体参加全省中老年人才艺大赛，老年人精神文化生活日益丰富。</w:t>
      </w:r>
    </w:p>
    <w:p w14:paraId="3ABF60CC">
      <w:pPr>
        <w:keepNext/>
        <w:keepLines/>
        <w:spacing w:before="156" w:beforeLines="50" w:line="413" w:lineRule="auto"/>
        <w:ind w:firstLine="640" w:firstLineChars="200"/>
        <w:outlineLvl w:val="2"/>
        <w:rPr>
          <w:rFonts w:hint="eastAsia" w:ascii="华文中宋" w:hAnsi="华文中宋" w:eastAsia="华文中宋" w:cs="华文中宋"/>
          <w:color w:val="auto"/>
          <w:sz w:val="32"/>
          <w:szCs w:val="32"/>
          <w:highlight w:val="none"/>
        </w:rPr>
      </w:pPr>
      <w:bookmarkStart w:id="7" w:name="_Toc27040"/>
      <w:r>
        <w:rPr>
          <w:rFonts w:hint="eastAsia" w:ascii="华文中宋" w:hAnsi="华文中宋" w:eastAsia="华文中宋" w:cs="华文中宋"/>
          <w:color w:val="auto"/>
          <w:sz w:val="32"/>
          <w:szCs w:val="32"/>
          <w:highlight w:val="none"/>
        </w:rPr>
        <w:t>（三）基层社会治理创新推进</w:t>
      </w:r>
      <w:bookmarkEnd w:id="7"/>
    </w:p>
    <w:p w14:paraId="247FE333">
      <w:pPr>
        <w:keepNext w:val="0"/>
        <w:keepLines w:val="0"/>
        <w:pageBreakBefore w:val="0"/>
        <w:widowControl w:val="0"/>
        <w:kinsoku/>
        <w:wordWrap/>
        <w:overflowPunct/>
        <w:topLinePunct w:val="0"/>
        <w:autoSpaceDE/>
        <w:autoSpaceDN/>
        <w:bidi w:val="0"/>
        <w:adjustRightInd/>
        <w:snapToGrid/>
        <w:spacing w:before="157" w:beforeLines="50" w:line="360" w:lineRule="auto"/>
        <w:ind w:firstLine="643" w:firstLineChars="200"/>
        <w:textAlignment w:val="auto"/>
        <w:rPr>
          <w:rFonts w:hint="eastAsia" w:ascii="仿宋" w:hAnsi="仿宋" w:eastAsia="仿宋" w:cs="仿宋"/>
          <w:color w:val="auto"/>
          <w:sz w:val="32"/>
          <w:szCs w:val="32"/>
          <w:highlight w:val="none"/>
          <w:lang w:val="en-US" w:eastAsia="zh-CN"/>
        </w:rPr>
      </w:pPr>
      <w:r>
        <w:rPr>
          <w:rFonts w:hint="eastAsia" w:ascii="华文楷体" w:hAnsi="华文楷体" w:eastAsia="华文楷体" w:cs="华文楷体"/>
          <w:b/>
          <w:bCs/>
          <w:color w:val="auto"/>
          <w:sz w:val="32"/>
          <w:szCs w:val="32"/>
          <w:highlight w:val="none"/>
          <w:lang w:val="en-US" w:eastAsia="zh-CN"/>
        </w:rPr>
        <w:t>地名命名与管理流程不断规范。</w:t>
      </w:r>
      <w:r>
        <w:rPr>
          <w:rFonts w:hint="eastAsia" w:ascii="仿宋" w:hAnsi="仿宋" w:eastAsia="仿宋" w:cs="仿宋"/>
          <w:color w:val="auto"/>
          <w:sz w:val="32"/>
          <w:szCs w:val="32"/>
          <w:highlight w:val="none"/>
          <w:lang w:val="en-US" w:eastAsia="zh-CN"/>
        </w:rPr>
        <w:t>全市已形成“基层申报、实地调研、专家论证、部门会商、社会公示、政府审批、社会公告、信息备案”的标准化地名命名更名流程，高质量推进街路巷命名工作。“十四五”期间，完成103条无名道路和5处实体命名，对10条道路和1条河流进行更名；累计安装路牌280余块，修复路牌450余块，维护路牌3000余次。扎实开展“乡村著名行动”，推动地名文化与乡村建设深度融合。</w:t>
      </w:r>
    </w:p>
    <w:p w14:paraId="39D6F396">
      <w:pPr>
        <w:keepNext w:val="0"/>
        <w:keepLines w:val="0"/>
        <w:pageBreakBefore w:val="0"/>
        <w:widowControl w:val="0"/>
        <w:kinsoku/>
        <w:wordWrap/>
        <w:overflowPunct/>
        <w:topLinePunct w:val="0"/>
        <w:autoSpaceDE/>
        <w:autoSpaceDN/>
        <w:bidi w:val="0"/>
        <w:adjustRightInd/>
        <w:snapToGrid/>
        <w:spacing w:before="157" w:beforeLines="50" w:line="360" w:lineRule="auto"/>
        <w:ind w:firstLine="643" w:firstLineChars="200"/>
        <w:textAlignment w:val="auto"/>
        <w:rPr>
          <w:rFonts w:hint="eastAsia" w:ascii="仿宋" w:hAnsi="仿宋" w:eastAsia="仿宋" w:cs="仿宋"/>
          <w:color w:val="auto"/>
          <w:sz w:val="32"/>
          <w:szCs w:val="32"/>
          <w:highlight w:val="none"/>
          <w:lang w:val="en-US" w:eastAsia="zh-CN"/>
        </w:rPr>
      </w:pPr>
      <w:r>
        <w:rPr>
          <w:rFonts w:hint="eastAsia" w:ascii="华文楷体" w:hAnsi="华文楷体" w:eastAsia="华文楷体" w:cs="华文楷体"/>
          <w:b/>
          <w:bCs/>
          <w:color w:val="auto"/>
          <w:sz w:val="32"/>
          <w:szCs w:val="32"/>
          <w:highlight w:val="none"/>
          <w:lang w:val="en-US" w:eastAsia="zh-CN"/>
        </w:rPr>
        <w:t>界线勘定与地名文化保护不断深化。</w:t>
      </w:r>
      <w:r>
        <w:rPr>
          <w:rFonts w:hint="eastAsia" w:ascii="仿宋" w:hAnsi="仿宋" w:eastAsia="仿宋" w:cs="仿宋"/>
          <w:color w:val="auto"/>
          <w:sz w:val="32"/>
          <w:szCs w:val="32"/>
          <w:highlight w:val="none"/>
          <w:lang w:val="en-US" w:eastAsia="zh-CN"/>
        </w:rPr>
        <w:t>系统完成行政区域界线勘定，实地踏勘431个村（社区），勘定乡级界线51条，妥善处理16处争议。深化勘界成果应用，编纂出版新版《潜江市地名文化遗产保护名录》，加强地名文化的系统性保护，不断提升区划地名管理服务水平。</w:t>
      </w:r>
    </w:p>
    <w:p w14:paraId="5D02B78A">
      <w:pPr>
        <w:keepNext w:val="0"/>
        <w:keepLines w:val="0"/>
        <w:pageBreakBefore w:val="0"/>
        <w:widowControl w:val="0"/>
        <w:kinsoku/>
        <w:wordWrap/>
        <w:overflowPunct/>
        <w:topLinePunct w:val="0"/>
        <w:autoSpaceDE/>
        <w:autoSpaceDN/>
        <w:bidi w:val="0"/>
        <w:adjustRightInd w:val="0"/>
        <w:snapToGrid w:val="0"/>
        <w:spacing w:before="157" w:beforeLines="50" w:line="360" w:lineRule="auto"/>
        <w:ind w:firstLine="643" w:firstLineChars="200"/>
        <w:jc w:val="left"/>
        <w:textAlignment w:val="auto"/>
        <w:rPr>
          <w:rFonts w:hint="eastAsia" w:ascii="仿宋" w:hAnsi="仿宋" w:eastAsia="仿宋" w:cs="仿宋"/>
          <w:color w:val="auto"/>
          <w:sz w:val="32"/>
          <w:szCs w:val="32"/>
          <w:highlight w:val="none"/>
          <w:lang w:val="en-US" w:eastAsia="zh-CN"/>
        </w:rPr>
      </w:pPr>
      <w:r>
        <w:rPr>
          <w:rFonts w:hint="eastAsia" w:ascii="华文楷体" w:hAnsi="华文楷体" w:eastAsia="华文楷体" w:cs="华文楷体"/>
          <w:b/>
          <w:bCs/>
          <w:color w:val="auto"/>
          <w:sz w:val="32"/>
          <w:szCs w:val="32"/>
          <w:highlight w:val="none"/>
        </w:rPr>
        <w:t>社会组织健康发展。</w:t>
      </w:r>
      <w:r>
        <w:rPr>
          <w:rFonts w:hint="eastAsia" w:ascii="宋体" w:hAnsi="宋体" w:eastAsia="仿宋_GB2312" w:cs="仿宋_GB2312"/>
          <w:color w:val="auto"/>
          <w:sz w:val="32"/>
          <w:szCs w:val="32"/>
          <w:highlight w:val="none"/>
        </w:rPr>
        <w:t>全市共有注册登记社会组织</w:t>
      </w:r>
      <w:r>
        <w:rPr>
          <w:rFonts w:hint="eastAsia" w:ascii="宋体" w:hAnsi="宋体" w:eastAsia="仿宋_GB2312" w:cs="仿宋_GB2312"/>
          <w:color w:val="auto"/>
          <w:sz w:val="32"/>
          <w:szCs w:val="32"/>
          <w:highlight w:val="none"/>
          <w:lang w:val="en-US" w:eastAsia="zh-CN"/>
        </w:rPr>
        <w:t>358</w:t>
      </w:r>
      <w:r>
        <w:rPr>
          <w:rFonts w:hint="eastAsia" w:ascii="仿宋" w:hAnsi="仿宋" w:eastAsia="仿宋" w:cs="仿宋"/>
          <w:color w:val="auto"/>
          <w:sz w:val="32"/>
          <w:szCs w:val="32"/>
          <w:highlight w:val="none"/>
          <w:lang w:val="en-US" w:eastAsia="zh-CN"/>
        </w:rPr>
        <w:t>家。强化社会组织党建引领，社会组织党组织覆盖率</w:t>
      </w:r>
      <w:r>
        <w:rPr>
          <w:rFonts w:hint="eastAsia" w:ascii="国标仿宋" w:hAnsi="国标仿宋" w:eastAsia="国标仿宋" w:cs="国标仿宋"/>
          <w:color w:val="auto"/>
          <w:sz w:val="32"/>
          <w:szCs w:val="32"/>
          <w:highlight w:val="none"/>
        </w:rPr>
        <w:t>93.3%</w:t>
      </w:r>
      <w:r>
        <w:rPr>
          <w:rFonts w:hint="eastAsia" w:ascii="国标仿宋" w:hAnsi="国标仿宋" w:eastAsia="国标仿宋" w:cs="国标仿宋"/>
          <w:color w:val="auto"/>
          <w:sz w:val="32"/>
          <w:szCs w:val="32"/>
          <w:highlight w:val="none"/>
          <w:lang w:eastAsia="zh-CN"/>
        </w:rPr>
        <w:t>。</w:t>
      </w:r>
      <w:r>
        <w:rPr>
          <w:rFonts w:hint="eastAsia" w:ascii="仿宋" w:hAnsi="仿宋" w:eastAsia="仿宋" w:cs="仿宋"/>
          <w:color w:val="auto"/>
          <w:sz w:val="32"/>
          <w:szCs w:val="32"/>
          <w:highlight w:val="none"/>
          <w:lang w:val="en-US" w:eastAsia="zh-CN"/>
        </w:rPr>
        <w:t>依法依规登记，建立信用承诺制度。严格依法监管，持续开展行业协会商会涉企乱收费和打击非法社会组织工作，社会组织健康有序发展。</w:t>
      </w:r>
    </w:p>
    <w:p w14:paraId="60D3223F">
      <w:pPr>
        <w:keepNext w:val="0"/>
        <w:keepLines w:val="0"/>
        <w:pageBreakBefore w:val="0"/>
        <w:widowControl w:val="0"/>
        <w:tabs>
          <w:tab w:val="left" w:pos="720"/>
        </w:tabs>
        <w:kinsoku/>
        <w:wordWrap/>
        <w:overflowPunct/>
        <w:topLinePunct w:val="0"/>
        <w:autoSpaceDE/>
        <w:autoSpaceDN/>
        <w:bidi w:val="0"/>
        <w:spacing w:before="157" w:beforeLines="50" w:line="360" w:lineRule="auto"/>
        <w:ind w:firstLine="643" w:firstLineChars="200"/>
        <w:textAlignment w:val="auto"/>
        <w:rPr>
          <w:rFonts w:hint="eastAsia" w:ascii="仿宋" w:hAnsi="仿宋" w:eastAsia="仿宋" w:cs="仿宋"/>
          <w:color w:val="auto"/>
          <w:sz w:val="32"/>
          <w:szCs w:val="32"/>
          <w:highlight w:val="none"/>
          <w:lang w:val="en-US" w:eastAsia="zh-CN"/>
        </w:rPr>
      </w:pPr>
      <w:r>
        <w:rPr>
          <w:rFonts w:hint="eastAsia" w:ascii="华文楷体" w:hAnsi="华文楷体" w:eastAsia="华文楷体" w:cs="华文楷体"/>
          <w:b/>
          <w:bCs/>
          <w:color w:val="auto"/>
          <w:sz w:val="32"/>
          <w:szCs w:val="32"/>
          <w:highlight w:val="none"/>
        </w:rPr>
        <w:t>慈善事业蓬勃发展。</w:t>
      </w:r>
      <w:r>
        <w:rPr>
          <w:rFonts w:hint="eastAsia" w:eastAsia="仿宋_GB2312" w:cs="仿宋_GB2312" w:asciiTheme="minorEastAsia" w:hAnsiTheme="minorEastAsia"/>
          <w:color w:val="auto"/>
          <w:sz w:val="32"/>
          <w:szCs w:val="32"/>
          <w:highlight w:val="none"/>
          <w:lang w:val="en-US" w:eastAsia="zh-CN"/>
        </w:rPr>
        <w:t>实施</w:t>
      </w:r>
      <w:r>
        <w:rPr>
          <w:rFonts w:hint="eastAsia" w:ascii="仿宋" w:hAnsi="仿宋" w:eastAsia="仿宋" w:cs="仿宋"/>
          <w:color w:val="auto"/>
          <w:sz w:val="32"/>
          <w:szCs w:val="32"/>
          <w:highlight w:val="none"/>
          <w:lang w:val="en-US" w:eastAsia="zh-CN"/>
        </w:rPr>
        <w:t>“幸福家园”村社互助、“医路同行”、“慈善阳光班”等慈善项目，指导全市23个区镇街道，431个村（社区）设立社区公益基金，实现社区公益基金全覆盖。开展线上线下慈善宣传活动248次，培训慈善相关人员950人次。</w:t>
      </w:r>
    </w:p>
    <w:p w14:paraId="395A8A4E">
      <w:pPr>
        <w:keepNext/>
        <w:keepLines/>
        <w:spacing w:before="156" w:beforeLines="50" w:line="413" w:lineRule="auto"/>
        <w:ind w:firstLine="640" w:firstLineChars="200"/>
        <w:outlineLvl w:val="2"/>
        <w:rPr>
          <w:rFonts w:hint="eastAsia" w:ascii="华文中宋" w:hAnsi="华文中宋" w:eastAsia="华文中宋" w:cs="华文中宋"/>
          <w:color w:val="auto"/>
          <w:sz w:val="32"/>
          <w:szCs w:val="32"/>
          <w:highlight w:val="none"/>
          <w:lang w:val="en-US" w:eastAsia="zh-CN"/>
        </w:rPr>
      </w:pPr>
      <w:bookmarkStart w:id="8" w:name="_Toc25239"/>
      <w:r>
        <w:rPr>
          <w:rFonts w:hint="eastAsia" w:ascii="华文中宋" w:hAnsi="华文中宋" w:eastAsia="华文中宋" w:cs="华文中宋"/>
          <w:color w:val="auto"/>
          <w:sz w:val="32"/>
          <w:szCs w:val="32"/>
          <w:highlight w:val="none"/>
          <w:lang w:val="en-US" w:eastAsia="zh-CN"/>
        </w:rPr>
        <w:t>（四）基本社会事务优化升级</w:t>
      </w:r>
      <w:bookmarkEnd w:id="8"/>
    </w:p>
    <w:p w14:paraId="18275468">
      <w:pPr>
        <w:keepNext w:val="0"/>
        <w:keepLines w:val="0"/>
        <w:pageBreakBefore w:val="0"/>
        <w:widowControl w:val="0"/>
        <w:tabs>
          <w:tab w:val="left" w:pos="720"/>
        </w:tabs>
        <w:kinsoku/>
        <w:wordWrap/>
        <w:overflowPunct/>
        <w:topLinePunct w:val="0"/>
        <w:autoSpaceDE/>
        <w:autoSpaceDN/>
        <w:bidi w:val="0"/>
        <w:spacing w:before="157" w:beforeLines="50" w:line="360" w:lineRule="auto"/>
        <w:ind w:firstLine="643" w:firstLineChars="200"/>
        <w:textAlignment w:val="auto"/>
        <w:rPr>
          <w:rFonts w:hint="eastAsia" w:ascii="仿宋" w:hAnsi="仿宋" w:eastAsia="仿宋" w:cs="仿宋"/>
          <w:color w:val="auto"/>
          <w:sz w:val="32"/>
          <w:szCs w:val="32"/>
          <w:highlight w:val="none"/>
          <w:lang w:val="en-US" w:eastAsia="zh-CN"/>
        </w:rPr>
      </w:pPr>
      <w:r>
        <w:rPr>
          <w:rFonts w:hint="eastAsia" w:ascii="华文楷体" w:hAnsi="华文楷体" w:eastAsia="华文楷体" w:cs="华文楷体"/>
          <w:b/>
          <w:bCs/>
          <w:color w:val="auto"/>
          <w:sz w:val="32"/>
          <w:szCs w:val="32"/>
          <w:highlight w:val="none"/>
        </w:rPr>
        <w:t>婚姻登记服务便捷规范。</w:t>
      </w:r>
      <w:r>
        <w:rPr>
          <w:rFonts w:hint="eastAsia" w:ascii="华文仿宋" w:hAnsi="华文仿宋" w:eastAsia="华文仿宋" w:cs="华文仿宋"/>
          <w:color w:val="auto"/>
          <w:sz w:val="32"/>
          <w:szCs w:val="32"/>
          <w:highlight w:val="none"/>
        </w:rPr>
        <w:t>推进服务标准化和婚俗改革</w:t>
      </w:r>
      <w:r>
        <w:rPr>
          <w:rFonts w:hint="eastAsia" w:ascii="华文仿宋" w:hAnsi="华文仿宋" w:eastAsia="华文仿宋" w:cs="华文仿宋"/>
          <w:color w:val="auto"/>
          <w:sz w:val="32"/>
          <w:szCs w:val="32"/>
          <w:highlight w:val="none"/>
          <w:lang w:eastAsia="zh-CN"/>
        </w:rPr>
        <w:t>。</w:t>
      </w:r>
      <w:r>
        <w:rPr>
          <w:rFonts w:hint="eastAsia" w:ascii="华文仿宋" w:hAnsi="华文仿宋" w:eastAsia="华文仿宋" w:cs="华文仿宋"/>
          <w:color w:val="auto"/>
          <w:sz w:val="32"/>
          <w:szCs w:val="32"/>
          <w:highlight w:val="none"/>
          <w:lang w:val="en-US" w:eastAsia="zh-CN"/>
        </w:rPr>
        <w:t>实现婚姻登记档案数据全面采集和共享，开通结婚登记和补领结婚证网上预约功能，提供“一站式”办证服务，</w:t>
      </w:r>
      <w:r>
        <w:rPr>
          <w:rFonts w:hint="eastAsia" w:ascii="华文仿宋" w:hAnsi="华文仿宋" w:eastAsia="华文仿宋" w:cs="华文仿宋"/>
          <w:color w:val="auto"/>
          <w:sz w:val="32"/>
          <w:szCs w:val="32"/>
          <w:highlight w:val="none"/>
        </w:rPr>
        <w:t>婚姻登记</w:t>
      </w:r>
      <w:r>
        <w:rPr>
          <w:rFonts w:hint="eastAsia" w:ascii="华文仿宋" w:hAnsi="华文仿宋" w:eastAsia="华文仿宋" w:cs="华文仿宋"/>
          <w:color w:val="auto"/>
          <w:sz w:val="32"/>
          <w:szCs w:val="32"/>
          <w:highlight w:val="none"/>
          <w:lang w:eastAsia="zh-CN"/>
        </w:rPr>
        <w:t>“</w:t>
      </w:r>
      <w:r>
        <w:rPr>
          <w:rFonts w:hint="eastAsia" w:ascii="华文仿宋" w:hAnsi="华文仿宋" w:eastAsia="华文仿宋" w:cs="华文仿宋"/>
          <w:color w:val="auto"/>
          <w:sz w:val="32"/>
          <w:szCs w:val="32"/>
          <w:highlight w:val="none"/>
        </w:rPr>
        <w:t>跨省通办</w:t>
      </w:r>
      <w:r>
        <w:rPr>
          <w:rFonts w:hint="eastAsia" w:ascii="华文仿宋" w:hAnsi="华文仿宋" w:eastAsia="华文仿宋" w:cs="华文仿宋"/>
          <w:color w:val="auto"/>
          <w:sz w:val="32"/>
          <w:szCs w:val="32"/>
          <w:highlight w:val="none"/>
          <w:lang w:eastAsia="zh-CN"/>
        </w:rPr>
        <w:t>”</w:t>
      </w:r>
      <w:r>
        <w:rPr>
          <w:rFonts w:hint="eastAsia" w:ascii="华文仿宋" w:hAnsi="华文仿宋" w:eastAsia="华文仿宋" w:cs="华文仿宋"/>
          <w:color w:val="auto"/>
          <w:sz w:val="32"/>
          <w:szCs w:val="32"/>
          <w:highlight w:val="none"/>
        </w:rPr>
        <w:t>实施率100%</w:t>
      </w:r>
      <w:r>
        <w:rPr>
          <w:rFonts w:hint="eastAsia" w:ascii="华文仿宋" w:hAnsi="华文仿宋" w:eastAsia="华文仿宋" w:cs="华文仿宋"/>
          <w:color w:val="auto"/>
          <w:sz w:val="32"/>
          <w:szCs w:val="32"/>
          <w:highlight w:val="none"/>
          <w:lang w:eastAsia="zh-CN"/>
        </w:rPr>
        <w:t>，</w:t>
      </w:r>
      <w:r>
        <w:rPr>
          <w:rFonts w:hint="eastAsia" w:ascii="华文仿宋" w:hAnsi="华文仿宋" w:eastAsia="华文仿宋" w:cs="华文仿宋"/>
          <w:color w:val="auto"/>
          <w:sz w:val="32"/>
          <w:szCs w:val="32"/>
          <w:highlight w:val="none"/>
          <w:lang w:val="en-US" w:eastAsia="zh-CN"/>
        </w:rPr>
        <w:t>婚姻登记实施“全国通办”。开展婚姻家庭辅导、集体婚礼、婚俗文化宣传和颁证服务。主动协调相关单位化解历史遗留问题，为婚姻当事人提供便民服务渠道。</w:t>
      </w:r>
    </w:p>
    <w:p w14:paraId="42D87402">
      <w:pPr>
        <w:tabs>
          <w:tab w:val="left" w:pos="720"/>
        </w:tabs>
        <w:spacing w:before="156" w:beforeLines="50" w:line="360" w:lineRule="auto"/>
        <w:ind w:firstLine="643" w:firstLineChars="200"/>
        <w:rPr>
          <w:rFonts w:hint="eastAsia" w:ascii="华文仿宋" w:hAnsi="华文仿宋" w:eastAsia="华文仿宋" w:cs="华文仿宋"/>
          <w:color w:val="auto"/>
          <w:sz w:val="32"/>
          <w:szCs w:val="32"/>
          <w:highlight w:val="none"/>
          <w:lang w:val="en-US" w:eastAsia="zh-CN"/>
        </w:rPr>
      </w:pPr>
      <w:r>
        <w:rPr>
          <w:rFonts w:hint="eastAsia" w:ascii="华文楷体" w:hAnsi="华文楷体" w:eastAsia="华文楷体" w:cs="华文楷体"/>
          <w:b/>
          <w:bCs/>
          <w:color w:val="auto"/>
          <w:sz w:val="32"/>
          <w:szCs w:val="32"/>
          <w:highlight w:val="none"/>
        </w:rPr>
        <w:t>殡葬改革深化推进。</w:t>
      </w:r>
      <w:r>
        <w:rPr>
          <w:rFonts w:hint="eastAsia" w:ascii="华文仿宋" w:hAnsi="华文仿宋" w:eastAsia="华文仿宋" w:cs="华文仿宋"/>
          <w:color w:val="auto"/>
          <w:sz w:val="32"/>
          <w:szCs w:val="32"/>
          <w:highlight w:val="none"/>
          <w:lang w:val="en-US" w:eastAsia="zh-CN"/>
        </w:rPr>
        <w:t>实施惠民殡葬，免除遗体接运费、3日内冷藏费、遗体火化费及1年骨灰寄存费四项基本殡葬费用。落实减项降费优服务，将原有3大类服务44个收费项目精简为3大类14项，将丧葬用品进销差严格控制在35%以内，经营性公墓售价控制在4万元以内，严格按照殡葬从业服务“十必须、十严禁”规定开展殡葬服务。规范遗体接运秩序，配置正规遗体接运车18辆，由市殡葬管理所免费接运市内遗体。实现智慧监管，成立殡葬指挥调度中心，开发殡葬信息管理系统，实现全市殡葬服务“一线通”和全流程信息化监管。</w:t>
      </w:r>
    </w:p>
    <w:p w14:paraId="6631C428">
      <w:pPr>
        <w:keepNext w:val="0"/>
        <w:keepLines w:val="0"/>
        <w:pageBreakBefore w:val="0"/>
        <w:widowControl w:val="0"/>
        <w:kinsoku/>
        <w:wordWrap/>
        <w:overflowPunct/>
        <w:topLinePunct w:val="0"/>
        <w:autoSpaceDE/>
        <w:autoSpaceDN/>
        <w:bidi w:val="0"/>
        <w:adjustRightInd/>
        <w:snapToGrid/>
        <w:spacing w:before="156" w:beforeLines="50" w:line="360" w:lineRule="auto"/>
        <w:ind w:firstLine="640" w:firstLineChars="200"/>
        <w:jc w:val="left"/>
        <w:textAlignment w:val="auto"/>
        <w:rPr>
          <w:rFonts w:hint="eastAsia" w:ascii="仿宋_GB2312" w:hAnsi="仿宋_GB2312" w:eastAsia="仿宋_GB2312" w:cs="仿宋_GB2312"/>
          <w:color w:val="auto"/>
          <w:sz w:val="32"/>
          <w:szCs w:val="32"/>
          <w:highlight w:val="none"/>
          <w:lang w:val="en-US" w:eastAsia="zh-CN"/>
        </w:rPr>
      </w:pPr>
      <w:r>
        <w:rPr>
          <w:rFonts w:hint="eastAsia" w:eastAsia="仿宋_GB2312" w:cs="仿宋_GB2312" w:asciiTheme="minorEastAsia" w:hAnsiTheme="minorEastAsia"/>
          <w:color w:val="auto"/>
          <w:sz w:val="32"/>
          <w:szCs w:val="32"/>
          <w:highlight w:val="none"/>
        </w:rPr>
        <w:t>“十四五”期间，</w:t>
      </w:r>
      <w:r>
        <w:rPr>
          <w:rFonts w:hint="eastAsia" w:eastAsia="仿宋_GB2312" w:cs="仿宋_GB2312" w:asciiTheme="minorEastAsia" w:hAnsiTheme="minorEastAsia"/>
          <w:color w:val="auto"/>
          <w:sz w:val="32"/>
          <w:szCs w:val="32"/>
          <w:highlight w:val="none"/>
          <w:lang w:eastAsia="zh-CN"/>
        </w:rPr>
        <w:t>潜江</w:t>
      </w:r>
      <w:r>
        <w:rPr>
          <w:rFonts w:hint="eastAsia" w:eastAsia="仿宋_GB2312" w:cs="仿宋_GB2312" w:asciiTheme="minorEastAsia" w:hAnsiTheme="minorEastAsia"/>
          <w:color w:val="auto"/>
          <w:sz w:val="32"/>
          <w:szCs w:val="32"/>
          <w:highlight w:val="none"/>
          <w:lang w:val="en-US" w:eastAsia="zh-CN"/>
        </w:rPr>
        <w:t>市</w:t>
      </w:r>
      <w:r>
        <w:rPr>
          <w:rFonts w:hint="eastAsia" w:eastAsia="仿宋_GB2312" w:cs="仿宋_GB2312" w:asciiTheme="minorEastAsia" w:hAnsiTheme="minorEastAsia"/>
          <w:color w:val="auto"/>
          <w:sz w:val="32"/>
          <w:szCs w:val="32"/>
          <w:highlight w:val="none"/>
        </w:rPr>
        <w:t>民政工作</w:t>
      </w:r>
      <w:r>
        <w:rPr>
          <w:rFonts w:hint="eastAsia" w:eastAsia="仿宋_GB2312" w:cs="仿宋_GB2312" w:asciiTheme="minorEastAsia" w:hAnsiTheme="minorEastAsia"/>
          <w:color w:val="auto"/>
          <w:sz w:val="32"/>
          <w:szCs w:val="32"/>
          <w:highlight w:val="none"/>
          <w:lang w:eastAsia="zh-CN"/>
        </w:rPr>
        <w:t>在</w:t>
      </w:r>
      <w:r>
        <w:rPr>
          <w:rFonts w:hint="eastAsia" w:eastAsia="仿宋_GB2312" w:cs="仿宋_GB2312" w:asciiTheme="minorEastAsia" w:hAnsiTheme="minorEastAsia"/>
          <w:color w:val="auto"/>
          <w:sz w:val="32"/>
          <w:szCs w:val="32"/>
          <w:highlight w:val="none"/>
        </w:rPr>
        <w:t>取得诸多成效</w:t>
      </w:r>
      <w:r>
        <w:rPr>
          <w:rFonts w:hint="eastAsia" w:eastAsia="仿宋_GB2312" w:cs="仿宋_GB2312" w:asciiTheme="minorEastAsia" w:hAnsiTheme="minorEastAsia"/>
          <w:color w:val="auto"/>
          <w:sz w:val="32"/>
          <w:szCs w:val="32"/>
          <w:highlight w:val="none"/>
          <w:lang w:eastAsia="zh-CN"/>
        </w:rPr>
        <w:t>的同时</w:t>
      </w:r>
      <w:r>
        <w:rPr>
          <w:rFonts w:hint="eastAsia" w:eastAsia="仿宋_GB2312" w:cs="仿宋_GB2312" w:asciiTheme="minorEastAsia" w:hAnsiTheme="minorEastAsia"/>
          <w:color w:val="auto"/>
          <w:sz w:val="32"/>
          <w:szCs w:val="32"/>
          <w:highlight w:val="none"/>
        </w:rPr>
        <w:t>也面临</w:t>
      </w:r>
      <w:r>
        <w:rPr>
          <w:rFonts w:hint="eastAsia" w:eastAsia="仿宋_GB2312" w:cs="仿宋_GB2312" w:asciiTheme="minorEastAsia" w:hAnsiTheme="minorEastAsia"/>
          <w:color w:val="auto"/>
          <w:sz w:val="32"/>
          <w:szCs w:val="32"/>
          <w:highlight w:val="none"/>
          <w:lang w:eastAsia="zh-CN"/>
        </w:rPr>
        <w:t>挑战，</w:t>
      </w:r>
      <w:r>
        <w:rPr>
          <w:rFonts w:hint="eastAsia" w:eastAsia="仿宋_GB2312" w:cs="仿宋_GB2312" w:asciiTheme="minorEastAsia" w:hAnsiTheme="minorEastAsia"/>
          <w:color w:val="auto"/>
          <w:sz w:val="32"/>
          <w:szCs w:val="32"/>
          <w:highlight w:val="none"/>
        </w:rPr>
        <w:t>区域之间发展不平衡，</w:t>
      </w:r>
      <w:r>
        <w:rPr>
          <w:rFonts w:hint="eastAsia" w:eastAsia="仿宋_GB2312" w:cs="仿宋_GB2312" w:asciiTheme="minorEastAsia" w:hAnsiTheme="minorEastAsia"/>
          <w:color w:val="auto"/>
          <w:sz w:val="32"/>
          <w:szCs w:val="32"/>
          <w:highlight w:val="none"/>
          <w:lang w:val="en-US" w:eastAsia="zh-CN"/>
        </w:rPr>
        <w:t>服务对象精准识别难</w:t>
      </w:r>
      <w:r>
        <w:rPr>
          <w:rFonts w:hint="eastAsia" w:eastAsia="仿宋_GB2312" w:cs="仿宋_GB2312" w:asciiTheme="minorEastAsia" w:hAnsiTheme="minorEastAsia"/>
          <w:color w:val="auto"/>
          <w:sz w:val="32"/>
          <w:szCs w:val="32"/>
          <w:highlight w:val="none"/>
        </w:rPr>
        <w:t>，</w:t>
      </w:r>
      <w:r>
        <w:rPr>
          <w:rFonts w:hint="eastAsia" w:eastAsia="仿宋_GB2312" w:cs="仿宋_GB2312" w:asciiTheme="minorEastAsia" w:hAnsiTheme="minorEastAsia"/>
          <w:color w:val="auto"/>
          <w:sz w:val="32"/>
          <w:szCs w:val="32"/>
          <w:highlight w:val="none"/>
          <w:lang w:eastAsia="zh-CN"/>
        </w:rPr>
        <w:t>专业人才储备不足，民生</w:t>
      </w:r>
      <w:r>
        <w:rPr>
          <w:rFonts w:hint="eastAsia" w:eastAsia="仿宋_GB2312" w:cs="仿宋_GB2312" w:asciiTheme="minorEastAsia" w:hAnsiTheme="minorEastAsia"/>
          <w:color w:val="auto"/>
          <w:sz w:val="32"/>
          <w:szCs w:val="32"/>
          <w:highlight w:val="none"/>
          <w:lang w:val="en-US" w:eastAsia="zh-CN"/>
        </w:rPr>
        <w:t>服务效能有待进一步提升</w:t>
      </w:r>
      <w:r>
        <w:rPr>
          <w:rFonts w:hint="eastAsia" w:eastAsia="仿宋_GB2312" w:cs="仿宋_GB2312" w:asciiTheme="minorEastAsia" w:hAnsiTheme="minorEastAsia"/>
          <w:color w:val="auto"/>
          <w:sz w:val="32"/>
          <w:szCs w:val="32"/>
          <w:highlight w:val="none"/>
        </w:rPr>
        <w:t>等问题依然</w:t>
      </w:r>
      <w:r>
        <w:rPr>
          <w:rFonts w:hint="eastAsia" w:eastAsia="仿宋_GB2312" w:cs="仿宋_GB2312" w:asciiTheme="minorEastAsia" w:hAnsiTheme="minorEastAsia"/>
          <w:color w:val="auto"/>
          <w:sz w:val="32"/>
          <w:szCs w:val="32"/>
          <w:highlight w:val="none"/>
          <w:lang w:val="en-US" w:eastAsia="zh-CN"/>
        </w:rPr>
        <w:t>存在</w:t>
      </w:r>
      <w:r>
        <w:rPr>
          <w:rFonts w:hint="eastAsia" w:eastAsia="仿宋_GB2312" w:cs="仿宋_GB2312" w:asciiTheme="minorEastAsia" w:hAnsiTheme="minorEastAsia"/>
          <w:color w:val="auto"/>
          <w:sz w:val="32"/>
          <w:szCs w:val="32"/>
          <w:highlight w:val="none"/>
        </w:rPr>
        <w:t>。</w:t>
      </w:r>
    </w:p>
    <w:p w14:paraId="79C584EF">
      <w:pPr>
        <w:tabs>
          <w:tab w:val="left" w:pos="2263"/>
        </w:tabs>
        <w:spacing w:before="312" w:beforeLines="100"/>
        <w:jc w:val="center"/>
        <w:rPr>
          <w:rFonts w:hint="default" w:ascii="宋体" w:hAnsi="宋体" w:eastAsia="宋体" w:cs="宋体"/>
          <w:b/>
          <w:bCs/>
          <w:color w:val="auto"/>
          <w:kern w:val="0"/>
          <w:sz w:val="28"/>
          <w:szCs w:val="28"/>
          <w:highlight w:val="none"/>
          <w:lang w:val="en-US" w:eastAsia="zh-CN" w:bidi="ar"/>
        </w:rPr>
      </w:pPr>
      <w:r>
        <w:rPr>
          <w:rFonts w:hint="eastAsia" w:ascii="宋体" w:hAnsi="宋体" w:eastAsia="宋体" w:cs="宋体"/>
          <w:b/>
          <w:bCs/>
          <w:color w:val="auto"/>
          <w:kern w:val="0"/>
          <w:sz w:val="28"/>
          <w:szCs w:val="28"/>
          <w:highlight w:val="none"/>
          <w:lang w:val="en-US" w:eastAsia="zh-CN" w:bidi="ar"/>
        </w:rPr>
        <w:t>表1  “十四五”时期潜江民政事业发展主要指标完成情况</w:t>
      </w:r>
    </w:p>
    <w:tbl>
      <w:tblPr>
        <w:tblStyle w:val="19"/>
        <w:tblW w:w="4699" w:type="pct"/>
        <w:tblInd w:w="0" w:type="dxa"/>
        <w:tblLayout w:type="autofit"/>
        <w:tblCellMar>
          <w:top w:w="0" w:type="dxa"/>
          <w:left w:w="0" w:type="dxa"/>
          <w:bottom w:w="0" w:type="dxa"/>
          <w:right w:w="0" w:type="dxa"/>
        </w:tblCellMar>
      </w:tblPr>
      <w:tblGrid>
        <w:gridCol w:w="789"/>
        <w:gridCol w:w="3436"/>
        <w:gridCol w:w="474"/>
        <w:gridCol w:w="1481"/>
        <w:gridCol w:w="1344"/>
        <w:gridCol w:w="1021"/>
      </w:tblGrid>
      <w:tr w14:paraId="0765E620">
        <w:tblPrEx>
          <w:tblCellMar>
            <w:top w:w="0" w:type="dxa"/>
            <w:left w:w="0" w:type="dxa"/>
            <w:bottom w:w="0" w:type="dxa"/>
            <w:right w:w="0" w:type="dxa"/>
          </w:tblCellMar>
        </w:tblPrEx>
        <w:trPr>
          <w:trHeight w:val="808" w:hRule="atLeast"/>
        </w:trPr>
        <w:tc>
          <w:tcPr>
            <w:tcW w:w="462" w:type="pct"/>
            <w:tcBorders>
              <w:top w:val="single" w:color="auto" w:sz="4" w:space="0"/>
              <w:left w:val="single" w:color="auto" w:sz="4" w:space="0"/>
              <w:bottom w:val="single" w:color="auto" w:sz="4" w:space="0"/>
              <w:right w:val="single" w:color="auto" w:sz="4" w:space="0"/>
            </w:tcBorders>
            <w:noWrap w:val="0"/>
            <w:tcMar>
              <w:top w:w="10" w:type="dxa"/>
              <w:left w:w="10" w:type="dxa"/>
              <w:right w:w="10" w:type="dxa"/>
            </w:tcMar>
            <w:vAlign w:val="center"/>
          </w:tcPr>
          <w:p w14:paraId="01CA9E9E">
            <w:pPr>
              <w:widowControl w:val="0"/>
              <w:spacing w:line="300" w:lineRule="exact"/>
              <w:ind w:firstLine="0" w:firstLineChars="0"/>
              <w:jc w:val="center"/>
              <w:textAlignment w:val="bottom"/>
              <w:rPr>
                <w:rFonts w:hint="eastAsia" w:ascii="宋体" w:hAnsi="宋体" w:eastAsia="宋体" w:cs="宋体"/>
                <w:b/>
                <w:bCs/>
                <w:color w:val="auto"/>
                <w:sz w:val="21"/>
                <w:szCs w:val="21"/>
                <w:highlight w:val="none"/>
              </w:rPr>
            </w:pPr>
            <w:r>
              <w:rPr>
                <w:rFonts w:hint="eastAsia" w:ascii="宋体" w:hAnsi="宋体" w:eastAsia="宋体" w:cs="宋体"/>
                <w:b/>
                <w:bCs/>
                <w:color w:val="auto"/>
                <w:kern w:val="0"/>
                <w:sz w:val="21"/>
                <w:szCs w:val="21"/>
                <w:highlight w:val="none"/>
                <w:lang w:bidi="ar"/>
              </w:rPr>
              <w:t>序号</w:t>
            </w:r>
          </w:p>
        </w:tc>
        <w:tc>
          <w:tcPr>
            <w:tcW w:w="2010" w:type="pct"/>
            <w:tcBorders>
              <w:top w:val="single" w:color="auto" w:sz="4" w:space="0"/>
              <w:left w:val="single" w:color="auto" w:sz="4" w:space="0"/>
              <w:bottom w:val="single" w:color="auto" w:sz="4" w:space="0"/>
              <w:right w:val="single" w:color="auto" w:sz="4" w:space="0"/>
            </w:tcBorders>
            <w:noWrap w:val="0"/>
            <w:tcMar>
              <w:top w:w="10" w:type="dxa"/>
              <w:left w:w="10" w:type="dxa"/>
              <w:right w:w="10" w:type="dxa"/>
            </w:tcMar>
            <w:vAlign w:val="center"/>
          </w:tcPr>
          <w:p w14:paraId="76029546">
            <w:pPr>
              <w:widowControl w:val="0"/>
              <w:spacing w:line="300" w:lineRule="exact"/>
              <w:ind w:firstLine="0" w:firstLineChars="0"/>
              <w:jc w:val="center"/>
              <w:textAlignment w:val="bottom"/>
              <w:rPr>
                <w:rFonts w:hint="eastAsia" w:ascii="宋体" w:hAnsi="宋体" w:eastAsia="宋体" w:cs="宋体"/>
                <w:b/>
                <w:bCs/>
                <w:color w:val="auto"/>
                <w:sz w:val="21"/>
                <w:szCs w:val="21"/>
                <w:highlight w:val="none"/>
              </w:rPr>
            </w:pPr>
            <w:r>
              <w:rPr>
                <w:rFonts w:hint="eastAsia" w:ascii="宋体" w:hAnsi="宋体" w:eastAsia="宋体" w:cs="宋体"/>
                <w:b/>
                <w:bCs/>
                <w:color w:val="auto"/>
                <w:kern w:val="0"/>
                <w:sz w:val="21"/>
                <w:szCs w:val="21"/>
                <w:highlight w:val="none"/>
                <w:lang w:bidi="ar"/>
              </w:rPr>
              <w:t>指标</w:t>
            </w:r>
          </w:p>
        </w:tc>
        <w:tc>
          <w:tcPr>
            <w:tcW w:w="277" w:type="pct"/>
            <w:tcBorders>
              <w:top w:val="single" w:color="auto" w:sz="4" w:space="0"/>
              <w:left w:val="single" w:color="auto" w:sz="4" w:space="0"/>
              <w:bottom w:val="single" w:color="auto" w:sz="4" w:space="0"/>
              <w:right w:val="single" w:color="auto" w:sz="4" w:space="0"/>
            </w:tcBorders>
            <w:noWrap w:val="0"/>
            <w:tcMar>
              <w:top w:w="10" w:type="dxa"/>
              <w:left w:w="10" w:type="dxa"/>
              <w:right w:w="10" w:type="dxa"/>
            </w:tcMar>
            <w:vAlign w:val="center"/>
          </w:tcPr>
          <w:p w14:paraId="7565F928">
            <w:pPr>
              <w:widowControl w:val="0"/>
              <w:spacing w:line="300" w:lineRule="exact"/>
              <w:ind w:firstLine="0" w:firstLineChars="0"/>
              <w:jc w:val="center"/>
              <w:textAlignment w:val="bottom"/>
              <w:rPr>
                <w:rFonts w:hint="eastAsia" w:ascii="宋体" w:hAnsi="宋体" w:eastAsia="宋体" w:cs="宋体"/>
                <w:b/>
                <w:bCs/>
                <w:color w:val="auto"/>
                <w:sz w:val="21"/>
                <w:szCs w:val="21"/>
                <w:highlight w:val="none"/>
              </w:rPr>
            </w:pPr>
            <w:r>
              <w:rPr>
                <w:rFonts w:hint="eastAsia" w:ascii="宋体" w:hAnsi="宋体" w:eastAsia="宋体" w:cs="宋体"/>
                <w:b/>
                <w:bCs/>
                <w:color w:val="auto"/>
                <w:kern w:val="0"/>
                <w:sz w:val="21"/>
                <w:szCs w:val="21"/>
                <w:highlight w:val="none"/>
                <w:lang w:bidi="ar"/>
              </w:rPr>
              <w:t>单位</w:t>
            </w:r>
          </w:p>
        </w:tc>
        <w:tc>
          <w:tcPr>
            <w:tcW w:w="866" w:type="pct"/>
            <w:tcBorders>
              <w:top w:val="single" w:color="auto" w:sz="4" w:space="0"/>
              <w:left w:val="single" w:color="auto" w:sz="4" w:space="0"/>
              <w:bottom w:val="single" w:color="auto" w:sz="4" w:space="0"/>
              <w:right w:val="single" w:color="auto" w:sz="4" w:space="0"/>
            </w:tcBorders>
            <w:noWrap w:val="0"/>
            <w:tcMar>
              <w:top w:w="10" w:type="dxa"/>
              <w:left w:w="10" w:type="dxa"/>
              <w:right w:w="10" w:type="dxa"/>
            </w:tcMar>
            <w:vAlign w:val="center"/>
          </w:tcPr>
          <w:p w14:paraId="102CF674">
            <w:pPr>
              <w:widowControl w:val="0"/>
              <w:spacing w:line="300" w:lineRule="exact"/>
              <w:ind w:firstLine="0" w:firstLineChars="0"/>
              <w:jc w:val="center"/>
              <w:textAlignment w:val="bottom"/>
              <w:rPr>
                <w:rFonts w:hint="eastAsia" w:ascii="宋体" w:hAnsi="宋体" w:eastAsia="宋体" w:cs="宋体"/>
                <w:b/>
                <w:bCs/>
                <w:color w:val="auto"/>
                <w:sz w:val="21"/>
                <w:szCs w:val="21"/>
                <w:highlight w:val="none"/>
              </w:rPr>
            </w:pPr>
            <w:r>
              <w:rPr>
                <w:rFonts w:hint="eastAsia" w:ascii="宋体" w:hAnsi="宋体" w:eastAsia="宋体" w:cs="宋体"/>
                <w:b/>
                <w:bCs/>
                <w:color w:val="auto"/>
                <w:kern w:val="0"/>
                <w:sz w:val="21"/>
                <w:szCs w:val="21"/>
                <w:highlight w:val="none"/>
                <w:lang w:val="en-US" w:eastAsia="zh-CN" w:bidi="ar"/>
              </w:rPr>
              <w:t>2025年</w:t>
            </w:r>
            <w:r>
              <w:rPr>
                <w:rFonts w:hint="eastAsia" w:ascii="宋体" w:hAnsi="宋体" w:eastAsia="宋体" w:cs="宋体"/>
                <w:b/>
                <w:bCs/>
                <w:color w:val="auto"/>
                <w:kern w:val="0"/>
                <w:sz w:val="21"/>
                <w:szCs w:val="21"/>
                <w:highlight w:val="none"/>
                <w:lang w:bidi="ar"/>
              </w:rPr>
              <w:t>目标值</w:t>
            </w:r>
          </w:p>
        </w:tc>
        <w:tc>
          <w:tcPr>
            <w:tcW w:w="786" w:type="pct"/>
            <w:tcBorders>
              <w:top w:val="single" w:color="auto" w:sz="4" w:space="0"/>
              <w:left w:val="single" w:color="auto" w:sz="4" w:space="0"/>
              <w:bottom w:val="single" w:color="auto" w:sz="4" w:space="0"/>
              <w:right w:val="single" w:color="auto" w:sz="4" w:space="0"/>
            </w:tcBorders>
            <w:noWrap w:val="0"/>
            <w:tcMar>
              <w:top w:w="10" w:type="dxa"/>
              <w:left w:w="10" w:type="dxa"/>
              <w:right w:w="10" w:type="dxa"/>
            </w:tcMar>
            <w:vAlign w:val="center"/>
          </w:tcPr>
          <w:p w14:paraId="433E82E5">
            <w:pPr>
              <w:widowControl w:val="0"/>
              <w:spacing w:line="300" w:lineRule="exact"/>
              <w:ind w:firstLine="0" w:firstLineChars="0"/>
              <w:jc w:val="center"/>
              <w:textAlignment w:val="bottom"/>
              <w:rPr>
                <w:rFonts w:hint="eastAsia" w:ascii="宋体" w:hAnsi="宋体" w:eastAsia="宋体" w:cs="宋体"/>
                <w:b/>
                <w:bCs/>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2025年实际值</w:t>
            </w:r>
          </w:p>
        </w:tc>
        <w:tc>
          <w:tcPr>
            <w:tcW w:w="597" w:type="pct"/>
            <w:tcBorders>
              <w:top w:val="single" w:color="auto" w:sz="4" w:space="0"/>
              <w:left w:val="single" w:color="auto" w:sz="4" w:space="0"/>
              <w:bottom w:val="single" w:color="auto" w:sz="4" w:space="0"/>
              <w:right w:val="single" w:color="auto" w:sz="4" w:space="0"/>
            </w:tcBorders>
            <w:noWrap w:val="0"/>
            <w:tcMar>
              <w:top w:w="10" w:type="dxa"/>
              <w:left w:w="10" w:type="dxa"/>
              <w:right w:w="10" w:type="dxa"/>
            </w:tcMar>
            <w:vAlign w:val="center"/>
          </w:tcPr>
          <w:p w14:paraId="798D35DD">
            <w:pPr>
              <w:widowControl w:val="0"/>
              <w:spacing w:line="300" w:lineRule="exact"/>
              <w:ind w:firstLine="0" w:firstLineChars="0"/>
              <w:jc w:val="center"/>
              <w:textAlignment w:val="bottom"/>
              <w:rPr>
                <w:rFonts w:hint="default" w:ascii="宋体" w:hAnsi="宋体" w:eastAsia="宋体" w:cs="宋体"/>
                <w:b/>
                <w:bCs/>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完成情况</w:t>
            </w:r>
          </w:p>
        </w:tc>
      </w:tr>
      <w:tr w14:paraId="7522BF3A">
        <w:tblPrEx>
          <w:tblCellMar>
            <w:top w:w="0" w:type="dxa"/>
            <w:left w:w="0" w:type="dxa"/>
            <w:bottom w:w="0" w:type="dxa"/>
            <w:right w:w="0" w:type="dxa"/>
          </w:tblCellMar>
        </w:tblPrEx>
        <w:trPr>
          <w:trHeight w:val="1071" w:hRule="exact"/>
        </w:trPr>
        <w:tc>
          <w:tcPr>
            <w:tcW w:w="462" w:type="pct"/>
            <w:tcBorders>
              <w:top w:val="single" w:color="auto"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013CCAC4">
            <w:pPr>
              <w:widowControl w:val="0"/>
              <w:spacing w:line="300" w:lineRule="exact"/>
              <w:ind w:firstLine="0" w:firstLineChars="0"/>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w:t>
            </w:r>
          </w:p>
        </w:tc>
        <w:tc>
          <w:tcPr>
            <w:tcW w:w="2010" w:type="pct"/>
            <w:tcBorders>
              <w:top w:val="single" w:color="auto"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2B59B3EC">
            <w:pPr>
              <w:widowControl w:val="0"/>
              <w:spacing w:line="300" w:lineRule="exact"/>
              <w:ind w:firstLine="0" w:firstLineChars="0"/>
              <w:jc w:val="center"/>
              <w:textAlignment w:val="bottom"/>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城乡低保标准年度增速</w:t>
            </w:r>
          </w:p>
        </w:tc>
        <w:tc>
          <w:tcPr>
            <w:tcW w:w="277" w:type="pct"/>
            <w:tcBorders>
              <w:top w:val="single" w:color="auto"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444DE308">
            <w:pPr>
              <w:widowControl w:val="0"/>
              <w:spacing w:line="300" w:lineRule="exact"/>
              <w:ind w:firstLine="0" w:firstLineChars="0"/>
              <w:jc w:val="center"/>
              <w:textAlignment w:val="bottom"/>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w:t>
            </w:r>
          </w:p>
        </w:tc>
        <w:tc>
          <w:tcPr>
            <w:tcW w:w="866" w:type="pct"/>
            <w:tcBorders>
              <w:top w:val="single" w:color="auto"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06D8165C">
            <w:pPr>
              <w:widowControl w:val="0"/>
              <w:spacing w:line="300" w:lineRule="exact"/>
              <w:ind w:firstLine="0" w:firstLineChars="0"/>
              <w:jc w:val="center"/>
              <w:textAlignment w:val="bottom"/>
              <w:rPr>
                <w:rFonts w:hint="eastAsia" w:ascii="宋体" w:hAnsi="宋体" w:eastAsia="宋体" w:cs="宋体"/>
                <w:color w:val="auto"/>
                <w:kern w:val="0"/>
                <w:sz w:val="21"/>
                <w:szCs w:val="21"/>
                <w:highlight w:val="none"/>
                <w:lang w:bidi="ar"/>
              </w:rPr>
            </w:pPr>
            <w:r>
              <w:rPr>
                <w:rFonts w:hint="eastAsia" w:ascii="宋体" w:hAnsi="宋体" w:eastAsia="宋体" w:cs="宋体"/>
                <w:color w:val="auto"/>
                <w:spacing w:val="-11"/>
                <w:kern w:val="0"/>
                <w:sz w:val="21"/>
                <w:szCs w:val="21"/>
                <w:highlight w:val="none"/>
                <w:lang w:bidi="ar"/>
              </w:rPr>
              <w:t>不低于居民上年度人均消费支出增速</w:t>
            </w:r>
          </w:p>
        </w:tc>
        <w:tc>
          <w:tcPr>
            <w:tcW w:w="786" w:type="pct"/>
            <w:tcBorders>
              <w:top w:val="single" w:color="auto"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3D7E23BE">
            <w:pPr>
              <w:widowControl w:val="0"/>
              <w:spacing w:line="300" w:lineRule="exact"/>
              <w:ind w:firstLine="0" w:firstLineChars="0"/>
              <w:jc w:val="center"/>
              <w:textAlignment w:val="bottom"/>
              <w:rPr>
                <w:rFonts w:hint="default" w:ascii="宋体" w:hAnsi="宋体" w:eastAsia="宋体" w:cs="宋体"/>
                <w:color w:val="auto"/>
                <w:kern w:val="0"/>
                <w:sz w:val="21"/>
                <w:szCs w:val="21"/>
                <w:highlight w:val="none"/>
                <w:lang w:val="en-US" w:eastAsia="zh-CN" w:bidi="ar"/>
              </w:rPr>
            </w:pPr>
            <w:r>
              <w:rPr>
                <w:rFonts w:hint="eastAsia" w:ascii="宋体" w:hAnsi="宋体" w:cs="宋体"/>
                <w:color w:val="auto"/>
                <w:kern w:val="0"/>
                <w:sz w:val="21"/>
                <w:szCs w:val="21"/>
                <w:highlight w:val="none"/>
                <w:lang w:val="en-US" w:eastAsia="zh-CN" w:bidi="ar"/>
              </w:rPr>
              <w:t>低于</w:t>
            </w:r>
          </w:p>
        </w:tc>
        <w:tc>
          <w:tcPr>
            <w:tcW w:w="597" w:type="pct"/>
            <w:tcBorders>
              <w:top w:val="single" w:color="auto"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2E457F4B">
            <w:pPr>
              <w:widowControl w:val="0"/>
              <w:spacing w:line="300" w:lineRule="exact"/>
              <w:ind w:firstLine="0" w:firstLineChars="0"/>
              <w:jc w:val="center"/>
              <w:textAlignment w:val="bottom"/>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符合预期</w:t>
            </w:r>
          </w:p>
        </w:tc>
      </w:tr>
      <w:tr w14:paraId="7DBCD0CF">
        <w:tblPrEx>
          <w:tblCellMar>
            <w:top w:w="0" w:type="dxa"/>
            <w:left w:w="0" w:type="dxa"/>
            <w:bottom w:w="0" w:type="dxa"/>
            <w:right w:w="0" w:type="dxa"/>
          </w:tblCellMar>
        </w:tblPrEx>
        <w:trPr>
          <w:trHeight w:val="682" w:hRule="exact"/>
        </w:trPr>
        <w:tc>
          <w:tcPr>
            <w:tcW w:w="462" w:type="pct"/>
            <w:tcBorders>
              <w:top w:val="single" w:color="auto"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4E98276A">
            <w:pPr>
              <w:widowControl w:val="0"/>
              <w:spacing w:line="300" w:lineRule="exact"/>
              <w:ind w:firstLine="0" w:firstLineChars="0"/>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w:t>
            </w:r>
          </w:p>
        </w:tc>
        <w:tc>
          <w:tcPr>
            <w:tcW w:w="2010" w:type="pct"/>
            <w:tcBorders>
              <w:top w:val="single" w:color="auto"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4C721922">
            <w:pPr>
              <w:widowControl w:val="0"/>
              <w:spacing w:line="300" w:lineRule="exact"/>
              <w:ind w:firstLine="0" w:firstLineChars="0"/>
              <w:jc w:val="center"/>
              <w:textAlignment w:val="bottom"/>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农村低保标准占城市低保标准比例</w:t>
            </w:r>
          </w:p>
        </w:tc>
        <w:tc>
          <w:tcPr>
            <w:tcW w:w="277" w:type="pct"/>
            <w:tcBorders>
              <w:top w:val="single" w:color="auto"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2152A08C">
            <w:pPr>
              <w:widowControl w:val="0"/>
              <w:spacing w:line="300" w:lineRule="exact"/>
              <w:ind w:firstLine="0" w:firstLineChars="0"/>
              <w:jc w:val="center"/>
              <w:textAlignment w:val="bottom"/>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w:t>
            </w:r>
          </w:p>
        </w:tc>
        <w:tc>
          <w:tcPr>
            <w:tcW w:w="866" w:type="pct"/>
            <w:tcBorders>
              <w:top w:val="single" w:color="auto"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2E8FDAF4">
            <w:pPr>
              <w:widowControl w:val="0"/>
              <w:spacing w:line="300" w:lineRule="exact"/>
              <w:ind w:firstLine="0" w:firstLineChars="0"/>
              <w:jc w:val="center"/>
              <w:textAlignment w:val="bottom"/>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≥75</w:t>
            </w:r>
          </w:p>
        </w:tc>
        <w:tc>
          <w:tcPr>
            <w:tcW w:w="786" w:type="pct"/>
            <w:tcBorders>
              <w:top w:val="single" w:color="auto"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651C1776">
            <w:pPr>
              <w:widowControl w:val="0"/>
              <w:spacing w:line="300" w:lineRule="exact"/>
              <w:ind w:firstLine="0" w:firstLineChars="0"/>
              <w:jc w:val="center"/>
              <w:textAlignment w:val="bottom"/>
              <w:rPr>
                <w:rFonts w:hint="default" w:ascii="宋体" w:hAnsi="宋体" w:eastAsia="宋体" w:cs="宋体"/>
                <w:color w:val="auto"/>
                <w:kern w:val="0"/>
                <w:sz w:val="21"/>
                <w:szCs w:val="21"/>
                <w:highlight w:val="none"/>
                <w:lang w:val="en-US" w:eastAsia="zh-CN" w:bidi="ar"/>
              </w:rPr>
            </w:pPr>
            <w:r>
              <w:rPr>
                <w:rFonts w:hint="eastAsia" w:ascii="宋体" w:hAnsi="宋体" w:cs="宋体"/>
                <w:color w:val="auto"/>
                <w:kern w:val="0"/>
                <w:sz w:val="21"/>
                <w:szCs w:val="21"/>
                <w:highlight w:val="none"/>
                <w:lang w:val="en-US" w:eastAsia="zh-CN" w:bidi="ar"/>
              </w:rPr>
              <w:t>88</w:t>
            </w:r>
          </w:p>
        </w:tc>
        <w:tc>
          <w:tcPr>
            <w:tcW w:w="597" w:type="pct"/>
            <w:tcBorders>
              <w:top w:val="single" w:color="auto"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2FEE70D9">
            <w:pPr>
              <w:widowControl w:val="0"/>
              <w:spacing w:line="300" w:lineRule="exact"/>
              <w:ind w:firstLine="0" w:firstLineChars="0"/>
              <w:jc w:val="center"/>
              <w:textAlignment w:val="bottom"/>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val="en-US" w:eastAsia="zh-CN" w:bidi="ar"/>
              </w:rPr>
              <w:t>超预期</w:t>
            </w:r>
          </w:p>
        </w:tc>
      </w:tr>
      <w:tr w14:paraId="44BAD098">
        <w:tblPrEx>
          <w:tblCellMar>
            <w:top w:w="0" w:type="dxa"/>
            <w:left w:w="0" w:type="dxa"/>
            <w:bottom w:w="0" w:type="dxa"/>
            <w:right w:w="0" w:type="dxa"/>
          </w:tblCellMar>
        </w:tblPrEx>
        <w:trPr>
          <w:trHeight w:val="569" w:hRule="exact"/>
        </w:trPr>
        <w:tc>
          <w:tcPr>
            <w:tcW w:w="462" w:type="pct"/>
            <w:tcBorders>
              <w:top w:val="single" w:color="auto"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47107E74">
            <w:pPr>
              <w:widowControl w:val="0"/>
              <w:spacing w:line="300" w:lineRule="exact"/>
              <w:ind w:firstLine="0" w:firstLineChars="0"/>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3</w:t>
            </w:r>
          </w:p>
        </w:tc>
        <w:tc>
          <w:tcPr>
            <w:tcW w:w="2010" w:type="pct"/>
            <w:tcBorders>
              <w:top w:val="single" w:color="auto"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41A1F5F7">
            <w:pPr>
              <w:widowControl w:val="0"/>
              <w:spacing w:line="300" w:lineRule="exact"/>
              <w:ind w:firstLine="0" w:firstLineChars="0"/>
              <w:jc w:val="center"/>
              <w:textAlignment w:val="bottom"/>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困难残疾人生活补贴覆盖率</w:t>
            </w:r>
          </w:p>
        </w:tc>
        <w:tc>
          <w:tcPr>
            <w:tcW w:w="277" w:type="pct"/>
            <w:tcBorders>
              <w:top w:val="single" w:color="auto"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7C918685">
            <w:pPr>
              <w:widowControl w:val="0"/>
              <w:spacing w:line="300" w:lineRule="exact"/>
              <w:ind w:firstLine="0" w:firstLineChars="0"/>
              <w:jc w:val="center"/>
              <w:textAlignment w:val="bottom"/>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w:t>
            </w:r>
          </w:p>
        </w:tc>
        <w:tc>
          <w:tcPr>
            <w:tcW w:w="866" w:type="pct"/>
            <w:tcBorders>
              <w:top w:val="single" w:color="auto"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7F9F9443">
            <w:pPr>
              <w:widowControl w:val="0"/>
              <w:spacing w:line="300" w:lineRule="exact"/>
              <w:ind w:firstLine="0" w:firstLineChars="0"/>
              <w:jc w:val="center"/>
              <w:textAlignment w:val="bottom"/>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100</w:t>
            </w:r>
          </w:p>
        </w:tc>
        <w:tc>
          <w:tcPr>
            <w:tcW w:w="786" w:type="pct"/>
            <w:tcBorders>
              <w:top w:val="single" w:color="auto"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4B2546CC">
            <w:pPr>
              <w:widowControl w:val="0"/>
              <w:spacing w:line="300" w:lineRule="exact"/>
              <w:ind w:firstLine="0" w:firstLineChars="0"/>
              <w:jc w:val="center"/>
              <w:textAlignment w:val="bottom"/>
              <w:rPr>
                <w:rFonts w:hint="default" w:ascii="宋体" w:hAnsi="宋体" w:eastAsia="宋体" w:cs="宋体"/>
                <w:color w:val="auto"/>
                <w:kern w:val="0"/>
                <w:sz w:val="21"/>
                <w:szCs w:val="21"/>
                <w:highlight w:val="none"/>
                <w:lang w:val="en-US" w:eastAsia="zh-CN" w:bidi="ar"/>
              </w:rPr>
            </w:pPr>
            <w:r>
              <w:rPr>
                <w:rFonts w:hint="eastAsia" w:ascii="宋体" w:hAnsi="宋体" w:cs="宋体"/>
                <w:color w:val="auto"/>
                <w:kern w:val="0"/>
                <w:sz w:val="21"/>
                <w:szCs w:val="21"/>
                <w:highlight w:val="none"/>
                <w:lang w:val="en-US" w:eastAsia="zh-CN" w:bidi="ar"/>
              </w:rPr>
              <w:t>10O</w:t>
            </w:r>
          </w:p>
        </w:tc>
        <w:tc>
          <w:tcPr>
            <w:tcW w:w="597" w:type="pct"/>
            <w:tcBorders>
              <w:top w:val="single" w:color="auto"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420D2580">
            <w:pPr>
              <w:widowControl w:val="0"/>
              <w:spacing w:line="300" w:lineRule="exact"/>
              <w:ind w:firstLine="0" w:firstLineChars="0"/>
              <w:jc w:val="center"/>
              <w:textAlignment w:val="bottom"/>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val="en-US" w:eastAsia="zh-CN" w:bidi="ar"/>
              </w:rPr>
              <w:t>符合预期</w:t>
            </w:r>
          </w:p>
        </w:tc>
      </w:tr>
      <w:tr w14:paraId="41E16A34">
        <w:tblPrEx>
          <w:tblCellMar>
            <w:top w:w="0" w:type="dxa"/>
            <w:left w:w="0" w:type="dxa"/>
            <w:bottom w:w="0" w:type="dxa"/>
            <w:right w:w="0" w:type="dxa"/>
          </w:tblCellMar>
        </w:tblPrEx>
        <w:trPr>
          <w:trHeight w:val="582" w:hRule="exact"/>
        </w:trPr>
        <w:tc>
          <w:tcPr>
            <w:tcW w:w="462" w:type="pct"/>
            <w:tcBorders>
              <w:top w:val="single" w:color="auto"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7E1F401C">
            <w:pPr>
              <w:widowControl w:val="0"/>
              <w:spacing w:line="300" w:lineRule="exact"/>
              <w:ind w:firstLine="0" w:firstLineChars="0"/>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4</w:t>
            </w:r>
          </w:p>
        </w:tc>
        <w:tc>
          <w:tcPr>
            <w:tcW w:w="2010" w:type="pct"/>
            <w:tcBorders>
              <w:top w:val="single" w:color="auto"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79C53F28">
            <w:pPr>
              <w:widowControl w:val="0"/>
              <w:spacing w:line="300" w:lineRule="exact"/>
              <w:ind w:firstLine="0" w:firstLineChars="0"/>
              <w:jc w:val="center"/>
              <w:textAlignment w:val="bottom"/>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重度残疾人护理补贴覆盖率</w:t>
            </w:r>
          </w:p>
        </w:tc>
        <w:tc>
          <w:tcPr>
            <w:tcW w:w="277" w:type="pct"/>
            <w:tcBorders>
              <w:top w:val="single" w:color="auto"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179C266A">
            <w:pPr>
              <w:widowControl w:val="0"/>
              <w:spacing w:line="300" w:lineRule="exact"/>
              <w:ind w:firstLine="0" w:firstLineChars="0"/>
              <w:jc w:val="center"/>
              <w:textAlignment w:val="bottom"/>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w:t>
            </w:r>
          </w:p>
        </w:tc>
        <w:tc>
          <w:tcPr>
            <w:tcW w:w="866" w:type="pct"/>
            <w:tcBorders>
              <w:top w:val="single" w:color="auto"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57262EAF">
            <w:pPr>
              <w:widowControl w:val="0"/>
              <w:spacing w:line="300" w:lineRule="exact"/>
              <w:ind w:firstLine="0" w:firstLineChars="0"/>
              <w:jc w:val="center"/>
              <w:textAlignment w:val="bottom"/>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100</w:t>
            </w:r>
          </w:p>
        </w:tc>
        <w:tc>
          <w:tcPr>
            <w:tcW w:w="786" w:type="pct"/>
            <w:tcBorders>
              <w:top w:val="single" w:color="auto"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51C7EF6B">
            <w:pPr>
              <w:widowControl w:val="0"/>
              <w:spacing w:line="300" w:lineRule="exact"/>
              <w:ind w:firstLine="0" w:firstLineChars="0"/>
              <w:jc w:val="center"/>
              <w:textAlignment w:val="bottom"/>
              <w:rPr>
                <w:rFonts w:hint="default" w:ascii="宋体" w:hAnsi="宋体" w:eastAsia="宋体" w:cs="宋体"/>
                <w:color w:val="auto"/>
                <w:kern w:val="0"/>
                <w:sz w:val="21"/>
                <w:szCs w:val="21"/>
                <w:highlight w:val="none"/>
                <w:lang w:val="en-US" w:eastAsia="zh-CN" w:bidi="ar"/>
              </w:rPr>
            </w:pPr>
            <w:r>
              <w:rPr>
                <w:rFonts w:hint="eastAsia" w:ascii="宋体" w:hAnsi="宋体" w:cs="宋体"/>
                <w:color w:val="auto"/>
                <w:kern w:val="0"/>
                <w:sz w:val="21"/>
                <w:szCs w:val="21"/>
                <w:highlight w:val="none"/>
                <w:lang w:val="en-US" w:eastAsia="zh-CN" w:bidi="ar"/>
              </w:rPr>
              <w:t>100</w:t>
            </w:r>
          </w:p>
        </w:tc>
        <w:tc>
          <w:tcPr>
            <w:tcW w:w="597" w:type="pct"/>
            <w:tcBorders>
              <w:top w:val="single" w:color="auto"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1BE1DB41">
            <w:pPr>
              <w:widowControl w:val="0"/>
              <w:spacing w:line="300" w:lineRule="exact"/>
              <w:ind w:firstLine="0" w:firstLineChars="0"/>
              <w:jc w:val="center"/>
              <w:textAlignment w:val="bottom"/>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val="en-US" w:eastAsia="zh-CN" w:bidi="ar"/>
              </w:rPr>
              <w:t>符合预期</w:t>
            </w:r>
          </w:p>
        </w:tc>
      </w:tr>
      <w:tr w14:paraId="1E6D62DA">
        <w:tblPrEx>
          <w:tblCellMar>
            <w:top w:w="0" w:type="dxa"/>
            <w:left w:w="0" w:type="dxa"/>
            <w:bottom w:w="0" w:type="dxa"/>
            <w:right w:w="0" w:type="dxa"/>
          </w:tblCellMar>
        </w:tblPrEx>
        <w:trPr>
          <w:trHeight w:val="582" w:hRule="exact"/>
        </w:trPr>
        <w:tc>
          <w:tcPr>
            <w:tcW w:w="462" w:type="pct"/>
            <w:tcBorders>
              <w:top w:val="single" w:color="auto"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26875F00">
            <w:pPr>
              <w:widowControl w:val="0"/>
              <w:spacing w:line="300" w:lineRule="exact"/>
              <w:ind w:firstLine="0" w:firstLineChars="0"/>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5</w:t>
            </w:r>
          </w:p>
        </w:tc>
        <w:tc>
          <w:tcPr>
            <w:tcW w:w="2010" w:type="pct"/>
            <w:tcBorders>
              <w:top w:val="single" w:color="auto"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2B56811D">
            <w:pPr>
              <w:widowControl w:val="0"/>
              <w:spacing w:line="300" w:lineRule="exact"/>
              <w:ind w:firstLine="0" w:firstLineChars="0"/>
              <w:jc w:val="center"/>
              <w:textAlignment w:val="bottom"/>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婚姻登记“跨省通办”实施率</w:t>
            </w:r>
          </w:p>
        </w:tc>
        <w:tc>
          <w:tcPr>
            <w:tcW w:w="277" w:type="pct"/>
            <w:tcBorders>
              <w:top w:val="single" w:color="auto"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7167A16B">
            <w:pPr>
              <w:widowControl w:val="0"/>
              <w:spacing w:line="300" w:lineRule="exact"/>
              <w:ind w:firstLine="0" w:firstLineChars="0"/>
              <w:jc w:val="center"/>
              <w:textAlignment w:val="bottom"/>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w:t>
            </w:r>
          </w:p>
        </w:tc>
        <w:tc>
          <w:tcPr>
            <w:tcW w:w="866" w:type="pct"/>
            <w:tcBorders>
              <w:top w:val="single" w:color="auto"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7D510A31">
            <w:pPr>
              <w:widowControl w:val="0"/>
              <w:spacing w:line="300" w:lineRule="exact"/>
              <w:ind w:firstLine="0" w:firstLineChars="0"/>
              <w:jc w:val="center"/>
              <w:textAlignment w:val="bottom"/>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100</w:t>
            </w:r>
          </w:p>
        </w:tc>
        <w:tc>
          <w:tcPr>
            <w:tcW w:w="786" w:type="pct"/>
            <w:tcBorders>
              <w:top w:val="single" w:color="auto"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1BF07F1B">
            <w:pPr>
              <w:widowControl w:val="0"/>
              <w:spacing w:line="300" w:lineRule="exact"/>
              <w:ind w:firstLine="0" w:firstLineChars="0"/>
              <w:jc w:val="center"/>
              <w:textAlignment w:val="bottom"/>
              <w:rPr>
                <w:rFonts w:hint="default" w:ascii="宋体" w:hAnsi="宋体" w:eastAsia="宋体" w:cs="宋体"/>
                <w:color w:val="auto"/>
                <w:kern w:val="0"/>
                <w:sz w:val="21"/>
                <w:szCs w:val="21"/>
                <w:highlight w:val="none"/>
                <w:lang w:val="en-US" w:eastAsia="zh-CN" w:bidi="ar"/>
              </w:rPr>
            </w:pPr>
            <w:r>
              <w:rPr>
                <w:rFonts w:hint="eastAsia" w:ascii="宋体" w:hAnsi="宋体" w:cs="宋体"/>
                <w:color w:val="auto"/>
                <w:kern w:val="0"/>
                <w:sz w:val="21"/>
                <w:szCs w:val="21"/>
                <w:highlight w:val="none"/>
                <w:lang w:val="en-US" w:eastAsia="zh-CN" w:bidi="ar"/>
              </w:rPr>
              <w:t>100</w:t>
            </w:r>
          </w:p>
        </w:tc>
        <w:tc>
          <w:tcPr>
            <w:tcW w:w="597" w:type="pct"/>
            <w:tcBorders>
              <w:top w:val="single" w:color="auto"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53D62437">
            <w:pPr>
              <w:widowControl w:val="0"/>
              <w:spacing w:line="300" w:lineRule="exact"/>
              <w:ind w:firstLine="0" w:firstLineChars="0"/>
              <w:jc w:val="center"/>
              <w:textAlignment w:val="bottom"/>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val="en-US" w:eastAsia="zh-CN" w:bidi="ar"/>
              </w:rPr>
              <w:t>符合预期</w:t>
            </w:r>
          </w:p>
        </w:tc>
      </w:tr>
      <w:tr w14:paraId="6B35B605">
        <w:tblPrEx>
          <w:tblCellMar>
            <w:top w:w="0" w:type="dxa"/>
            <w:left w:w="0" w:type="dxa"/>
            <w:bottom w:w="0" w:type="dxa"/>
            <w:right w:w="0" w:type="dxa"/>
          </w:tblCellMar>
        </w:tblPrEx>
        <w:trPr>
          <w:trHeight w:val="582" w:hRule="exact"/>
        </w:trPr>
        <w:tc>
          <w:tcPr>
            <w:tcW w:w="462" w:type="pct"/>
            <w:tcBorders>
              <w:top w:val="single" w:color="auto"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5D180B24">
            <w:pPr>
              <w:widowControl w:val="0"/>
              <w:spacing w:line="300" w:lineRule="exact"/>
              <w:ind w:firstLine="0" w:firstLineChars="0"/>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6</w:t>
            </w:r>
          </w:p>
        </w:tc>
        <w:tc>
          <w:tcPr>
            <w:tcW w:w="2010" w:type="pct"/>
            <w:tcBorders>
              <w:top w:val="single" w:color="auto"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0E973E5B">
            <w:pPr>
              <w:widowControl w:val="0"/>
              <w:spacing w:line="300" w:lineRule="exact"/>
              <w:ind w:firstLine="0" w:firstLineChars="0"/>
              <w:jc w:val="center"/>
              <w:textAlignment w:val="bottom"/>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查明身份信息流浪乞讨受助人员接送返回率</w:t>
            </w:r>
          </w:p>
        </w:tc>
        <w:tc>
          <w:tcPr>
            <w:tcW w:w="277" w:type="pct"/>
            <w:tcBorders>
              <w:top w:val="single" w:color="auto"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79E8134E">
            <w:pPr>
              <w:widowControl w:val="0"/>
              <w:spacing w:line="300" w:lineRule="exact"/>
              <w:ind w:firstLine="0" w:firstLineChars="0"/>
              <w:jc w:val="center"/>
              <w:textAlignment w:val="bottom"/>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w:t>
            </w:r>
          </w:p>
        </w:tc>
        <w:tc>
          <w:tcPr>
            <w:tcW w:w="866" w:type="pct"/>
            <w:tcBorders>
              <w:top w:val="single" w:color="auto"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56E66B63">
            <w:pPr>
              <w:widowControl w:val="0"/>
              <w:spacing w:line="300" w:lineRule="exact"/>
              <w:ind w:firstLine="0" w:firstLineChars="0"/>
              <w:jc w:val="center"/>
              <w:textAlignment w:val="bottom"/>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100</w:t>
            </w:r>
          </w:p>
        </w:tc>
        <w:tc>
          <w:tcPr>
            <w:tcW w:w="786" w:type="pct"/>
            <w:tcBorders>
              <w:top w:val="single" w:color="auto"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727C6CFB">
            <w:pPr>
              <w:widowControl w:val="0"/>
              <w:spacing w:line="300" w:lineRule="exact"/>
              <w:ind w:firstLine="0" w:firstLineChars="0"/>
              <w:jc w:val="center"/>
              <w:textAlignment w:val="bottom"/>
              <w:rPr>
                <w:rFonts w:hint="default" w:ascii="宋体" w:hAnsi="宋体" w:eastAsia="宋体" w:cs="宋体"/>
                <w:color w:val="auto"/>
                <w:kern w:val="0"/>
                <w:sz w:val="21"/>
                <w:szCs w:val="21"/>
                <w:highlight w:val="none"/>
                <w:lang w:val="en-US" w:eastAsia="zh-CN" w:bidi="ar"/>
              </w:rPr>
            </w:pPr>
            <w:r>
              <w:rPr>
                <w:rFonts w:hint="eastAsia" w:ascii="宋体" w:hAnsi="宋体" w:cs="宋体"/>
                <w:color w:val="auto"/>
                <w:kern w:val="0"/>
                <w:sz w:val="21"/>
                <w:szCs w:val="21"/>
                <w:highlight w:val="none"/>
                <w:lang w:val="en-US" w:eastAsia="zh-CN" w:bidi="ar"/>
              </w:rPr>
              <w:t>100</w:t>
            </w:r>
          </w:p>
        </w:tc>
        <w:tc>
          <w:tcPr>
            <w:tcW w:w="597" w:type="pct"/>
            <w:tcBorders>
              <w:top w:val="single" w:color="auto"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405CC2F2">
            <w:pPr>
              <w:widowControl w:val="0"/>
              <w:spacing w:line="300" w:lineRule="exact"/>
              <w:ind w:firstLine="0" w:firstLineChars="0"/>
              <w:jc w:val="center"/>
              <w:textAlignment w:val="bottom"/>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val="en-US" w:eastAsia="zh-CN" w:bidi="ar"/>
              </w:rPr>
              <w:t>符合预期</w:t>
            </w:r>
          </w:p>
        </w:tc>
      </w:tr>
      <w:tr w14:paraId="2C393E2A">
        <w:tblPrEx>
          <w:tblCellMar>
            <w:top w:w="0" w:type="dxa"/>
            <w:left w:w="0" w:type="dxa"/>
            <w:bottom w:w="0" w:type="dxa"/>
            <w:right w:w="0" w:type="dxa"/>
          </w:tblCellMar>
        </w:tblPrEx>
        <w:trPr>
          <w:trHeight w:val="582" w:hRule="exact"/>
        </w:trPr>
        <w:tc>
          <w:tcPr>
            <w:tcW w:w="462" w:type="pct"/>
            <w:tcBorders>
              <w:top w:val="single" w:color="auto"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3AFAE392">
            <w:pPr>
              <w:widowControl w:val="0"/>
              <w:spacing w:line="300" w:lineRule="exact"/>
              <w:ind w:firstLine="0" w:firstLineChars="0"/>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7</w:t>
            </w:r>
          </w:p>
        </w:tc>
        <w:tc>
          <w:tcPr>
            <w:tcW w:w="2010" w:type="pct"/>
            <w:tcBorders>
              <w:top w:val="single" w:color="auto"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1BDE56BF">
            <w:pPr>
              <w:widowControl w:val="0"/>
              <w:spacing w:line="300" w:lineRule="exact"/>
              <w:ind w:firstLine="0" w:firstLineChars="0"/>
              <w:jc w:val="center"/>
              <w:textAlignment w:val="bottom"/>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公益性安葬（放）设施覆盖率</w:t>
            </w:r>
          </w:p>
        </w:tc>
        <w:tc>
          <w:tcPr>
            <w:tcW w:w="277" w:type="pct"/>
            <w:tcBorders>
              <w:top w:val="single" w:color="auto"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0BDA2C85">
            <w:pPr>
              <w:widowControl w:val="0"/>
              <w:spacing w:line="300" w:lineRule="exact"/>
              <w:ind w:firstLine="0" w:firstLineChars="0"/>
              <w:jc w:val="center"/>
              <w:textAlignment w:val="bottom"/>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w:t>
            </w:r>
          </w:p>
        </w:tc>
        <w:tc>
          <w:tcPr>
            <w:tcW w:w="866" w:type="pct"/>
            <w:tcBorders>
              <w:top w:val="single" w:color="auto"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643D3C86">
            <w:pPr>
              <w:widowControl w:val="0"/>
              <w:spacing w:line="300" w:lineRule="exact"/>
              <w:ind w:firstLine="0" w:firstLineChars="0"/>
              <w:jc w:val="center"/>
              <w:textAlignment w:val="bottom"/>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100</w:t>
            </w:r>
          </w:p>
        </w:tc>
        <w:tc>
          <w:tcPr>
            <w:tcW w:w="786" w:type="pct"/>
            <w:tcBorders>
              <w:top w:val="single" w:color="auto"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1677F8CF">
            <w:pPr>
              <w:widowControl w:val="0"/>
              <w:spacing w:line="300" w:lineRule="exact"/>
              <w:ind w:firstLine="0" w:firstLineChars="0"/>
              <w:jc w:val="center"/>
              <w:textAlignment w:val="bottom"/>
              <w:rPr>
                <w:rFonts w:hint="default" w:ascii="宋体" w:hAnsi="宋体" w:eastAsia="宋体" w:cs="宋体"/>
                <w:color w:val="auto"/>
                <w:kern w:val="0"/>
                <w:sz w:val="21"/>
                <w:szCs w:val="21"/>
                <w:highlight w:val="none"/>
                <w:lang w:val="en-US" w:eastAsia="zh-CN" w:bidi="ar"/>
              </w:rPr>
            </w:pPr>
            <w:r>
              <w:rPr>
                <w:rFonts w:hint="eastAsia" w:ascii="宋体" w:hAnsi="宋体" w:cs="宋体"/>
                <w:color w:val="auto"/>
                <w:kern w:val="0"/>
                <w:sz w:val="21"/>
                <w:szCs w:val="21"/>
                <w:highlight w:val="none"/>
                <w:lang w:val="en-US" w:eastAsia="zh-CN" w:bidi="ar"/>
              </w:rPr>
              <w:t>100</w:t>
            </w:r>
          </w:p>
        </w:tc>
        <w:tc>
          <w:tcPr>
            <w:tcW w:w="597" w:type="pct"/>
            <w:tcBorders>
              <w:top w:val="single" w:color="auto"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5BDB4F9E">
            <w:pPr>
              <w:widowControl w:val="0"/>
              <w:spacing w:line="300" w:lineRule="exact"/>
              <w:ind w:firstLine="0" w:firstLineChars="0"/>
              <w:jc w:val="center"/>
              <w:textAlignment w:val="bottom"/>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val="en-US" w:eastAsia="zh-CN" w:bidi="ar"/>
              </w:rPr>
              <w:t>符合预期</w:t>
            </w:r>
          </w:p>
        </w:tc>
      </w:tr>
      <w:tr w14:paraId="177F32E7">
        <w:tblPrEx>
          <w:tblCellMar>
            <w:top w:w="0" w:type="dxa"/>
            <w:left w:w="0" w:type="dxa"/>
            <w:bottom w:w="0" w:type="dxa"/>
            <w:right w:w="0" w:type="dxa"/>
          </w:tblCellMar>
        </w:tblPrEx>
        <w:trPr>
          <w:trHeight w:val="582" w:hRule="exact"/>
        </w:trPr>
        <w:tc>
          <w:tcPr>
            <w:tcW w:w="462" w:type="pct"/>
            <w:tcBorders>
              <w:top w:val="single" w:color="auto"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7325EDE9">
            <w:pPr>
              <w:widowControl w:val="0"/>
              <w:spacing w:line="300" w:lineRule="exact"/>
              <w:ind w:firstLine="0" w:firstLineChars="0"/>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8</w:t>
            </w:r>
          </w:p>
        </w:tc>
        <w:tc>
          <w:tcPr>
            <w:tcW w:w="2010" w:type="pct"/>
            <w:tcBorders>
              <w:top w:val="single" w:color="auto"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677E0077">
            <w:pPr>
              <w:widowControl w:val="0"/>
              <w:spacing w:line="300" w:lineRule="exact"/>
              <w:ind w:firstLine="0" w:firstLineChars="0"/>
              <w:jc w:val="center"/>
              <w:textAlignment w:val="bottom"/>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养老机构</w:t>
            </w:r>
            <w:r>
              <w:rPr>
                <w:rStyle w:val="27"/>
                <w:rFonts w:hint="eastAsia" w:ascii="宋体" w:hAnsi="宋体" w:eastAsia="宋体" w:cs="宋体"/>
                <w:color w:val="auto"/>
                <w:sz w:val="21"/>
                <w:szCs w:val="21"/>
                <w:highlight w:val="none"/>
                <w:lang w:bidi="ar"/>
              </w:rPr>
              <w:t>护理型养老床位</w:t>
            </w:r>
            <w:r>
              <w:rPr>
                <w:rStyle w:val="28"/>
                <w:rFonts w:hint="eastAsia" w:ascii="宋体" w:hAnsi="宋体" w:eastAsia="宋体" w:cs="宋体"/>
                <w:color w:val="auto"/>
                <w:sz w:val="21"/>
                <w:szCs w:val="21"/>
                <w:highlight w:val="none"/>
                <w:lang w:bidi="ar"/>
              </w:rPr>
              <w:t>占比</w:t>
            </w:r>
          </w:p>
        </w:tc>
        <w:tc>
          <w:tcPr>
            <w:tcW w:w="277" w:type="pct"/>
            <w:tcBorders>
              <w:top w:val="single" w:color="auto"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1CCAC9B3">
            <w:pPr>
              <w:widowControl w:val="0"/>
              <w:spacing w:line="300" w:lineRule="exact"/>
              <w:ind w:firstLine="0" w:firstLineChars="0"/>
              <w:jc w:val="center"/>
              <w:textAlignment w:val="bottom"/>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w:t>
            </w:r>
          </w:p>
        </w:tc>
        <w:tc>
          <w:tcPr>
            <w:tcW w:w="866" w:type="pct"/>
            <w:tcBorders>
              <w:top w:val="single" w:color="auto"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0FE4B038">
            <w:pPr>
              <w:widowControl w:val="0"/>
              <w:spacing w:line="300" w:lineRule="exact"/>
              <w:ind w:firstLine="0" w:firstLineChars="0"/>
              <w:jc w:val="center"/>
              <w:textAlignment w:val="bottom"/>
              <w:rPr>
                <w:rFonts w:hint="eastAsia" w:ascii="宋体" w:hAnsi="宋体" w:eastAsia="宋体" w:cs="宋体"/>
                <w:color w:val="auto"/>
                <w:sz w:val="21"/>
                <w:szCs w:val="21"/>
                <w:highlight w:val="none"/>
              </w:rPr>
            </w:pPr>
            <w:r>
              <w:rPr>
                <w:rFonts w:hint="eastAsia" w:ascii="宋体" w:hAnsi="宋体" w:eastAsia="宋体" w:cs="宋体"/>
                <w:bCs/>
                <w:color w:val="auto"/>
                <w:kern w:val="0"/>
                <w:sz w:val="21"/>
                <w:szCs w:val="21"/>
                <w:highlight w:val="none"/>
                <w:lang w:bidi="ar"/>
              </w:rPr>
              <w:t>60</w:t>
            </w:r>
          </w:p>
        </w:tc>
        <w:tc>
          <w:tcPr>
            <w:tcW w:w="786" w:type="pct"/>
            <w:tcBorders>
              <w:top w:val="single" w:color="auto"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58814733">
            <w:pPr>
              <w:widowControl w:val="0"/>
              <w:spacing w:line="300" w:lineRule="exact"/>
              <w:ind w:firstLine="0" w:firstLineChars="0"/>
              <w:jc w:val="center"/>
              <w:textAlignment w:val="bottom"/>
              <w:rPr>
                <w:rFonts w:hint="default" w:ascii="宋体" w:hAnsi="宋体" w:eastAsia="宋体" w:cs="宋体"/>
                <w:color w:val="auto"/>
                <w:kern w:val="0"/>
                <w:sz w:val="21"/>
                <w:szCs w:val="21"/>
                <w:highlight w:val="none"/>
                <w:lang w:val="en-US" w:eastAsia="zh-CN" w:bidi="ar"/>
              </w:rPr>
            </w:pPr>
            <w:r>
              <w:rPr>
                <w:rFonts w:hint="eastAsia" w:ascii="宋体" w:hAnsi="宋体" w:cs="宋体"/>
                <w:color w:val="auto"/>
                <w:kern w:val="0"/>
                <w:sz w:val="21"/>
                <w:szCs w:val="21"/>
                <w:highlight w:val="none"/>
                <w:lang w:val="en-US" w:eastAsia="zh-CN" w:bidi="ar"/>
              </w:rPr>
              <w:t>75</w:t>
            </w:r>
          </w:p>
        </w:tc>
        <w:tc>
          <w:tcPr>
            <w:tcW w:w="597" w:type="pct"/>
            <w:tcBorders>
              <w:top w:val="single" w:color="auto"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7E7561F7">
            <w:pPr>
              <w:widowControl w:val="0"/>
              <w:spacing w:line="300" w:lineRule="exact"/>
              <w:ind w:firstLine="0" w:firstLineChars="0"/>
              <w:jc w:val="center"/>
              <w:textAlignment w:val="bottom"/>
              <w:rPr>
                <w:rFonts w:hint="default" w:ascii="宋体" w:hAnsi="宋体" w:eastAsia="宋体" w:cs="宋体"/>
                <w:color w:val="auto"/>
                <w:kern w:val="0"/>
                <w:sz w:val="21"/>
                <w:szCs w:val="21"/>
                <w:highlight w:val="none"/>
                <w:lang w:val="en-US" w:bidi="ar"/>
              </w:rPr>
            </w:pPr>
            <w:r>
              <w:rPr>
                <w:rFonts w:hint="eastAsia" w:ascii="宋体" w:hAnsi="宋体" w:eastAsia="宋体" w:cs="宋体"/>
                <w:color w:val="auto"/>
                <w:kern w:val="0"/>
                <w:sz w:val="21"/>
                <w:szCs w:val="21"/>
                <w:highlight w:val="none"/>
                <w:lang w:val="en-US" w:eastAsia="zh-CN" w:bidi="ar"/>
              </w:rPr>
              <w:t>超预期</w:t>
            </w:r>
          </w:p>
        </w:tc>
      </w:tr>
      <w:tr w14:paraId="5EF5066A">
        <w:tblPrEx>
          <w:tblCellMar>
            <w:top w:w="0" w:type="dxa"/>
            <w:left w:w="0" w:type="dxa"/>
            <w:bottom w:w="0" w:type="dxa"/>
            <w:right w:w="0" w:type="dxa"/>
          </w:tblCellMar>
        </w:tblPrEx>
        <w:trPr>
          <w:trHeight w:val="722" w:hRule="exact"/>
        </w:trPr>
        <w:tc>
          <w:tcPr>
            <w:tcW w:w="462" w:type="pct"/>
            <w:tcBorders>
              <w:top w:val="single" w:color="auto"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2A7346A8">
            <w:pPr>
              <w:widowControl w:val="0"/>
              <w:spacing w:line="300" w:lineRule="exact"/>
              <w:ind w:firstLine="0" w:firstLineChars="0"/>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9</w:t>
            </w:r>
          </w:p>
        </w:tc>
        <w:tc>
          <w:tcPr>
            <w:tcW w:w="2010" w:type="pct"/>
            <w:tcBorders>
              <w:top w:val="single" w:color="auto"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433BCD91">
            <w:pPr>
              <w:widowControl w:val="0"/>
              <w:spacing w:line="300" w:lineRule="exact"/>
              <w:ind w:firstLine="0" w:firstLineChars="0"/>
              <w:jc w:val="center"/>
              <w:textAlignment w:val="bottom"/>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乡镇（街道）范围具备综合功能的养老服务机构覆盖率</w:t>
            </w:r>
          </w:p>
        </w:tc>
        <w:tc>
          <w:tcPr>
            <w:tcW w:w="277" w:type="pct"/>
            <w:tcBorders>
              <w:top w:val="single" w:color="auto"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62FB726B">
            <w:pPr>
              <w:widowControl w:val="0"/>
              <w:spacing w:line="300" w:lineRule="exact"/>
              <w:ind w:firstLine="0" w:firstLineChars="0"/>
              <w:jc w:val="center"/>
              <w:textAlignment w:val="bottom"/>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w:t>
            </w:r>
          </w:p>
        </w:tc>
        <w:tc>
          <w:tcPr>
            <w:tcW w:w="866" w:type="pct"/>
            <w:tcBorders>
              <w:top w:val="single" w:color="auto"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768B8048">
            <w:pPr>
              <w:widowControl w:val="0"/>
              <w:spacing w:line="300" w:lineRule="exact"/>
              <w:ind w:firstLine="0" w:firstLineChars="0"/>
              <w:jc w:val="center"/>
              <w:textAlignment w:val="bottom"/>
              <w:rPr>
                <w:rFonts w:hint="eastAsia" w:ascii="宋体" w:hAnsi="宋体" w:eastAsia="宋体" w:cs="宋体"/>
                <w:bCs/>
                <w:color w:val="auto"/>
                <w:kern w:val="0"/>
                <w:sz w:val="21"/>
                <w:szCs w:val="21"/>
                <w:highlight w:val="none"/>
                <w:lang w:bidi="ar"/>
              </w:rPr>
            </w:pPr>
            <w:r>
              <w:rPr>
                <w:rFonts w:hint="eastAsia" w:ascii="宋体" w:hAnsi="宋体" w:eastAsia="宋体" w:cs="宋体"/>
                <w:bCs/>
                <w:color w:val="auto"/>
                <w:kern w:val="0"/>
                <w:sz w:val="21"/>
                <w:szCs w:val="21"/>
                <w:highlight w:val="none"/>
                <w:lang w:bidi="ar"/>
              </w:rPr>
              <w:t>60</w:t>
            </w:r>
          </w:p>
        </w:tc>
        <w:tc>
          <w:tcPr>
            <w:tcW w:w="786" w:type="pct"/>
            <w:tcBorders>
              <w:top w:val="single" w:color="auto"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2E373C6B">
            <w:pPr>
              <w:widowControl w:val="0"/>
              <w:spacing w:line="300" w:lineRule="exact"/>
              <w:ind w:firstLine="0" w:firstLineChars="0"/>
              <w:jc w:val="center"/>
              <w:textAlignment w:val="bottom"/>
              <w:rPr>
                <w:rFonts w:hint="default" w:ascii="宋体" w:hAnsi="宋体" w:eastAsia="宋体" w:cs="宋体"/>
                <w:color w:val="auto"/>
                <w:kern w:val="0"/>
                <w:sz w:val="21"/>
                <w:szCs w:val="21"/>
                <w:highlight w:val="none"/>
                <w:lang w:val="en-US" w:eastAsia="zh-CN" w:bidi="ar"/>
              </w:rPr>
            </w:pPr>
            <w:r>
              <w:rPr>
                <w:rFonts w:hint="eastAsia" w:ascii="宋体" w:hAnsi="宋体" w:cs="宋体"/>
                <w:color w:val="auto"/>
                <w:kern w:val="0"/>
                <w:sz w:val="21"/>
                <w:szCs w:val="21"/>
                <w:highlight w:val="none"/>
                <w:lang w:val="en-US" w:eastAsia="zh-CN" w:bidi="ar"/>
              </w:rPr>
              <w:t>60</w:t>
            </w:r>
          </w:p>
        </w:tc>
        <w:tc>
          <w:tcPr>
            <w:tcW w:w="597" w:type="pct"/>
            <w:tcBorders>
              <w:top w:val="single" w:color="auto"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70437032">
            <w:pPr>
              <w:widowControl w:val="0"/>
              <w:spacing w:line="300" w:lineRule="exact"/>
              <w:ind w:firstLine="0" w:firstLineChars="0"/>
              <w:jc w:val="center"/>
              <w:textAlignment w:val="bottom"/>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val="en-US" w:eastAsia="zh-CN" w:bidi="ar"/>
              </w:rPr>
              <w:t>超预期</w:t>
            </w:r>
          </w:p>
        </w:tc>
      </w:tr>
      <w:tr w14:paraId="46E17505">
        <w:tblPrEx>
          <w:tblCellMar>
            <w:top w:w="0" w:type="dxa"/>
            <w:left w:w="0" w:type="dxa"/>
            <w:bottom w:w="0" w:type="dxa"/>
            <w:right w:w="0" w:type="dxa"/>
          </w:tblCellMar>
        </w:tblPrEx>
        <w:trPr>
          <w:trHeight w:val="582" w:hRule="exact"/>
        </w:trPr>
        <w:tc>
          <w:tcPr>
            <w:tcW w:w="462" w:type="pct"/>
            <w:tcBorders>
              <w:top w:val="single" w:color="auto"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291790A5">
            <w:pPr>
              <w:widowControl w:val="0"/>
              <w:spacing w:line="300" w:lineRule="exact"/>
              <w:ind w:firstLine="0" w:firstLineChars="0"/>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10</w:t>
            </w:r>
          </w:p>
        </w:tc>
        <w:tc>
          <w:tcPr>
            <w:tcW w:w="2010" w:type="pct"/>
            <w:tcBorders>
              <w:top w:val="single" w:color="auto"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212D7580">
            <w:pPr>
              <w:widowControl w:val="0"/>
              <w:spacing w:line="300" w:lineRule="exact"/>
              <w:ind w:firstLine="0" w:firstLineChars="0"/>
              <w:jc w:val="center"/>
              <w:textAlignment w:val="bottom"/>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乡镇（街道）未成年人保护工作站覆盖率</w:t>
            </w:r>
          </w:p>
        </w:tc>
        <w:tc>
          <w:tcPr>
            <w:tcW w:w="277" w:type="pct"/>
            <w:tcBorders>
              <w:top w:val="single" w:color="auto"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1EB860F1">
            <w:pPr>
              <w:widowControl w:val="0"/>
              <w:spacing w:line="300" w:lineRule="exact"/>
              <w:ind w:firstLine="0" w:firstLineChars="0"/>
              <w:jc w:val="center"/>
              <w:textAlignment w:val="bottom"/>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w:t>
            </w:r>
          </w:p>
        </w:tc>
        <w:tc>
          <w:tcPr>
            <w:tcW w:w="866" w:type="pct"/>
            <w:tcBorders>
              <w:top w:val="single" w:color="auto"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1CADFB9E">
            <w:pPr>
              <w:widowControl w:val="0"/>
              <w:spacing w:line="300" w:lineRule="exact"/>
              <w:ind w:firstLine="0" w:firstLineChars="0"/>
              <w:jc w:val="center"/>
              <w:textAlignment w:val="bottom"/>
              <w:rPr>
                <w:rFonts w:hint="eastAsia" w:ascii="宋体" w:hAnsi="宋体" w:eastAsia="宋体" w:cs="宋体"/>
                <w:bCs/>
                <w:color w:val="auto"/>
                <w:kern w:val="0"/>
                <w:sz w:val="21"/>
                <w:szCs w:val="21"/>
                <w:highlight w:val="none"/>
                <w:lang w:bidi="ar"/>
              </w:rPr>
            </w:pPr>
            <w:r>
              <w:rPr>
                <w:rFonts w:hint="eastAsia" w:ascii="宋体" w:hAnsi="宋体" w:eastAsia="宋体" w:cs="宋体"/>
                <w:bCs/>
                <w:color w:val="auto"/>
                <w:kern w:val="0"/>
                <w:sz w:val="21"/>
                <w:szCs w:val="21"/>
                <w:highlight w:val="none"/>
                <w:lang w:bidi="ar"/>
              </w:rPr>
              <w:t>50</w:t>
            </w:r>
          </w:p>
        </w:tc>
        <w:tc>
          <w:tcPr>
            <w:tcW w:w="786" w:type="pct"/>
            <w:tcBorders>
              <w:top w:val="single" w:color="auto"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391B0AF3">
            <w:pPr>
              <w:widowControl w:val="0"/>
              <w:spacing w:line="300" w:lineRule="exact"/>
              <w:ind w:firstLine="0" w:firstLineChars="0"/>
              <w:jc w:val="center"/>
              <w:textAlignment w:val="bottom"/>
              <w:rPr>
                <w:rFonts w:hint="default" w:ascii="宋体" w:hAnsi="宋体" w:eastAsia="宋体" w:cs="宋体"/>
                <w:color w:val="auto"/>
                <w:kern w:val="0"/>
                <w:sz w:val="21"/>
                <w:szCs w:val="21"/>
                <w:highlight w:val="none"/>
                <w:lang w:val="en-US" w:eastAsia="zh-CN" w:bidi="ar"/>
              </w:rPr>
            </w:pPr>
            <w:r>
              <w:rPr>
                <w:rFonts w:hint="eastAsia" w:ascii="宋体" w:hAnsi="宋体" w:cs="宋体"/>
                <w:color w:val="auto"/>
                <w:kern w:val="0"/>
                <w:sz w:val="21"/>
                <w:szCs w:val="21"/>
                <w:highlight w:val="none"/>
                <w:lang w:val="en-US" w:eastAsia="zh-CN" w:bidi="ar"/>
              </w:rPr>
              <w:t>100</w:t>
            </w:r>
          </w:p>
        </w:tc>
        <w:tc>
          <w:tcPr>
            <w:tcW w:w="597" w:type="pct"/>
            <w:tcBorders>
              <w:top w:val="single" w:color="auto"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56EB2233">
            <w:pPr>
              <w:widowControl w:val="0"/>
              <w:spacing w:line="300" w:lineRule="exact"/>
              <w:ind w:firstLine="0" w:firstLineChars="0"/>
              <w:jc w:val="center"/>
              <w:textAlignment w:val="bottom"/>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val="en-US" w:eastAsia="zh-CN" w:bidi="ar"/>
              </w:rPr>
              <w:t>超预期</w:t>
            </w:r>
          </w:p>
        </w:tc>
      </w:tr>
    </w:tbl>
    <w:p w14:paraId="7557A1CA">
      <w:pPr>
        <w:tabs>
          <w:tab w:val="left" w:pos="951"/>
        </w:tabs>
        <w:bidi w:val="0"/>
        <w:jc w:val="left"/>
        <w:rPr>
          <w:rFonts w:hint="default"/>
          <w:color w:val="auto"/>
          <w:highlight w:val="none"/>
          <w:lang w:val="en-US" w:eastAsia="zh-CN"/>
        </w:rPr>
      </w:pPr>
    </w:p>
    <w:p w14:paraId="564C825C">
      <w:pPr>
        <w:keepNext w:val="0"/>
        <w:keepLines w:val="0"/>
        <w:pageBreakBefore w:val="0"/>
        <w:widowControl w:val="0"/>
        <w:kinsoku/>
        <w:wordWrap/>
        <w:overflowPunct/>
        <w:topLinePunct w:val="0"/>
        <w:autoSpaceDE/>
        <w:autoSpaceDN/>
        <w:bidi w:val="0"/>
        <w:adjustRightInd/>
        <w:snapToGrid w:val="0"/>
        <w:spacing w:before="313" w:beforeLines="100" w:line="360" w:lineRule="auto"/>
        <w:ind w:firstLine="640" w:firstLineChars="200"/>
        <w:textAlignment w:val="auto"/>
        <w:outlineLvl w:val="1"/>
        <w:rPr>
          <w:rFonts w:ascii="黑体" w:hAnsi="黑体" w:eastAsia="黑体" w:cs="黑体"/>
          <w:color w:val="auto"/>
          <w:sz w:val="32"/>
          <w:szCs w:val="32"/>
          <w:highlight w:val="none"/>
        </w:rPr>
      </w:pPr>
      <w:bookmarkStart w:id="9" w:name="_Toc7651"/>
      <w:bookmarkStart w:id="10" w:name="_Toc14124"/>
      <w:r>
        <w:rPr>
          <w:rFonts w:hint="eastAsia" w:ascii="黑体" w:hAnsi="黑体" w:eastAsia="黑体" w:cs="黑体"/>
          <w:color w:val="auto"/>
          <w:sz w:val="32"/>
          <w:szCs w:val="32"/>
          <w:highlight w:val="none"/>
        </w:rPr>
        <w:t>二、发展趋势</w:t>
      </w:r>
      <w:bookmarkEnd w:id="9"/>
      <w:bookmarkEnd w:id="10"/>
    </w:p>
    <w:p w14:paraId="7D26BB01">
      <w:pPr>
        <w:keepNext/>
        <w:keepLines/>
        <w:pageBreakBefore w:val="0"/>
        <w:widowControl w:val="0"/>
        <w:kinsoku/>
        <w:wordWrap/>
        <w:overflowPunct/>
        <w:topLinePunct w:val="0"/>
        <w:autoSpaceDE/>
        <w:autoSpaceDN/>
        <w:bidi w:val="0"/>
        <w:adjustRightInd/>
        <w:snapToGrid/>
        <w:spacing w:before="157" w:beforeLines="50" w:after="0" w:afterLines="0" w:line="240" w:lineRule="auto"/>
        <w:ind w:firstLine="640" w:firstLineChars="200"/>
        <w:textAlignment w:val="auto"/>
        <w:outlineLvl w:val="2"/>
        <w:rPr>
          <w:rFonts w:ascii="华文中宋" w:hAnsi="华文中宋" w:eastAsia="华文中宋" w:cs="华文中宋"/>
          <w:b w:val="0"/>
          <w:bCs w:val="0"/>
          <w:color w:val="auto"/>
          <w:sz w:val="32"/>
          <w:szCs w:val="32"/>
          <w:highlight w:val="none"/>
        </w:rPr>
      </w:pPr>
      <w:bookmarkStart w:id="11" w:name="_Toc228"/>
      <w:bookmarkStart w:id="12" w:name="_Toc11254"/>
      <w:bookmarkStart w:id="13" w:name="_Toc11585"/>
      <w:r>
        <w:rPr>
          <w:rFonts w:hint="eastAsia" w:ascii="华文中宋" w:hAnsi="华文中宋" w:eastAsia="华文中宋" w:cs="华文中宋"/>
          <w:b w:val="0"/>
          <w:bCs w:val="0"/>
          <w:color w:val="auto"/>
          <w:sz w:val="32"/>
          <w:szCs w:val="32"/>
          <w:highlight w:val="none"/>
        </w:rPr>
        <w:t>（一）主动顺应新形势</w:t>
      </w:r>
      <w:bookmarkEnd w:id="11"/>
      <w:bookmarkEnd w:id="12"/>
    </w:p>
    <w:p w14:paraId="3D1B6FA4">
      <w:pPr>
        <w:spacing w:before="156" w:beforeLines="50" w:line="360" w:lineRule="auto"/>
        <w:ind w:firstLine="643"/>
        <w:rPr>
          <w:rFonts w:hint="eastAsia" w:eastAsia="仿宋_GB2312" w:cs="仿宋_GB2312" w:asciiTheme="minorEastAsia" w:hAnsiTheme="minorEastAsia"/>
          <w:color w:val="auto"/>
          <w:sz w:val="32"/>
          <w:szCs w:val="32"/>
          <w:highlight w:val="none"/>
          <w:lang w:eastAsia="zh-CN"/>
        </w:rPr>
      </w:pPr>
      <w:r>
        <w:rPr>
          <w:rFonts w:hint="eastAsia" w:ascii="华文楷体" w:hAnsi="华文楷体" w:eastAsia="华文楷体" w:cs="华文楷体"/>
          <w:b/>
          <w:bCs/>
          <w:color w:val="auto"/>
          <w:sz w:val="32"/>
          <w:szCs w:val="32"/>
          <w:highlight w:val="none"/>
        </w:rPr>
        <w:t>顺应实现共同富裕的新形势。</w:t>
      </w:r>
      <w:r>
        <w:rPr>
          <w:rFonts w:hint="eastAsia" w:eastAsia="仿宋_GB2312" w:cs="仿宋_GB2312" w:asciiTheme="minorEastAsia" w:hAnsiTheme="minorEastAsia"/>
          <w:color w:val="auto"/>
          <w:sz w:val="32"/>
          <w:szCs w:val="32"/>
          <w:highlight w:val="none"/>
        </w:rPr>
        <w:t>全体人民共同富裕是中国式现代化的显著特征。民政工作服务保障着社会上最困难、最特殊的群体，他们的生活水平关乎中国式现代化建设和共同富裕的成色质量。在实现共同富裕的进程中，全</w:t>
      </w:r>
      <w:r>
        <w:rPr>
          <w:rFonts w:hint="eastAsia" w:eastAsia="仿宋_GB2312" w:cs="仿宋_GB2312" w:asciiTheme="minorEastAsia" w:hAnsiTheme="minorEastAsia"/>
          <w:color w:val="auto"/>
          <w:sz w:val="32"/>
          <w:szCs w:val="32"/>
          <w:highlight w:val="none"/>
          <w:lang w:val="en-US" w:eastAsia="zh-CN"/>
        </w:rPr>
        <w:t>市</w:t>
      </w:r>
      <w:r>
        <w:rPr>
          <w:rFonts w:hint="eastAsia" w:eastAsia="仿宋_GB2312" w:cs="仿宋_GB2312" w:asciiTheme="minorEastAsia" w:hAnsiTheme="minorEastAsia"/>
          <w:color w:val="auto"/>
          <w:sz w:val="32"/>
          <w:szCs w:val="32"/>
          <w:highlight w:val="none"/>
        </w:rPr>
        <w:t>民众对民政服务的需求呈现多元化、多层次、高品质特点</w:t>
      </w:r>
      <w:r>
        <w:rPr>
          <w:rFonts w:hint="eastAsia" w:eastAsia="仿宋_GB2312" w:cs="仿宋_GB2312" w:asciiTheme="minorEastAsia" w:hAnsiTheme="minorEastAsia"/>
          <w:color w:val="auto"/>
          <w:sz w:val="32"/>
          <w:szCs w:val="32"/>
          <w:highlight w:val="none"/>
          <w:lang w:eastAsia="zh-CN"/>
        </w:rPr>
        <w:t>。</w:t>
      </w:r>
      <w:r>
        <w:rPr>
          <w:rFonts w:hint="eastAsia" w:eastAsia="仿宋_GB2312" w:cs="仿宋_GB2312" w:asciiTheme="minorEastAsia" w:hAnsiTheme="minorEastAsia"/>
          <w:color w:val="auto"/>
          <w:sz w:val="32"/>
          <w:szCs w:val="32"/>
          <w:highlight w:val="none"/>
        </w:rPr>
        <w:t>近年来，潜江市积极探索</w:t>
      </w:r>
      <w:r>
        <w:rPr>
          <w:rFonts w:hint="eastAsia" w:eastAsia="仿宋_GB2312" w:cs="仿宋_GB2312" w:asciiTheme="minorEastAsia" w:hAnsiTheme="minorEastAsia"/>
          <w:color w:val="auto"/>
          <w:sz w:val="32"/>
          <w:szCs w:val="32"/>
          <w:highlight w:val="none"/>
          <w:lang w:eastAsia="zh-CN"/>
        </w:rPr>
        <w:t>“</w:t>
      </w:r>
      <w:r>
        <w:rPr>
          <w:rFonts w:hint="eastAsia" w:eastAsia="仿宋_GB2312" w:cs="仿宋_GB2312" w:asciiTheme="minorEastAsia" w:hAnsiTheme="minorEastAsia"/>
          <w:color w:val="auto"/>
          <w:sz w:val="32"/>
          <w:szCs w:val="32"/>
          <w:highlight w:val="none"/>
        </w:rPr>
        <w:t>政府保基本、慈善补短板、社会广参与</w:t>
      </w:r>
      <w:r>
        <w:rPr>
          <w:rFonts w:hint="eastAsia" w:eastAsia="仿宋_GB2312" w:cs="仿宋_GB2312" w:asciiTheme="minorEastAsia" w:hAnsiTheme="minorEastAsia"/>
          <w:color w:val="auto"/>
          <w:sz w:val="32"/>
          <w:szCs w:val="32"/>
          <w:highlight w:val="none"/>
          <w:lang w:eastAsia="zh-CN"/>
        </w:rPr>
        <w:t>”</w:t>
      </w:r>
      <w:r>
        <w:rPr>
          <w:rFonts w:hint="eastAsia" w:eastAsia="仿宋_GB2312" w:cs="仿宋_GB2312" w:asciiTheme="minorEastAsia" w:hAnsiTheme="minorEastAsia"/>
          <w:color w:val="auto"/>
          <w:sz w:val="32"/>
          <w:szCs w:val="32"/>
          <w:highlight w:val="none"/>
        </w:rPr>
        <w:t>的分层分类救助帮扶格局</w:t>
      </w:r>
      <w:r>
        <w:rPr>
          <w:rFonts w:hint="eastAsia" w:eastAsia="仿宋_GB2312" w:cs="仿宋_GB2312" w:asciiTheme="minorEastAsia" w:hAnsiTheme="minorEastAsia"/>
          <w:color w:val="auto"/>
          <w:sz w:val="32"/>
          <w:szCs w:val="32"/>
          <w:highlight w:val="none"/>
          <w:lang w:eastAsia="zh-CN"/>
        </w:rPr>
        <w:t>。“</w:t>
      </w:r>
      <w:r>
        <w:rPr>
          <w:rFonts w:hint="eastAsia" w:eastAsia="仿宋_GB2312" w:cs="仿宋_GB2312" w:asciiTheme="minorEastAsia" w:hAnsiTheme="minorEastAsia"/>
          <w:color w:val="auto"/>
          <w:sz w:val="32"/>
          <w:szCs w:val="32"/>
          <w:highlight w:val="none"/>
          <w:lang w:val="en-US" w:eastAsia="zh-CN"/>
        </w:rPr>
        <w:t>十五五</w:t>
      </w:r>
      <w:r>
        <w:rPr>
          <w:rFonts w:hint="eastAsia" w:eastAsia="仿宋_GB2312" w:cs="仿宋_GB2312" w:asciiTheme="minorEastAsia" w:hAnsiTheme="minorEastAsia"/>
          <w:color w:val="auto"/>
          <w:sz w:val="32"/>
          <w:szCs w:val="32"/>
          <w:highlight w:val="none"/>
          <w:lang w:eastAsia="zh-CN"/>
        </w:rPr>
        <w:t>”</w:t>
      </w:r>
      <w:r>
        <w:rPr>
          <w:rFonts w:hint="eastAsia" w:eastAsia="仿宋_GB2312" w:cs="仿宋_GB2312" w:asciiTheme="minorEastAsia" w:hAnsiTheme="minorEastAsia"/>
          <w:color w:val="auto"/>
          <w:sz w:val="32"/>
          <w:szCs w:val="32"/>
          <w:highlight w:val="none"/>
          <w:lang w:val="en-US" w:eastAsia="zh-CN"/>
        </w:rPr>
        <w:t>期间，</w:t>
      </w:r>
      <w:r>
        <w:rPr>
          <w:rFonts w:hint="eastAsia" w:eastAsia="仿宋_GB2312" w:cs="仿宋_GB2312" w:asciiTheme="minorEastAsia" w:hAnsiTheme="minorEastAsia"/>
          <w:color w:val="auto"/>
          <w:sz w:val="32"/>
          <w:szCs w:val="32"/>
          <w:highlight w:val="none"/>
        </w:rPr>
        <w:t>要求民政工作进一步实现质的有效提升和量的合理增长，不断完善社会救助和社会福利制度，发展慈善事业，让广大困难群众、特殊群体共享改革发展成果，确保共同富裕路上一个都不能少，当好民生保障的“安全网”</w:t>
      </w:r>
      <w:r>
        <w:rPr>
          <w:rFonts w:hint="eastAsia" w:eastAsia="仿宋_GB2312" w:cs="仿宋_GB2312" w:asciiTheme="minorEastAsia" w:hAnsiTheme="minorEastAsia"/>
          <w:color w:val="auto"/>
          <w:sz w:val="32"/>
          <w:szCs w:val="32"/>
          <w:highlight w:val="none"/>
          <w:lang w:eastAsia="zh-CN"/>
        </w:rPr>
        <w:t>。</w:t>
      </w:r>
    </w:p>
    <w:p w14:paraId="37D9B75D">
      <w:pPr>
        <w:pStyle w:val="17"/>
        <w:keepNext w:val="0"/>
        <w:keepLines w:val="0"/>
        <w:widowControl/>
        <w:suppressLineNumbers w:val="0"/>
        <w:spacing w:line="247" w:lineRule="auto"/>
        <w:ind w:left="0" w:firstLine="638"/>
        <w:jc w:val="left"/>
        <w:textAlignment w:val="center"/>
        <w:rPr>
          <w:rFonts w:hint="eastAsia" w:eastAsia="仿宋_GB2312" w:cs="仿宋_GB2312" w:asciiTheme="minorEastAsia" w:hAnsiTheme="minorEastAsia"/>
          <w:color w:val="auto"/>
          <w:sz w:val="32"/>
          <w:szCs w:val="32"/>
          <w:highlight w:val="none"/>
          <w:lang w:eastAsia="zh-CN"/>
        </w:rPr>
      </w:pPr>
      <w:r>
        <w:rPr>
          <w:rFonts w:hint="eastAsia" w:ascii="华文楷体" w:hAnsi="华文楷体" w:eastAsia="华文楷体" w:cs="华文楷体"/>
          <w:b/>
          <w:bCs/>
          <w:color w:val="auto"/>
          <w:sz w:val="32"/>
          <w:szCs w:val="32"/>
          <w:highlight w:val="none"/>
        </w:rPr>
        <w:t>顺应积极应对人口老龄化的新形势。</w:t>
      </w:r>
      <w:r>
        <w:rPr>
          <w:rFonts w:hint="eastAsia" w:eastAsia="仿宋_GB2312" w:cs="仿宋_GB2312" w:asciiTheme="minorEastAsia" w:hAnsiTheme="minorEastAsia"/>
          <w:color w:val="auto"/>
          <w:sz w:val="32"/>
          <w:szCs w:val="32"/>
          <w:highlight w:val="none"/>
        </w:rPr>
        <w:t>当前，</w:t>
      </w:r>
      <w:r>
        <w:rPr>
          <w:rFonts w:hint="eastAsia" w:eastAsia="仿宋_GB2312" w:cs="仿宋_GB2312" w:asciiTheme="minorEastAsia" w:hAnsiTheme="minorEastAsia"/>
          <w:color w:val="auto"/>
          <w:sz w:val="32"/>
          <w:szCs w:val="32"/>
          <w:highlight w:val="none"/>
          <w:lang w:val="en-US" w:eastAsia="zh-CN"/>
        </w:rPr>
        <w:t>潜江市人口老龄化率已接近27%，</w:t>
      </w:r>
      <w:r>
        <w:rPr>
          <w:rFonts w:hint="eastAsia" w:ascii="仿宋" w:hAnsi="仿宋" w:eastAsia="仿宋" w:cs="仿宋"/>
          <w:color w:val="auto"/>
          <w:spacing w:val="0"/>
          <w:position w:val="0"/>
          <w:sz w:val="30"/>
          <w:szCs w:val="30"/>
          <w:highlight w:val="none"/>
          <w:lang w:val="en-US" w:eastAsia="zh-CN"/>
        </w:rPr>
        <w:t>处于</w:t>
      </w:r>
      <w:r>
        <w:rPr>
          <w:rFonts w:ascii="仿宋" w:hAnsi="仿宋" w:eastAsia="仿宋" w:cs="仿宋"/>
          <w:color w:val="auto"/>
          <w:spacing w:val="0"/>
          <w:position w:val="0"/>
          <w:sz w:val="30"/>
          <w:szCs w:val="30"/>
          <w:highlight w:val="none"/>
        </w:rPr>
        <w:t>中度老龄化阶段</w:t>
      </w:r>
      <w:r>
        <w:rPr>
          <w:rFonts w:hint="eastAsia" w:ascii="仿宋" w:hAnsi="仿宋" w:eastAsia="仿宋" w:cs="仿宋"/>
          <w:color w:val="auto"/>
          <w:spacing w:val="0"/>
          <w:position w:val="0"/>
          <w:sz w:val="30"/>
          <w:szCs w:val="30"/>
          <w:highlight w:val="none"/>
          <w:lang w:eastAsia="zh-CN"/>
        </w:rPr>
        <w:t>，</w:t>
      </w:r>
      <w:r>
        <w:rPr>
          <w:rFonts w:hint="eastAsia" w:eastAsia="仿宋_GB2312" w:cs="仿宋_GB2312" w:asciiTheme="minorEastAsia" w:hAnsiTheme="minorEastAsia"/>
          <w:color w:val="auto"/>
          <w:sz w:val="32"/>
          <w:szCs w:val="32"/>
          <w:highlight w:val="none"/>
        </w:rPr>
        <w:t>积极应对人口老龄化的任务</w:t>
      </w:r>
      <w:r>
        <w:rPr>
          <w:rFonts w:hint="eastAsia" w:eastAsia="仿宋_GB2312" w:cs="仿宋_GB2312" w:asciiTheme="minorEastAsia" w:hAnsiTheme="minorEastAsia"/>
          <w:color w:val="auto"/>
          <w:sz w:val="32"/>
          <w:szCs w:val="32"/>
          <w:highlight w:val="none"/>
          <w:lang w:val="en-US" w:eastAsia="zh-CN"/>
        </w:rPr>
        <w:t>愈加</w:t>
      </w:r>
      <w:r>
        <w:rPr>
          <w:rFonts w:hint="eastAsia" w:eastAsia="仿宋_GB2312" w:cs="仿宋_GB2312" w:asciiTheme="minorEastAsia" w:hAnsiTheme="minorEastAsia"/>
          <w:color w:val="auto"/>
          <w:sz w:val="32"/>
          <w:szCs w:val="32"/>
          <w:highlight w:val="none"/>
        </w:rPr>
        <w:t>繁重。潜江市已初步搭建以居家为基础、社区为依托、机构为补充、医养相结合的养老服务体系框架。随着新增加的相当一部分低龄老年人口拥有更高的收入水平和受教育水平，养老服务特别是居家社区养老服务呈现需求量质双升的态势。为回应这一趋势，潜江市正探索推广“双龄共养”服务模式，加快推进广中社区养老服务综合体等项目建设。面对老龄人口的新变化，民政事业发展需将积极老龄观、健康老龄化理念融入经济社会发展全过程，积极探索具有潜江特色的应对人口老龄化道路</w:t>
      </w:r>
      <w:r>
        <w:rPr>
          <w:rFonts w:hint="eastAsia" w:eastAsia="仿宋_GB2312" w:cs="仿宋_GB2312" w:asciiTheme="minorEastAsia" w:hAnsiTheme="minorEastAsia"/>
          <w:color w:val="auto"/>
          <w:sz w:val="32"/>
          <w:szCs w:val="32"/>
          <w:highlight w:val="none"/>
          <w:lang w:eastAsia="zh-CN"/>
        </w:rPr>
        <w:t>。</w:t>
      </w:r>
    </w:p>
    <w:p w14:paraId="37C38F63">
      <w:pPr>
        <w:pStyle w:val="23"/>
        <w:spacing w:before="156" w:beforeLines="50" w:line="360" w:lineRule="auto"/>
        <w:ind w:firstLine="643" w:firstLineChars="200"/>
        <w:rPr>
          <w:rFonts w:eastAsia="仿宋_GB2312" w:cs="仿宋_GB2312" w:asciiTheme="minorEastAsia" w:hAnsiTheme="minorEastAsia"/>
          <w:color w:val="auto"/>
          <w:sz w:val="32"/>
          <w:szCs w:val="32"/>
          <w:highlight w:val="none"/>
        </w:rPr>
      </w:pPr>
      <w:r>
        <w:rPr>
          <w:rFonts w:hint="eastAsia" w:ascii="华文楷体" w:hAnsi="华文楷体" w:eastAsia="华文楷体" w:cs="华文楷体"/>
          <w:b/>
          <w:bCs/>
          <w:color w:val="auto"/>
          <w:sz w:val="32"/>
          <w:szCs w:val="32"/>
          <w:highlight w:val="none"/>
        </w:rPr>
        <w:t>顺应人与自然和谐共生现代化的新形势。</w:t>
      </w:r>
      <w:r>
        <w:rPr>
          <w:rFonts w:hint="eastAsia" w:eastAsia="仿宋_GB2312" w:cs="仿宋_GB2312" w:asciiTheme="minorEastAsia" w:hAnsiTheme="minorEastAsia"/>
          <w:color w:val="auto"/>
          <w:sz w:val="32"/>
          <w:szCs w:val="32"/>
          <w:highlight w:val="none"/>
        </w:rPr>
        <w:t>推动经济社会发展绿色化、低碳化，是实现高质量发展的关键环节，是建设人与自然和谐共生现代化的内在要求。在</w:t>
      </w:r>
      <w:r>
        <w:rPr>
          <w:rFonts w:hint="eastAsia" w:eastAsia="仿宋_GB2312" w:cs="仿宋_GB2312" w:asciiTheme="minorEastAsia" w:hAnsiTheme="minorEastAsia"/>
          <w:color w:val="auto"/>
          <w:sz w:val="32"/>
          <w:szCs w:val="32"/>
          <w:highlight w:val="none"/>
          <w:lang w:val="en-US" w:eastAsia="zh-CN"/>
        </w:rPr>
        <w:t>全市</w:t>
      </w:r>
      <w:r>
        <w:rPr>
          <w:rFonts w:hint="eastAsia" w:eastAsia="仿宋_GB2312" w:cs="仿宋_GB2312" w:asciiTheme="minorEastAsia" w:hAnsiTheme="minorEastAsia"/>
          <w:color w:val="auto"/>
          <w:sz w:val="32"/>
          <w:szCs w:val="32"/>
          <w:highlight w:val="none"/>
        </w:rPr>
        <w:t>范围内，要坚持促进人与自然和谐发展的方针，更多考虑地理条件、资源环境等因素，优化资源配置，提升空间治理效能，更好地激发发展活力，服务现代化建设大局。在殡葬服务领域，要更加深入地贯彻落实习近平生态文明思想，坚持人与自然可持续发展，坚持生态方向和公益属性，完善节俭节地节能举措，引导推动殡葬服务实现绿色化、低碳化发展。</w:t>
      </w:r>
    </w:p>
    <w:bookmarkEnd w:id="13"/>
    <w:p w14:paraId="5512ED5E">
      <w:pPr>
        <w:widowControl/>
        <w:spacing w:before="156" w:beforeLines="50" w:line="360" w:lineRule="auto"/>
        <w:ind w:firstLine="640" w:firstLineChars="200"/>
        <w:jc w:val="left"/>
        <w:outlineLvl w:val="2"/>
        <w:rPr>
          <w:rFonts w:ascii="华文中宋" w:hAnsi="华文中宋" w:eastAsia="华文中宋" w:cs="华文中宋"/>
          <w:color w:val="auto"/>
          <w:sz w:val="32"/>
          <w:szCs w:val="32"/>
          <w:highlight w:val="none"/>
        </w:rPr>
      </w:pPr>
      <w:bookmarkStart w:id="14" w:name="_Toc14161"/>
      <w:bookmarkStart w:id="15" w:name="_Toc9003"/>
      <w:r>
        <w:rPr>
          <w:rFonts w:hint="eastAsia" w:ascii="华文中宋" w:hAnsi="华文中宋" w:eastAsia="华文中宋" w:cs="华文中宋"/>
          <w:color w:val="auto"/>
          <w:sz w:val="32"/>
          <w:szCs w:val="32"/>
          <w:highlight w:val="none"/>
        </w:rPr>
        <w:t>（二）积极应对新变化</w:t>
      </w:r>
      <w:bookmarkEnd w:id="14"/>
      <w:bookmarkEnd w:id="15"/>
    </w:p>
    <w:p w14:paraId="7944E588">
      <w:pPr>
        <w:widowControl/>
        <w:spacing w:before="156" w:beforeLines="50" w:line="360" w:lineRule="auto"/>
        <w:ind w:firstLine="643" w:firstLineChars="200"/>
        <w:jc w:val="left"/>
        <w:rPr>
          <w:rFonts w:eastAsia="仿宋_GB2312" w:cs="仿宋_GB2312" w:asciiTheme="minorEastAsia" w:hAnsiTheme="minorEastAsia"/>
          <w:color w:val="auto"/>
          <w:sz w:val="32"/>
          <w:szCs w:val="32"/>
          <w:highlight w:val="none"/>
        </w:rPr>
      </w:pPr>
      <w:r>
        <w:rPr>
          <w:rFonts w:ascii="华文楷体" w:hAnsi="华文楷体" w:eastAsia="华文楷体" w:cs="华文楷体"/>
          <w:b/>
          <w:bCs/>
          <w:color w:val="auto"/>
          <w:sz w:val="32"/>
          <w:szCs w:val="32"/>
          <w:highlight w:val="none"/>
        </w:rPr>
        <w:t>新时代民政工作职责使命的新变化。</w:t>
      </w:r>
      <w:r>
        <w:rPr>
          <w:rFonts w:eastAsia="仿宋_GB2312" w:cs="仿宋_GB2312" w:asciiTheme="minorEastAsia" w:hAnsiTheme="minorEastAsia"/>
          <w:color w:val="auto"/>
          <w:sz w:val="32"/>
          <w:szCs w:val="32"/>
          <w:highlight w:val="none"/>
        </w:rPr>
        <w:t>新一轮党和国家机构改革，调整了民政工作职责，完善了老龄工作体制，赋予民政部门牵头承担老龄工作的重要职责，体现了对民政部门的高度重视和极大信任。机构改革后，民政部门的职能进一步聚焦</w:t>
      </w:r>
      <w:r>
        <w:rPr>
          <w:rFonts w:hint="eastAsia" w:eastAsia="仿宋_GB2312" w:cs="仿宋_GB2312" w:asciiTheme="minorEastAsia" w:hAnsiTheme="minorEastAsia"/>
          <w:color w:val="auto"/>
          <w:sz w:val="32"/>
          <w:szCs w:val="32"/>
          <w:highlight w:val="none"/>
        </w:rPr>
        <w:t>，</w:t>
      </w:r>
      <w:r>
        <w:rPr>
          <w:rFonts w:eastAsia="仿宋_GB2312" w:cs="仿宋_GB2312" w:asciiTheme="minorEastAsia" w:hAnsiTheme="minorEastAsia"/>
          <w:color w:val="auto"/>
          <w:sz w:val="32"/>
          <w:szCs w:val="32"/>
          <w:highlight w:val="none"/>
        </w:rPr>
        <w:t>主责主业更加凸显，使命任务更加艰巨，发展空间更加广阔。</w:t>
      </w:r>
    </w:p>
    <w:p w14:paraId="62842FED">
      <w:pPr>
        <w:widowControl/>
        <w:spacing w:before="156" w:beforeLines="50" w:line="360" w:lineRule="auto"/>
        <w:ind w:firstLine="643" w:firstLineChars="200"/>
        <w:jc w:val="left"/>
        <w:rPr>
          <w:rFonts w:eastAsia="仿宋_GB2312" w:cs="仿宋_GB2312" w:asciiTheme="minorEastAsia" w:hAnsiTheme="minorEastAsia"/>
          <w:color w:val="auto"/>
          <w:sz w:val="32"/>
          <w:szCs w:val="32"/>
          <w:highlight w:val="none"/>
        </w:rPr>
      </w:pPr>
      <w:r>
        <w:rPr>
          <w:rFonts w:ascii="华文楷体" w:hAnsi="华文楷体" w:eastAsia="华文楷体" w:cs="华文楷体"/>
          <w:b/>
          <w:bCs/>
          <w:color w:val="auto"/>
          <w:sz w:val="32"/>
          <w:szCs w:val="32"/>
          <w:highlight w:val="none"/>
        </w:rPr>
        <w:t>新时代民政工作要求的新变化。</w:t>
      </w:r>
      <w:r>
        <w:rPr>
          <w:rFonts w:eastAsia="仿宋_GB2312" w:cs="仿宋_GB2312" w:asciiTheme="minorEastAsia" w:hAnsiTheme="minorEastAsia"/>
          <w:color w:val="auto"/>
          <w:sz w:val="32"/>
          <w:szCs w:val="32"/>
          <w:highlight w:val="none"/>
        </w:rPr>
        <w:t>社会救助从简单的救助式保障、物质类帮扶向更精准的物质保障、更丰富的照料服务、更有力的精神支持扩展</w:t>
      </w:r>
      <w:r>
        <w:rPr>
          <w:rFonts w:hint="eastAsia" w:eastAsia="仿宋_GB2312" w:cs="仿宋_GB2312" w:asciiTheme="minorEastAsia" w:hAnsiTheme="minorEastAsia"/>
          <w:color w:val="auto"/>
          <w:sz w:val="32"/>
          <w:szCs w:val="32"/>
          <w:highlight w:val="none"/>
        </w:rPr>
        <w:t>；救助管理对象中，务工不着等临时遇困人员增加、病残人员比例上升，康复护理等服务需求更加迫切；</w:t>
      </w:r>
      <w:r>
        <w:rPr>
          <w:rFonts w:eastAsia="仿宋_GB2312" w:cs="仿宋_GB2312" w:asciiTheme="minorEastAsia" w:hAnsiTheme="minorEastAsia"/>
          <w:color w:val="auto"/>
          <w:sz w:val="32"/>
          <w:szCs w:val="32"/>
          <w:highlight w:val="none"/>
        </w:rPr>
        <w:t>养老服务、社会福利从保基本、兜底线向普惠型发展</w:t>
      </w:r>
      <w:r>
        <w:rPr>
          <w:rFonts w:hint="eastAsia" w:eastAsia="仿宋_GB2312" w:cs="仿宋_GB2312" w:asciiTheme="minorEastAsia" w:hAnsiTheme="minorEastAsia"/>
          <w:color w:val="auto"/>
          <w:sz w:val="32"/>
          <w:szCs w:val="32"/>
          <w:highlight w:val="none"/>
        </w:rPr>
        <w:t>；</w:t>
      </w:r>
      <w:r>
        <w:rPr>
          <w:rFonts w:eastAsia="仿宋_GB2312" w:cs="仿宋_GB2312" w:asciiTheme="minorEastAsia" w:hAnsiTheme="minorEastAsia"/>
          <w:color w:val="auto"/>
          <w:sz w:val="32"/>
          <w:szCs w:val="32"/>
          <w:highlight w:val="none"/>
        </w:rPr>
        <w:t>儿童福利从特殊儿童保障向所有需要帮助的困境儿童、流动儿童关爱保护拓展</w:t>
      </w:r>
      <w:r>
        <w:rPr>
          <w:rFonts w:hint="eastAsia" w:eastAsia="仿宋_GB2312" w:cs="仿宋_GB2312" w:asciiTheme="minorEastAsia" w:hAnsiTheme="minorEastAsia"/>
          <w:color w:val="auto"/>
          <w:sz w:val="32"/>
          <w:szCs w:val="32"/>
          <w:highlight w:val="none"/>
        </w:rPr>
        <w:t>；</w:t>
      </w:r>
      <w:r>
        <w:rPr>
          <w:rFonts w:eastAsia="仿宋_GB2312" w:cs="仿宋_GB2312" w:asciiTheme="minorEastAsia" w:hAnsiTheme="minorEastAsia"/>
          <w:color w:val="auto"/>
          <w:sz w:val="32"/>
          <w:szCs w:val="32"/>
          <w:highlight w:val="none"/>
        </w:rPr>
        <w:t>慈善事业定位从慈心善行的社会行动转变为立足于第三次分配促进共同富裕的重要机制等等。</w:t>
      </w:r>
    </w:p>
    <w:p w14:paraId="1C3DD3BF">
      <w:pPr>
        <w:widowControl/>
        <w:spacing w:before="156" w:beforeLines="50" w:line="360" w:lineRule="auto"/>
        <w:ind w:firstLine="643" w:firstLineChars="200"/>
        <w:jc w:val="left"/>
        <w:rPr>
          <w:rFonts w:eastAsia="仿宋_GB2312" w:cs="仿宋_GB2312" w:asciiTheme="minorEastAsia" w:hAnsiTheme="minorEastAsia"/>
          <w:color w:val="auto"/>
          <w:sz w:val="32"/>
          <w:szCs w:val="32"/>
          <w:highlight w:val="none"/>
        </w:rPr>
      </w:pPr>
      <w:r>
        <w:rPr>
          <w:rFonts w:ascii="华文楷体" w:hAnsi="华文楷体" w:eastAsia="华文楷体" w:cs="华文楷体"/>
          <w:b/>
          <w:bCs/>
          <w:color w:val="auto"/>
          <w:sz w:val="32"/>
          <w:szCs w:val="32"/>
          <w:highlight w:val="none"/>
        </w:rPr>
        <w:t>新时代民政工作手段的新变化。</w:t>
      </w:r>
      <w:r>
        <w:rPr>
          <w:rFonts w:eastAsia="仿宋_GB2312" w:cs="仿宋_GB2312" w:asciiTheme="minorEastAsia" w:hAnsiTheme="minorEastAsia"/>
          <w:color w:val="auto"/>
          <w:sz w:val="32"/>
          <w:szCs w:val="32"/>
          <w:highlight w:val="none"/>
        </w:rPr>
        <w:t>信息化、智能化是时代发展潮流。提升民政工作数字化、网络化、智能化水平，让“政策找人”更主动，政务服务效能更优质，是亟待推进落实的一项重要任务。要善于革新工作手段，依托大数据提升管理和服务效能。</w:t>
      </w:r>
    </w:p>
    <w:p w14:paraId="567D3ACA">
      <w:pPr>
        <w:widowControl/>
        <w:spacing w:before="156" w:beforeLines="50" w:line="360" w:lineRule="auto"/>
        <w:ind w:firstLine="640" w:firstLineChars="200"/>
        <w:jc w:val="left"/>
        <w:outlineLvl w:val="2"/>
        <w:rPr>
          <w:rFonts w:ascii="华文中宋" w:hAnsi="华文中宋" w:eastAsia="华文中宋" w:cs="华文中宋"/>
          <w:color w:val="auto"/>
          <w:sz w:val="32"/>
          <w:szCs w:val="32"/>
          <w:highlight w:val="none"/>
        </w:rPr>
      </w:pPr>
      <w:bookmarkStart w:id="16" w:name="_Toc30018"/>
      <w:bookmarkStart w:id="17" w:name="_Toc18326"/>
      <w:r>
        <w:rPr>
          <w:rFonts w:hint="eastAsia" w:ascii="华文中宋" w:hAnsi="华文中宋" w:eastAsia="华文中宋" w:cs="华文中宋"/>
          <w:color w:val="auto"/>
          <w:sz w:val="32"/>
          <w:szCs w:val="32"/>
          <w:highlight w:val="none"/>
        </w:rPr>
        <w:t>（三）全面把握新机遇</w:t>
      </w:r>
      <w:bookmarkEnd w:id="16"/>
      <w:bookmarkEnd w:id="17"/>
    </w:p>
    <w:p w14:paraId="390BEF42">
      <w:pPr>
        <w:widowControl/>
        <w:spacing w:before="156" w:beforeLines="50" w:line="360" w:lineRule="auto"/>
        <w:ind w:firstLine="640" w:firstLineChars="200"/>
        <w:jc w:val="left"/>
        <w:rPr>
          <w:rFonts w:asciiTheme="minorEastAsia" w:hAnsiTheme="minorEastAsia"/>
          <w:color w:val="auto"/>
          <w:sz w:val="32"/>
          <w:szCs w:val="32"/>
          <w:highlight w:val="none"/>
        </w:rPr>
      </w:pPr>
      <w:r>
        <w:rPr>
          <w:rFonts w:ascii="仿宋_GB2312" w:hAnsi="仿宋_GB2312" w:eastAsia="仿宋_GB2312" w:cs="仿宋_GB2312"/>
          <w:color w:val="auto"/>
          <w:kern w:val="0"/>
          <w:sz w:val="32"/>
          <w:szCs w:val="32"/>
          <w:highlight w:val="none"/>
          <w:shd w:val="clear" w:color="auto" w:fill="FFFFFF"/>
          <w:lang w:bidi="ar"/>
        </w:rPr>
        <w:t>民政事业发展正处于高质量发展为主题的新阶段，利好因素持续汇聚，必须紧紧抓住并切实用好机遇，实现发展目标。</w:t>
      </w:r>
    </w:p>
    <w:p w14:paraId="3BF67533">
      <w:pPr>
        <w:widowControl/>
        <w:spacing w:before="156" w:beforeLines="50" w:line="360" w:lineRule="auto"/>
        <w:ind w:firstLine="643" w:firstLineChars="200"/>
        <w:jc w:val="left"/>
        <w:rPr>
          <w:rFonts w:ascii="仿宋_GB2312" w:hAnsi="仿宋_GB2312" w:eastAsia="仿宋_GB2312" w:cs="仿宋_GB2312"/>
          <w:color w:val="auto"/>
          <w:kern w:val="0"/>
          <w:sz w:val="32"/>
          <w:szCs w:val="32"/>
          <w:highlight w:val="none"/>
          <w:shd w:val="clear" w:color="auto" w:fill="FFFFFF"/>
          <w:lang w:bidi="ar"/>
        </w:rPr>
      </w:pPr>
      <w:r>
        <w:rPr>
          <w:rFonts w:ascii="华文楷体" w:hAnsi="华文楷体" w:eastAsia="华文楷体" w:cs="华文楷体"/>
          <w:b/>
          <w:bCs/>
          <w:color w:val="auto"/>
          <w:sz w:val="32"/>
          <w:szCs w:val="32"/>
          <w:highlight w:val="none"/>
        </w:rPr>
        <w:t>国家重大发展战略机遇。</w:t>
      </w:r>
      <w:r>
        <w:rPr>
          <w:rFonts w:ascii="仿宋_GB2312" w:hAnsi="仿宋_GB2312" w:eastAsia="仿宋_GB2312" w:cs="仿宋_GB2312"/>
          <w:color w:val="auto"/>
          <w:kern w:val="0"/>
          <w:sz w:val="32"/>
          <w:szCs w:val="32"/>
          <w:highlight w:val="none"/>
          <w:shd w:val="clear" w:color="auto" w:fill="FFFFFF"/>
          <w:lang w:bidi="ar"/>
        </w:rPr>
        <w:t>实施积极应对人口老龄化国家战略</w:t>
      </w:r>
      <w:r>
        <w:rPr>
          <w:rFonts w:hint="eastAsia" w:ascii="仿宋_GB2312" w:hAnsi="仿宋_GB2312" w:eastAsia="仿宋_GB2312" w:cs="仿宋_GB2312"/>
          <w:color w:val="auto"/>
          <w:kern w:val="0"/>
          <w:sz w:val="32"/>
          <w:szCs w:val="32"/>
          <w:highlight w:val="none"/>
          <w:shd w:val="clear" w:color="auto" w:fill="FFFFFF"/>
          <w:lang w:bidi="ar"/>
        </w:rPr>
        <w:t>与</w:t>
      </w:r>
      <w:r>
        <w:rPr>
          <w:rFonts w:ascii="仿宋_GB2312" w:hAnsi="仿宋_GB2312" w:eastAsia="仿宋_GB2312" w:cs="仿宋_GB2312"/>
          <w:color w:val="auto"/>
          <w:kern w:val="0"/>
          <w:sz w:val="32"/>
          <w:szCs w:val="32"/>
          <w:highlight w:val="none"/>
          <w:shd w:val="clear" w:color="auto" w:fill="FFFFFF"/>
          <w:lang w:bidi="ar"/>
        </w:rPr>
        <w:t>乡村振兴战略，是民政工作职责最突出、任务最集中、作用最明显的</w:t>
      </w:r>
      <w:r>
        <w:rPr>
          <w:rFonts w:hint="eastAsia" w:ascii="仿宋_GB2312" w:hAnsi="仿宋_GB2312" w:eastAsia="仿宋_GB2312" w:cs="仿宋_GB2312"/>
          <w:color w:val="auto"/>
          <w:kern w:val="0"/>
          <w:sz w:val="32"/>
          <w:szCs w:val="32"/>
          <w:highlight w:val="none"/>
          <w:shd w:val="clear" w:color="auto" w:fill="FFFFFF"/>
          <w:lang w:bidi="ar"/>
        </w:rPr>
        <w:t>两</w:t>
      </w:r>
      <w:r>
        <w:rPr>
          <w:rFonts w:ascii="仿宋_GB2312" w:hAnsi="仿宋_GB2312" w:eastAsia="仿宋_GB2312" w:cs="仿宋_GB2312"/>
          <w:color w:val="auto"/>
          <w:kern w:val="0"/>
          <w:sz w:val="32"/>
          <w:szCs w:val="32"/>
          <w:highlight w:val="none"/>
          <w:shd w:val="clear" w:color="auto" w:fill="FFFFFF"/>
          <w:lang w:bidi="ar"/>
        </w:rPr>
        <w:t>大领域。</w:t>
      </w:r>
      <w:r>
        <w:rPr>
          <w:rFonts w:hint="eastAsia" w:ascii="仿宋_GB2312" w:hAnsi="仿宋_GB2312" w:eastAsia="仿宋_GB2312" w:cs="仿宋_GB2312"/>
          <w:color w:val="auto"/>
          <w:kern w:val="0"/>
          <w:sz w:val="32"/>
          <w:szCs w:val="32"/>
          <w:highlight w:val="none"/>
          <w:shd w:val="clear" w:color="auto" w:fill="FFFFFF"/>
          <w:lang w:bidi="ar"/>
        </w:rPr>
        <w:t>202</w:t>
      </w:r>
      <w:r>
        <w:rPr>
          <w:rFonts w:hint="eastAsia" w:ascii="仿宋_GB2312" w:hAnsi="仿宋_GB2312" w:eastAsia="仿宋_GB2312" w:cs="仿宋_GB2312"/>
          <w:color w:val="auto"/>
          <w:kern w:val="0"/>
          <w:sz w:val="32"/>
          <w:szCs w:val="32"/>
          <w:highlight w:val="none"/>
          <w:shd w:val="clear" w:color="auto" w:fill="FFFFFF"/>
          <w:lang w:val="en-US" w:eastAsia="zh-CN" w:bidi="ar"/>
        </w:rPr>
        <w:t>5</w:t>
      </w:r>
      <w:r>
        <w:rPr>
          <w:rFonts w:ascii="仿宋_GB2312" w:hAnsi="仿宋_GB2312" w:eastAsia="仿宋_GB2312" w:cs="仿宋_GB2312"/>
          <w:color w:val="auto"/>
          <w:kern w:val="0"/>
          <w:sz w:val="32"/>
          <w:szCs w:val="32"/>
          <w:highlight w:val="none"/>
          <w:shd w:val="clear" w:color="auto" w:fill="FFFFFF"/>
          <w:lang w:bidi="ar"/>
        </w:rPr>
        <w:t>年中央一号文件《</w:t>
      </w:r>
      <w:r>
        <w:rPr>
          <w:rFonts w:hint="eastAsia" w:ascii="仿宋_GB2312" w:hAnsi="仿宋_GB2312" w:eastAsia="仿宋_GB2312" w:cs="仿宋_GB2312"/>
          <w:color w:val="auto"/>
          <w:kern w:val="0"/>
          <w:sz w:val="32"/>
          <w:szCs w:val="32"/>
          <w:highlight w:val="none"/>
          <w:shd w:val="clear" w:color="auto" w:fill="FFFFFF"/>
          <w:lang w:bidi="ar"/>
        </w:rPr>
        <w:t>中共中央 国务院关于进一步深化农村改革 扎实推进乡村全面振兴的意见</w:t>
      </w:r>
      <w:r>
        <w:rPr>
          <w:rFonts w:ascii="仿宋_GB2312" w:hAnsi="仿宋_GB2312" w:eastAsia="仿宋_GB2312" w:cs="仿宋_GB2312"/>
          <w:color w:val="auto"/>
          <w:kern w:val="0"/>
          <w:sz w:val="32"/>
          <w:szCs w:val="32"/>
          <w:highlight w:val="none"/>
          <w:shd w:val="clear" w:color="auto" w:fill="FFFFFF"/>
          <w:lang w:bidi="ar"/>
        </w:rPr>
        <w:t>》提出，</w:t>
      </w:r>
      <w:r>
        <w:rPr>
          <w:rFonts w:hint="eastAsia" w:ascii="仿宋_GB2312" w:hAnsi="仿宋_GB2312" w:eastAsia="仿宋_GB2312" w:cs="仿宋_GB2312"/>
          <w:color w:val="auto"/>
          <w:kern w:val="0"/>
          <w:sz w:val="32"/>
          <w:szCs w:val="32"/>
          <w:highlight w:val="none"/>
          <w:shd w:val="clear" w:color="auto" w:fill="FFFFFF"/>
          <w:lang w:bidi="ar"/>
        </w:rPr>
        <w:t>坚持农业农村优先发展，坚持城乡融合发展，提高农村基本公共服务水平，确保不发生规模性返贫致贫</w:t>
      </w:r>
      <w:r>
        <w:rPr>
          <w:rFonts w:ascii="仿宋_GB2312" w:hAnsi="仿宋_GB2312" w:eastAsia="仿宋_GB2312" w:cs="仿宋_GB2312"/>
          <w:color w:val="auto"/>
          <w:kern w:val="0"/>
          <w:sz w:val="32"/>
          <w:szCs w:val="32"/>
          <w:highlight w:val="none"/>
          <w:shd w:val="clear" w:color="auto" w:fill="FFFFFF"/>
          <w:lang w:bidi="ar"/>
        </w:rPr>
        <w:t>，等等。这些为突破性发展养老服务业、做好民生兜底保障工作创造了良好条件。</w:t>
      </w:r>
      <w:r>
        <w:rPr>
          <w:rFonts w:hint="eastAsia" w:ascii="仿宋_GB2312" w:hAnsi="仿宋_GB2312" w:eastAsia="仿宋_GB2312" w:cs="仿宋_GB2312"/>
          <w:color w:val="auto"/>
          <w:kern w:val="0"/>
          <w:sz w:val="32"/>
          <w:szCs w:val="32"/>
          <w:highlight w:val="none"/>
          <w:shd w:val="clear" w:color="auto" w:fill="FFFFFF"/>
          <w:lang w:eastAsia="zh-CN" w:bidi="ar"/>
        </w:rPr>
        <w:t>党的</w:t>
      </w:r>
      <w:r>
        <w:rPr>
          <w:rFonts w:hint="eastAsia" w:ascii="仿宋_GB2312" w:hAnsi="仿宋_GB2312" w:eastAsia="仿宋_GB2312" w:cs="仿宋_GB2312"/>
          <w:color w:val="auto"/>
          <w:kern w:val="0"/>
          <w:sz w:val="32"/>
          <w:szCs w:val="32"/>
          <w:highlight w:val="none"/>
          <w:shd w:val="clear" w:color="auto" w:fill="FFFFFF"/>
          <w:lang w:bidi="ar"/>
        </w:rPr>
        <w:t>二十届</w:t>
      </w:r>
      <w:r>
        <w:rPr>
          <w:rFonts w:hint="eastAsia" w:ascii="仿宋_GB2312" w:hAnsi="仿宋_GB2312" w:eastAsia="仿宋_GB2312" w:cs="仿宋_GB2312"/>
          <w:color w:val="auto"/>
          <w:kern w:val="0"/>
          <w:sz w:val="32"/>
          <w:szCs w:val="32"/>
          <w:highlight w:val="none"/>
          <w:shd w:val="clear" w:color="auto" w:fill="FFFFFF"/>
          <w:lang w:val="en-US" w:eastAsia="zh-CN" w:bidi="ar"/>
        </w:rPr>
        <w:t>四</w:t>
      </w:r>
      <w:r>
        <w:rPr>
          <w:rFonts w:hint="eastAsia" w:ascii="仿宋_GB2312" w:hAnsi="仿宋_GB2312" w:eastAsia="仿宋_GB2312" w:cs="仿宋_GB2312"/>
          <w:color w:val="auto"/>
          <w:kern w:val="0"/>
          <w:sz w:val="32"/>
          <w:szCs w:val="32"/>
          <w:highlight w:val="none"/>
          <w:shd w:val="clear" w:color="auto" w:fill="FFFFFF"/>
          <w:lang w:bidi="ar"/>
        </w:rPr>
        <w:t>中全会</w:t>
      </w:r>
      <w:r>
        <w:rPr>
          <w:rFonts w:hint="eastAsia" w:ascii="仿宋_GB2312" w:hAnsi="仿宋_GB2312" w:eastAsia="仿宋_GB2312" w:cs="仿宋_GB2312"/>
          <w:color w:val="auto"/>
          <w:kern w:val="0"/>
          <w:sz w:val="32"/>
          <w:szCs w:val="32"/>
          <w:highlight w:val="none"/>
          <w:shd w:val="clear" w:color="auto" w:fill="FFFFFF"/>
          <w:lang w:val="en-US" w:eastAsia="zh-CN" w:bidi="ar"/>
        </w:rPr>
        <w:t>提出，“</w:t>
      </w:r>
      <w:r>
        <w:rPr>
          <w:rFonts w:hint="eastAsia" w:ascii="仿宋_GB2312" w:hAnsi="仿宋_GB2312" w:eastAsia="仿宋_GB2312" w:cs="仿宋_GB2312"/>
          <w:color w:val="auto"/>
          <w:kern w:val="0"/>
          <w:sz w:val="32"/>
          <w:szCs w:val="32"/>
          <w:highlight w:val="none"/>
          <w:shd w:val="clear" w:color="auto" w:fill="FFFFFF"/>
          <w:lang w:bidi="ar"/>
        </w:rPr>
        <w:t>加大保障和改善民生力度，扎实推进全体人民共同富裕。坚持尽力而为、量力而行，加强普惠性、基础性、兜底性民生建设，解决好人民群众急难愁盼问题，畅通社会流动渠道，提高人民生活品质。</w:t>
      </w:r>
      <w:r>
        <w:rPr>
          <w:rFonts w:hint="eastAsia" w:ascii="仿宋_GB2312" w:hAnsi="仿宋_GB2312" w:eastAsia="仿宋_GB2312" w:cs="仿宋_GB2312"/>
          <w:color w:val="auto"/>
          <w:kern w:val="0"/>
          <w:sz w:val="32"/>
          <w:szCs w:val="32"/>
          <w:highlight w:val="none"/>
          <w:shd w:val="clear" w:color="auto" w:fill="FFFFFF"/>
          <w:lang w:eastAsia="zh-CN" w:bidi="ar"/>
        </w:rPr>
        <w:t>”</w:t>
      </w:r>
      <w:r>
        <w:rPr>
          <w:rFonts w:hint="eastAsia" w:ascii="仿宋_GB2312" w:hAnsi="仿宋_GB2312" w:eastAsia="仿宋_GB2312" w:cs="仿宋_GB2312"/>
          <w:color w:val="auto"/>
          <w:kern w:val="0"/>
          <w:sz w:val="32"/>
          <w:szCs w:val="32"/>
          <w:highlight w:val="none"/>
          <w:shd w:val="clear" w:color="auto" w:fill="FFFFFF"/>
          <w:lang w:bidi="ar"/>
        </w:rPr>
        <w:t>为奋力推进</w:t>
      </w:r>
      <w:r>
        <w:rPr>
          <w:rFonts w:hint="eastAsia" w:ascii="仿宋_GB2312" w:hAnsi="仿宋_GB2312" w:eastAsia="仿宋_GB2312" w:cs="仿宋_GB2312"/>
          <w:color w:val="auto"/>
          <w:kern w:val="0"/>
          <w:sz w:val="32"/>
          <w:szCs w:val="32"/>
          <w:highlight w:val="none"/>
          <w:shd w:val="clear" w:color="auto" w:fill="FFFFFF"/>
          <w:lang w:eastAsia="zh-CN" w:bidi="ar"/>
        </w:rPr>
        <w:t>潜江</w:t>
      </w:r>
      <w:r>
        <w:rPr>
          <w:rFonts w:hint="eastAsia" w:ascii="仿宋_GB2312" w:hAnsi="仿宋_GB2312" w:eastAsia="仿宋_GB2312" w:cs="仿宋_GB2312"/>
          <w:color w:val="auto"/>
          <w:kern w:val="0"/>
          <w:sz w:val="32"/>
          <w:szCs w:val="32"/>
          <w:highlight w:val="none"/>
          <w:shd w:val="clear" w:color="auto" w:fill="FFFFFF"/>
          <w:lang w:bidi="ar"/>
        </w:rPr>
        <w:t>民政工作现代化提供了政策保障和方向指引。</w:t>
      </w:r>
    </w:p>
    <w:p w14:paraId="77462358">
      <w:pPr>
        <w:widowControl/>
        <w:spacing w:before="156" w:beforeLines="50" w:line="360" w:lineRule="auto"/>
        <w:ind w:firstLine="643" w:firstLineChars="200"/>
        <w:jc w:val="left"/>
        <w:rPr>
          <w:rFonts w:eastAsia="仿宋_GB2312" w:cs="仿宋_GB2312" w:asciiTheme="minorEastAsia" w:hAnsiTheme="minorEastAsia"/>
          <w:color w:val="auto"/>
          <w:sz w:val="32"/>
          <w:szCs w:val="32"/>
          <w:highlight w:val="none"/>
        </w:rPr>
      </w:pPr>
      <w:r>
        <w:rPr>
          <w:rFonts w:ascii="华文楷体" w:hAnsi="华文楷体" w:eastAsia="华文楷体" w:cs="华文楷体"/>
          <w:b/>
          <w:bCs/>
          <w:color w:val="auto"/>
          <w:sz w:val="32"/>
          <w:szCs w:val="32"/>
          <w:highlight w:val="none"/>
        </w:rPr>
        <w:t>持续出台的利好政策机遇。</w:t>
      </w:r>
      <w:r>
        <w:rPr>
          <w:rFonts w:eastAsia="仿宋_GB2312" w:cs="仿宋_GB2312" w:asciiTheme="minorEastAsia" w:hAnsiTheme="minorEastAsia"/>
          <w:color w:val="auto"/>
          <w:sz w:val="32"/>
          <w:szCs w:val="32"/>
          <w:highlight w:val="none"/>
        </w:rPr>
        <w:t>新一届国务院全面履职以来，召开国务院常务会议研究通过社会救助、老年助餐等意见和方案，发布首个支持银发经济发展文件</w:t>
      </w:r>
      <w:r>
        <w:rPr>
          <w:rFonts w:hint="eastAsia" w:eastAsia="仿宋_GB2312" w:cs="仿宋_GB2312" w:asciiTheme="minorEastAsia" w:hAnsiTheme="minorEastAsia"/>
          <w:color w:val="auto"/>
          <w:sz w:val="32"/>
          <w:szCs w:val="32"/>
          <w:highlight w:val="none"/>
        </w:rPr>
        <w:t>、</w:t>
      </w:r>
      <w:r>
        <w:rPr>
          <w:rFonts w:eastAsia="仿宋_GB2312" w:cs="仿宋_GB2312" w:asciiTheme="minorEastAsia" w:hAnsiTheme="minorEastAsia"/>
          <w:color w:val="auto"/>
          <w:sz w:val="32"/>
          <w:szCs w:val="32"/>
          <w:highlight w:val="none"/>
        </w:rPr>
        <w:t>《关于加强养老服务设施布局规划编制工作的通知》</w:t>
      </w:r>
      <w:r>
        <w:rPr>
          <w:rFonts w:hint="eastAsia" w:eastAsia="仿宋_GB2312" w:cs="仿宋_GB2312" w:asciiTheme="minorEastAsia" w:hAnsiTheme="minorEastAsia"/>
          <w:color w:val="auto"/>
          <w:sz w:val="32"/>
          <w:szCs w:val="32"/>
          <w:highlight w:val="none"/>
        </w:rPr>
        <w:t>、《中共中央 国务院关于深化养老服务改革发展的意见》</w:t>
      </w:r>
      <w:r>
        <w:rPr>
          <w:rFonts w:eastAsia="仿宋_GB2312" w:cs="仿宋_GB2312" w:asciiTheme="minorEastAsia" w:hAnsiTheme="minorEastAsia"/>
          <w:color w:val="auto"/>
          <w:sz w:val="32"/>
          <w:szCs w:val="32"/>
          <w:highlight w:val="none"/>
        </w:rPr>
        <w:t>；省政府专门出台进一步保障和改善民生的 20 条措施等等，为民政事业发展提供了政策支撑。</w:t>
      </w:r>
    </w:p>
    <w:p w14:paraId="52EE2568">
      <w:pPr>
        <w:pStyle w:val="18"/>
        <w:spacing w:before="156" w:beforeLines="50" w:after="0" w:line="360" w:lineRule="auto"/>
        <w:ind w:left="0" w:leftChars="0" w:firstLine="641"/>
        <w:rPr>
          <w:rFonts w:eastAsia="仿宋_GB2312" w:cs="仿宋_GB2312" w:asciiTheme="minorEastAsia" w:hAnsiTheme="minorEastAsia"/>
          <w:color w:val="auto"/>
          <w:sz w:val="32"/>
          <w:szCs w:val="32"/>
          <w:highlight w:val="none"/>
        </w:rPr>
      </w:pPr>
      <w:r>
        <w:rPr>
          <w:rFonts w:hint="eastAsia" w:ascii="华文楷体" w:hAnsi="华文楷体" w:eastAsia="华文楷体" w:cs="华文楷体"/>
          <w:b/>
          <w:bCs/>
          <w:color w:val="auto"/>
          <w:sz w:val="32"/>
          <w:szCs w:val="32"/>
          <w:highlight w:val="none"/>
        </w:rPr>
        <w:t>省市党</w:t>
      </w:r>
      <w:r>
        <w:rPr>
          <w:rFonts w:ascii="华文楷体" w:hAnsi="华文楷体" w:eastAsia="华文楷体" w:cs="华文楷体"/>
          <w:b/>
          <w:bCs/>
          <w:color w:val="auto"/>
          <w:sz w:val="32"/>
          <w:szCs w:val="32"/>
          <w:highlight w:val="none"/>
        </w:rPr>
        <w:t>委政府重大决策部署实施的机遇。</w:t>
      </w:r>
      <w:r>
        <w:rPr>
          <w:rFonts w:eastAsia="仿宋_GB2312" w:cs="仿宋_GB2312" w:asciiTheme="minorEastAsia" w:hAnsiTheme="minorEastAsia"/>
          <w:color w:val="auto"/>
          <w:sz w:val="32"/>
          <w:szCs w:val="32"/>
          <w:highlight w:val="none"/>
        </w:rPr>
        <w:t>建设先行区，要求各项工作都走在全国前列，这给民政领域持续推进民生兜底保障全面提质、社会治理全面提效、基本社会服务全面提档带来机遇。</w:t>
      </w:r>
      <w:r>
        <w:rPr>
          <w:rFonts w:hint="default" w:eastAsia="仿宋_GB2312" w:cs="仿宋_GB2312" w:asciiTheme="minorEastAsia" w:hAnsiTheme="minorEastAsia"/>
          <w:color w:val="auto"/>
          <w:sz w:val="32"/>
          <w:szCs w:val="32"/>
          <w:highlight w:val="none"/>
          <w:lang w:val="en-US" w:eastAsia="zh-CN"/>
        </w:rPr>
        <w:t>实施强县工程</w:t>
      </w:r>
      <w:r>
        <w:rPr>
          <w:rFonts w:hint="eastAsia" w:eastAsia="仿宋_GB2312" w:cs="仿宋_GB2312" w:asciiTheme="minorEastAsia" w:hAnsiTheme="minorEastAsia"/>
          <w:color w:val="auto"/>
          <w:sz w:val="32"/>
          <w:szCs w:val="32"/>
          <w:highlight w:val="none"/>
          <w:lang w:val="en-US" w:eastAsia="zh-CN"/>
        </w:rPr>
        <w:t>，</w:t>
      </w:r>
      <w:r>
        <w:rPr>
          <w:rFonts w:hint="default" w:eastAsia="仿宋_GB2312" w:cs="仿宋_GB2312" w:asciiTheme="minorEastAsia" w:hAnsiTheme="minorEastAsia"/>
          <w:color w:val="auto"/>
          <w:sz w:val="32"/>
          <w:szCs w:val="32"/>
          <w:highlight w:val="none"/>
          <w:lang w:val="en-US" w:eastAsia="zh-CN"/>
        </w:rPr>
        <w:t>要求推进以县城为重要载体的就地城镇化、以县域为单元的城乡统筹发展，这给加快构建县乡村三级养老服务体系带来了强劲动力。</w:t>
      </w:r>
      <w:r>
        <w:rPr>
          <w:rFonts w:eastAsia="仿宋_GB2312" w:cs="仿宋_GB2312" w:asciiTheme="minorEastAsia" w:hAnsiTheme="minorEastAsia"/>
          <w:color w:val="auto"/>
          <w:sz w:val="32"/>
          <w:szCs w:val="32"/>
          <w:highlight w:val="none"/>
        </w:rPr>
        <w:t>同时，民政工作的服务对象在基层、工作重心在基层、短板弱项也在基层。共同缔造着眼于构建“纵向到底、横向到边、共建共治共享”的基层治理体系，为有效破解民政政策落实“最后一公里”难题提供了契机。</w:t>
      </w:r>
    </w:p>
    <w:p w14:paraId="042D1D27">
      <w:pPr>
        <w:snapToGrid w:val="0"/>
        <w:spacing w:before="468" w:beforeLines="150" w:after="156" w:afterLines="50" w:line="360" w:lineRule="auto"/>
        <w:ind w:firstLine="321" w:firstLineChars="100"/>
        <w:jc w:val="center"/>
        <w:outlineLvl w:val="0"/>
        <w:rPr>
          <w:rFonts w:hint="default" w:ascii="黑体" w:hAnsi="黑体" w:eastAsia="黑体"/>
          <w:b/>
          <w:bCs/>
          <w:color w:val="auto"/>
          <w:sz w:val="32"/>
          <w:szCs w:val="32"/>
          <w:highlight w:val="none"/>
          <w:lang w:val="en-US" w:eastAsia="zh-CN"/>
        </w:rPr>
      </w:pPr>
      <w:bookmarkStart w:id="18" w:name="_Toc18073"/>
      <w:bookmarkStart w:id="19" w:name="_Toc28297"/>
      <w:r>
        <w:rPr>
          <w:rFonts w:hint="eastAsia" w:ascii="黑体" w:hAnsi="黑体" w:eastAsia="黑体"/>
          <w:b/>
          <w:bCs/>
          <w:color w:val="auto"/>
          <w:sz w:val="32"/>
          <w:szCs w:val="32"/>
          <w:highlight w:val="none"/>
        </w:rPr>
        <w:t xml:space="preserve">第二章  </w:t>
      </w:r>
      <w:bookmarkEnd w:id="18"/>
      <w:r>
        <w:rPr>
          <w:rFonts w:hint="eastAsia" w:ascii="黑体" w:hAnsi="黑体" w:eastAsia="黑体"/>
          <w:b/>
          <w:bCs/>
          <w:color w:val="auto"/>
          <w:sz w:val="32"/>
          <w:szCs w:val="32"/>
          <w:highlight w:val="none"/>
          <w:lang w:val="en-US" w:eastAsia="zh-CN"/>
        </w:rPr>
        <w:t>总体思路</w:t>
      </w:r>
      <w:bookmarkEnd w:id="19"/>
    </w:p>
    <w:p w14:paraId="284120B2">
      <w:pPr>
        <w:snapToGrid w:val="0"/>
        <w:spacing w:before="312" w:beforeLines="100" w:line="360" w:lineRule="auto"/>
        <w:ind w:firstLine="640" w:firstLineChars="200"/>
        <w:outlineLvl w:val="1"/>
        <w:rPr>
          <w:rFonts w:hint="eastAsia" w:ascii="黑体" w:hAnsi="黑体" w:eastAsia="黑体" w:cs="黑体"/>
          <w:color w:val="auto"/>
          <w:sz w:val="32"/>
          <w:szCs w:val="32"/>
          <w:highlight w:val="none"/>
        </w:rPr>
      </w:pPr>
      <w:bookmarkStart w:id="20" w:name="_Toc12281"/>
      <w:bookmarkStart w:id="21" w:name="_Toc18573"/>
      <w:r>
        <w:rPr>
          <w:rFonts w:hint="eastAsia" w:ascii="黑体" w:hAnsi="黑体" w:eastAsia="黑体" w:cs="黑体"/>
          <w:color w:val="auto"/>
          <w:sz w:val="32"/>
          <w:szCs w:val="32"/>
          <w:highlight w:val="none"/>
        </w:rPr>
        <w:t>一、指导思想</w:t>
      </w:r>
      <w:bookmarkEnd w:id="20"/>
      <w:bookmarkEnd w:id="21"/>
    </w:p>
    <w:p w14:paraId="5D7717A3">
      <w:pPr>
        <w:pStyle w:val="7"/>
        <w:spacing w:after="0" w:line="360" w:lineRule="auto"/>
        <w:ind w:firstLine="641"/>
        <w:rPr>
          <w:rFonts w:hint="eastAsia" w:eastAsia="仿宋_GB2312" w:cs="仿宋_GB2312" w:asciiTheme="minorEastAsia" w:hAnsiTheme="minorEastAsia"/>
          <w:color w:val="auto"/>
          <w:sz w:val="32"/>
          <w:szCs w:val="32"/>
          <w:highlight w:val="none"/>
        </w:rPr>
      </w:pPr>
      <w:r>
        <w:rPr>
          <w:rFonts w:hint="eastAsia" w:eastAsia="仿宋_GB2312" w:cs="仿宋_GB2312" w:asciiTheme="minorEastAsia" w:hAnsiTheme="minorEastAsia"/>
          <w:color w:val="auto"/>
          <w:sz w:val="32"/>
          <w:szCs w:val="32"/>
          <w:highlight w:val="none"/>
        </w:rPr>
        <w:t>坚持以习近平新时代中国特色社会主义思想为根本遵循，全面贯彻党的二十大</w:t>
      </w:r>
      <w:r>
        <w:rPr>
          <w:rFonts w:hint="eastAsia" w:eastAsia="仿宋_GB2312" w:cs="仿宋_GB2312" w:asciiTheme="minorEastAsia" w:hAnsiTheme="minorEastAsia"/>
          <w:color w:val="auto"/>
          <w:sz w:val="32"/>
          <w:szCs w:val="32"/>
          <w:highlight w:val="none"/>
          <w:lang w:eastAsia="zh-CN"/>
        </w:rPr>
        <w:t>和</w:t>
      </w:r>
      <w:r>
        <w:rPr>
          <w:rFonts w:hint="eastAsia" w:eastAsia="仿宋_GB2312" w:cs="仿宋_GB2312" w:asciiTheme="minorEastAsia" w:hAnsiTheme="minorEastAsia"/>
          <w:color w:val="auto"/>
          <w:sz w:val="32"/>
          <w:szCs w:val="32"/>
          <w:highlight w:val="none"/>
        </w:rPr>
        <w:t>二十届</w:t>
      </w:r>
      <w:r>
        <w:rPr>
          <w:rFonts w:hint="eastAsia" w:eastAsia="仿宋_GB2312" w:cs="仿宋_GB2312" w:asciiTheme="minorEastAsia" w:hAnsiTheme="minorEastAsia"/>
          <w:color w:val="auto"/>
          <w:sz w:val="32"/>
          <w:szCs w:val="32"/>
          <w:highlight w:val="none"/>
          <w:lang w:val="en-US" w:eastAsia="zh-CN"/>
        </w:rPr>
        <w:t>历次</w:t>
      </w:r>
      <w:r>
        <w:rPr>
          <w:rFonts w:hint="eastAsia" w:eastAsia="仿宋_GB2312" w:cs="仿宋_GB2312" w:asciiTheme="minorEastAsia" w:hAnsiTheme="minorEastAsia"/>
          <w:color w:val="auto"/>
          <w:sz w:val="32"/>
          <w:szCs w:val="32"/>
          <w:highlight w:val="none"/>
        </w:rPr>
        <w:t>全会精神，严格落实</w:t>
      </w:r>
      <w:r>
        <w:rPr>
          <w:rFonts w:hint="eastAsia" w:eastAsia="仿宋_GB2312" w:cs="仿宋_GB2312" w:asciiTheme="minorEastAsia" w:hAnsiTheme="minorEastAsia"/>
          <w:color w:val="auto"/>
          <w:sz w:val="32"/>
          <w:szCs w:val="32"/>
          <w:highlight w:val="none"/>
          <w:lang w:val="en-US" w:eastAsia="zh-CN"/>
        </w:rPr>
        <w:t>湖北</w:t>
      </w:r>
      <w:r>
        <w:rPr>
          <w:rFonts w:hint="eastAsia" w:eastAsia="仿宋_GB2312" w:cs="仿宋_GB2312" w:asciiTheme="minorEastAsia" w:hAnsiTheme="minorEastAsia"/>
          <w:color w:val="auto"/>
          <w:sz w:val="32"/>
          <w:szCs w:val="32"/>
          <w:highlight w:val="none"/>
        </w:rPr>
        <w:t>省委省政府、潜江市委市政府各项工作部署，深入践行习近平总书记关于全面深化改革、民政工作的重要论述和视察湖北重要讲话精神，对标全国、全省民政工作会议部署要求，牢牢把握以人民为中心的发展思想，坚持稳中求进工作总基调，紧扣高质量发展主题，聚焦服务中国式现代化建设主线，锚定保障民生、增进福祉、促进共同富裕核心目标，以全面深化民政改革为强大动力，树牢系统思维、坚守底线原则，立足民政在社会建设中的兜底性、基础性职能定位，扎实履行基本民生保障、基层社会治理、基本社会服务核心职责，全力推进民政工作提质增效、转型升级，不断提升民政服务保障能力与水平，切实维护社会公平正义，为谱写中国式现代化湖北潜江篇章筑牢民生保障根基。</w:t>
      </w:r>
    </w:p>
    <w:p w14:paraId="3B967A73">
      <w:pPr>
        <w:snapToGrid w:val="0"/>
        <w:spacing w:before="312" w:beforeLines="100" w:line="360" w:lineRule="auto"/>
        <w:ind w:firstLine="640" w:firstLineChars="200"/>
        <w:outlineLvl w:val="1"/>
        <w:rPr>
          <w:rFonts w:hint="eastAsia" w:ascii="黑体" w:hAnsi="黑体" w:eastAsia="黑体" w:cs="黑体"/>
          <w:color w:val="auto"/>
          <w:sz w:val="32"/>
          <w:szCs w:val="32"/>
          <w:highlight w:val="none"/>
        </w:rPr>
      </w:pPr>
      <w:bookmarkStart w:id="22" w:name="_Toc12298"/>
      <w:bookmarkStart w:id="23" w:name="_Toc23143"/>
      <w:r>
        <w:rPr>
          <w:rFonts w:hint="eastAsia" w:ascii="黑体" w:hAnsi="黑体" w:eastAsia="黑体" w:cs="黑体"/>
          <w:color w:val="auto"/>
          <w:sz w:val="32"/>
          <w:szCs w:val="32"/>
          <w:highlight w:val="none"/>
        </w:rPr>
        <w:t>二、基本原则</w:t>
      </w:r>
      <w:bookmarkEnd w:id="22"/>
      <w:bookmarkEnd w:id="23"/>
    </w:p>
    <w:p w14:paraId="60D90627">
      <w:pPr>
        <w:snapToGrid w:val="0"/>
        <w:spacing w:before="156" w:beforeLines="50" w:line="360" w:lineRule="auto"/>
        <w:ind w:firstLine="640" w:firstLineChars="200"/>
        <w:rPr>
          <w:rFonts w:eastAsia="仿宋_GB2312" w:cs="仿宋_GB2312" w:asciiTheme="minorEastAsia" w:hAnsiTheme="minorEastAsia"/>
          <w:color w:val="auto"/>
          <w:sz w:val="32"/>
          <w:szCs w:val="32"/>
          <w:highlight w:val="none"/>
        </w:rPr>
      </w:pPr>
      <w:r>
        <w:rPr>
          <w:rFonts w:hint="eastAsia" w:ascii="华文中宋" w:hAnsi="华文中宋" w:eastAsia="华文中宋" w:cs="华文中宋"/>
          <w:color w:val="auto"/>
          <w:sz w:val="32"/>
          <w:szCs w:val="32"/>
          <w:highlight w:val="none"/>
        </w:rPr>
        <w:t>——坚持党建引领、民生为本。</w:t>
      </w:r>
      <w:r>
        <w:rPr>
          <w:rFonts w:hint="eastAsia" w:eastAsia="仿宋_GB2312" w:cs="仿宋_GB2312" w:asciiTheme="minorEastAsia" w:hAnsiTheme="minorEastAsia"/>
          <w:color w:val="auto"/>
          <w:sz w:val="32"/>
          <w:szCs w:val="32"/>
          <w:highlight w:val="none"/>
        </w:rPr>
        <w:t>坚持和加强党的全面领导，坚定拥护“两个确立”、坚决做到“两个维护”，</w:t>
      </w:r>
      <w:r>
        <w:rPr>
          <w:rFonts w:eastAsia="仿宋_GB2312" w:cs="仿宋_GB2312" w:asciiTheme="minorEastAsia" w:hAnsiTheme="minorEastAsia"/>
          <w:color w:val="auto"/>
          <w:sz w:val="32"/>
          <w:szCs w:val="32"/>
          <w:highlight w:val="none"/>
        </w:rPr>
        <w:t>把党的领导贯穿到民政事业发展和改革全过程</w:t>
      </w:r>
      <w:r>
        <w:rPr>
          <w:rFonts w:hint="eastAsia" w:eastAsia="仿宋_GB2312" w:cs="仿宋_GB2312" w:asciiTheme="minorEastAsia" w:hAnsiTheme="minorEastAsia"/>
          <w:color w:val="auto"/>
          <w:sz w:val="32"/>
          <w:szCs w:val="32"/>
          <w:highlight w:val="none"/>
        </w:rPr>
        <w:t>。以习近平总书记重要论述精神作为新时代民政工作的根本遵循，把党的路线方针政策转化为民政事业改革发展实际成效。坚持人民</w:t>
      </w:r>
      <w:r>
        <w:rPr>
          <w:rFonts w:hint="eastAsia" w:eastAsia="仿宋_GB2312" w:cs="仿宋_GB2312" w:asciiTheme="minorEastAsia" w:hAnsiTheme="minorEastAsia"/>
          <w:color w:val="auto"/>
          <w:sz w:val="32"/>
          <w:szCs w:val="32"/>
          <w:highlight w:val="none"/>
          <w:lang w:val="en-US" w:eastAsia="zh-CN"/>
        </w:rPr>
        <w:t>至上</w:t>
      </w:r>
      <w:r>
        <w:rPr>
          <w:rFonts w:hint="eastAsia" w:eastAsia="仿宋_GB2312" w:cs="仿宋_GB2312" w:asciiTheme="minorEastAsia" w:hAnsiTheme="minorEastAsia"/>
          <w:color w:val="auto"/>
          <w:sz w:val="32"/>
          <w:szCs w:val="32"/>
          <w:highlight w:val="none"/>
        </w:rPr>
        <w:t>，把增进民生福祉、提高人民生活品质作为推进民政事业的出发点和落脚点。</w:t>
      </w:r>
    </w:p>
    <w:p w14:paraId="299D3FC1">
      <w:pPr>
        <w:spacing w:before="156" w:beforeLines="50" w:line="360" w:lineRule="auto"/>
        <w:ind w:firstLine="640" w:firstLineChars="200"/>
        <w:rPr>
          <w:rFonts w:hint="eastAsia" w:ascii="华文中宋" w:hAnsi="华文中宋" w:eastAsia="华文中宋" w:cs="华文中宋"/>
          <w:color w:val="auto"/>
          <w:sz w:val="32"/>
          <w:szCs w:val="32"/>
          <w:highlight w:val="none"/>
        </w:rPr>
      </w:pPr>
      <w:r>
        <w:rPr>
          <w:rFonts w:hint="eastAsia" w:ascii="华文中宋" w:hAnsi="华文中宋" w:eastAsia="华文中宋" w:cs="华文中宋"/>
          <w:color w:val="auto"/>
          <w:sz w:val="32"/>
          <w:szCs w:val="32"/>
          <w:highlight w:val="none"/>
        </w:rPr>
        <w:t>——坚持质量优先、适度普惠。</w:t>
      </w:r>
      <w:r>
        <w:rPr>
          <w:rFonts w:hint="eastAsia" w:eastAsia="仿宋_GB2312" w:cs="仿宋_GB2312" w:asciiTheme="minorEastAsia" w:hAnsiTheme="minorEastAsia"/>
          <w:color w:val="auto"/>
          <w:sz w:val="32"/>
          <w:szCs w:val="32"/>
          <w:highlight w:val="none"/>
        </w:rPr>
        <w:t>统筹群众需求和财力实际，尽力而为、量力而行，更好发挥政府在民政事业中的主导作用，引导市场、社会、公众协同发力，构建多元主体合作共治的民政服务体系，</w:t>
      </w:r>
      <w:r>
        <w:rPr>
          <w:rFonts w:eastAsia="仿宋_GB2312" w:cs="仿宋_GB2312" w:asciiTheme="minorEastAsia" w:hAnsiTheme="minorEastAsia"/>
          <w:color w:val="auto"/>
          <w:sz w:val="32"/>
          <w:szCs w:val="32"/>
          <w:highlight w:val="none"/>
        </w:rPr>
        <w:t>形成强大供给合力。</w:t>
      </w:r>
      <w:r>
        <w:rPr>
          <w:rFonts w:hint="eastAsia" w:eastAsia="仿宋_GB2312" w:cs="仿宋_GB2312" w:asciiTheme="minorEastAsia" w:hAnsiTheme="minorEastAsia"/>
          <w:color w:val="auto"/>
          <w:sz w:val="32"/>
          <w:szCs w:val="32"/>
          <w:highlight w:val="none"/>
        </w:rPr>
        <w:t>进一步拓宽民政服务范围、丰富服务内容、优化服务标准，让发展成果更多更公平惠及人民群众。</w:t>
      </w:r>
    </w:p>
    <w:p w14:paraId="5D70CD17">
      <w:pPr>
        <w:spacing w:before="156" w:beforeLines="50" w:line="360" w:lineRule="auto"/>
        <w:ind w:firstLine="640" w:firstLineChars="200"/>
        <w:rPr>
          <w:rFonts w:eastAsia="仿宋_GB2312" w:cs="仿宋_GB2312" w:asciiTheme="minorEastAsia" w:hAnsiTheme="minorEastAsia"/>
          <w:color w:val="auto"/>
          <w:sz w:val="32"/>
          <w:szCs w:val="32"/>
          <w:highlight w:val="none"/>
        </w:rPr>
      </w:pPr>
      <w:r>
        <w:rPr>
          <w:rFonts w:hint="eastAsia" w:ascii="华文中宋" w:hAnsi="华文中宋" w:eastAsia="华文中宋" w:cs="华文中宋"/>
          <w:color w:val="auto"/>
          <w:sz w:val="32"/>
          <w:szCs w:val="32"/>
          <w:highlight w:val="none"/>
        </w:rPr>
        <w:t>——坚持数字赋能、提质增效。</w:t>
      </w:r>
      <w:r>
        <w:rPr>
          <w:rFonts w:hint="eastAsia" w:eastAsia="仿宋_GB2312" w:cs="仿宋_GB2312" w:asciiTheme="minorEastAsia" w:hAnsiTheme="minorEastAsia"/>
          <w:color w:val="auto"/>
          <w:sz w:val="32"/>
          <w:szCs w:val="32"/>
          <w:highlight w:val="none"/>
        </w:rPr>
        <w:t>以</w:t>
      </w:r>
      <w:r>
        <w:rPr>
          <w:rFonts w:eastAsia="仿宋_GB2312" w:cs="仿宋_GB2312" w:asciiTheme="minorEastAsia" w:hAnsiTheme="minorEastAsia"/>
          <w:color w:val="auto"/>
          <w:sz w:val="32"/>
          <w:szCs w:val="32"/>
          <w:highlight w:val="none"/>
        </w:rPr>
        <w:t>数字化改革为引领，</w:t>
      </w:r>
      <w:r>
        <w:rPr>
          <w:rFonts w:hint="eastAsia" w:eastAsia="仿宋_GB2312" w:cs="仿宋_GB2312" w:asciiTheme="minorEastAsia" w:hAnsiTheme="minorEastAsia"/>
          <w:color w:val="auto"/>
          <w:sz w:val="32"/>
          <w:szCs w:val="32"/>
          <w:highlight w:val="none"/>
        </w:rPr>
        <w:t>坚持整体协同、安全可控，健全完善协同高效的民政数字化履职能力体系、科学规范的民政数字政府建设规则体系、开放共享的民政数据资源体系、智能集约的民政平台支撑体系、民政数字政府全方位安全保障体系，助推基本民生保障精准化、基层社会治理精细化、基本社会服务便捷化，实现民政服务的提质增效和可持续发展。</w:t>
      </w:r>
    </w:p>
    <w:p w14:paraId="58AC5079">
      <w:pPr>
        <w:spacing w:before="156" w:beforeLines="50" w:line="360" w:lineRule="auto"/>
        <w:ind w:firstLine="640" w:firstLineChars="200"/>
        <w:rPr>
          <w:rFonts w:hint="eastAsia" w:eastAsia="仿宋_GB2312" w:cs="仿宋_GB2312" w:asciiTheme="minorEastAsia" w:hAnsiTheme="minorEastAsia"/>
          <w:color w:val="auto"/>
          <w:sz w:val="32"/>
          <w:szCs w:val="32"/>
          <w:highlight w:val="none"/>
        </w:rPr>
      </w:pPr>
      <w:bookmarkStart w:id="24" w:name="OLE_LINK6"/>
      <w:r>
        <w:rPr>
          <w:rFonts w:hint="eastAsia" w:ascii="华文中宋" w:hAnsi="华文中宋" w:eastAsia="华文中宋" w:cs="华文中宋"/>
          <w:color w:val="auto"/>
          <w:sz w:val="32"/>
          <w:szCs w:val="32"/>
          <w:highlight w:val="none"/>
        </w:rPr>
        <w:t>——坚持深化改革、创新发展。</w:t>
      </w:r>
      <w:r>
        <w:rPr>
          <w:rFonts w:hint="eastAsia" w:eastAsia="仿宋_GB2312" w:cs="仿宋_GB2312" w:asciiTheme="minorEastAsia" w:hAnsiTheme="minorEastAsia"/>
          <w:color w:val="auto"/>
          <w:sz w:val="32"/>
          <w:szCs w:val="32"/>
          <w:highlight w:val="none"/>
        </w:rPr>
        <w:t>深入贯彻落实党中央、国务院关于民生民政工作的决策部署以及省委、省政府、市委、市政府工作要求，主动对接全省加快建成中部地区崛起重要战略支点、锚定四化同步发展示范区建设等重大战略。坚持以改革创新为根本动力，聚焦人民群众急难愁盼问题，以改革思路和创新办法着力破解民政领域深层次体制机制障碍。强化法治化、标准化、信息化支撑，围绕国家、省、市关心的重点和群众关切的热点，优化政策措施，开展试点示范，持续改善民政服务供给方式和运行机制。总结推广农村福利院改革、困境儿童关爱服务试点、智慧救助等“潜江经验”，推动民政领域改革创新不断取得新突破，持续提升人民群众的获得感、幸福感、安全感</w:t>
      </w:r>
      <w:r>
        <w:rPr>
          <w:rFonts w:hint="eastAsia" w:eastAsia="仿宋_GB2312" w:cs="仿宋_GB2312" w:asciiTheme="minorEastAsia" w:hAnsiTheme="minorEastAsia"/>
          <w:color w:val="auto"/>
          <w:sz w:val="32"/>
          <w:szCs w:val="32"/>
          <w:highlight w:val="none"/>
          <w:lang w:eastAsia="zh-CN"/>
        </w:rPr>
        <w:t>。</w:t>
      </w:r>
    </w:p>
    <w:bookmarkEnd w:id="24"/>
    <w:p w14:paraId="1C75CA72">
      <w:pPr>
        <w:snapToGrid w:val="0"/>
        <w:spacing w:before="312" w:beforeLines="100" w:line="360" w:lineRule="auto"/>
        <w:ind w:firstLine="640" w:firstLineChars="200"/>
        <w:outlineLvl w:val="1"/>
        <w:rPr>
          <w:rFonts w:hint="eastAsia" w:ascii="黑体" w:hAnsi="黑体" w:eastAsia="黑体" w:cs="黑体"/>
          <w:color w:val="auto"/>
          <w:sz w:val="32"/>
          <w:szCs w:val="32"/>
          <w:highlight w:val="none"/>
          <w:lang w:eastAsia="zh-CN"/>
        </w:rPr>
      </w:pPr>
      <w:bookmarkStart w:id="25" w:name="_Toc15913"/>
      <w:bookmarkStart w:id="26" w:name="_Toc24483"/>
      <w:r>
        <w:rPr>
          <w:rFonts w:hint="eastAsia" w:ascii="黑体" w:hAnsi="黑体" w:eastAsia="黑体" w:cs="黑体"/>
          <w:color w:val="auto"/>
          <w:sz w:val="32"/>
          <w:szCs w:val="32"/>
          <w:highlight w:val="none"/>
        </w:rPr>
        <w:t>三、发展目标</w:t>
      </w:r>
      <w:bookmarkEnd w:id="25"/>
      <w:bookmarkEnd w:id="26"/>
    </w:p>
    <w:p w14:paraId="138E732E">
      <w:pPr>
        <w:spacing w:before="156" w:beforeLines="50" w:line="360" w:lineRule="auto"/>
        <w:ind w:firstLine="640" w:firstLineChars="200"/>
        <w:rPr>
          <w:rFonts w:hint="eastAsia" w:eastAsia="仿宋_GB2312" w:cs="仿宋_GB2312" w:asciiTheme="minorEastAsia" w:hAnsiTheme="minorEastAsia"/>
          <w:color w:val="auto"/>
          <w:sz w:val="32"/>
          <w:szCs w:val="32"/>
          <w:highlight w:val="none"/>
        </w:rPr>
      </w:pPr>
      <w:r>
        <w:rPr>
          <w:rFonts w:hint="eastAsia" w:eastAsia="仿宋_GB2312" w:cs="仿宋_GB2312" w:asciiTheme="minorEastAsia" w:hAnsiTheme="minorEastAsia"/>
          <w:color w:val="auto"/>
          <w:sz w:val="32"/>
          <w:szCs w:val="32"/>
          <w:highlight w:val="none"/>
        </w:rPr>
        <w:t>锚定2035年民政事业远景目标，到2030年，</w:t>
      </w:r>
      <w:r>
        <w:rPr>
          <w:rFonts w:hint="eastAsia" w:eastAsia="仿宋_GB2312" w:cs="仿宋_GB2312" w:asciiTheme="minorEastAsia" w:hAnsiTheme="minorEastAsia"/>
          <w:color w:val="auto"/>
          <w:sz w:val="32"/>
          <w:szCs w:val="32"/>
          <w:highlight w:val="none"/>
          <w:lang w:eastAsia="zh-CN"/>
        </w:rPr>
        <w:t>全市</w:t>
      </w:r>
      <w:r>
        <w:rPr>
          <w:rFonts w:hint="eastAsia" w:eastAsia="仿宋_GB2312" w:cs="仿宋_GB2312" w:asciiTheme="minorEastAsia" w:hAnsiTheme="minorEastAsia"/>
          <w:color w:val="auto"/>
          <w:sz w:val="32"/>
          <w:szCs w:val="32"/>
          <w:highlight w:val="none"/>
        </w:rPr>
        <w:t>民政系统党的建设全面加强，政策制度体系更加成熟完善</w:t>
      </w:r>
      <w:r>
        <w:rPr>
          <w:rFonts w:hint="eastAsia" w:eastAsia="仿宋_GB2312" w:cs="仿宋_GB2312" w:asciiTheme="minorEastAsia" w:hAnsiTheme="minorEastAsia"/>
          <w:color w:val="auto"/>
          <w:sz w:val="32"/>
          <w:szCs w:val="32"/>
          <w:highlight w:val="none"/>
          <w:lang w:eastAsia="zh-CN"/>
        </w:rPr>
        <w:t>，</w:t>
      </w:r>
      <w:r>
        <w:rPr>
          <w:rFonts w:hint="eastAsia" w:eastAsia="仿宋_GB2312" w:cs="仿宋_GB2312" w:asciiTheme="minorEastAsia" w:hAnsiTheme="minorEastAsia"/>
          <w:color w:val="auto"/>
          <w:sz w:val="32"/>
          <w:szCs w:val="32"/>
          <w:highlight w:val="none"/>
        </w:rPr>
        <w:t>基本民生保障机制更加坚实有力，基本社会服务更加均等可及，</w:t>
      </w:r>
      <w:r>
        <w:rPr>
          <w:rFonts w:hint="eastAsia" w:eastAsia="仿宋_GB2312" w:cs="仿宋_GB2312" w:asciiTheme="minorEastAsia" w:hAnsiTheme="minorEastAsia"/>
          <w:color w:val="auto"/>
          <w:sz w:val="32"/>
          <w:szCs w:val="32"/>
          <w:highlight w:val="none"/>
          <w:lang w:eastAsia="zh-CN"/>
        </w:rPr>
        <w:t>基本</w:t>
      </w:r>
      <w:r>
        <w:rPr>
          <w:rFonts w:hint="eastAsia" w:eastAsia="仿宋_GB2312" w:cs="仿宋_GB2312" w:asciiTheme="minorEastAsia" w:hAnsiTheme="minorEastAsia"/>
          <w:color w:val="auto"/>
          <w:sz w:val="32"/>
          <w:szCs w:val="32"/>
          <w:highlight w:val="none"/>
        </w:rPr>
        <w:t>社会治理更加规范有序，人民群众享有更高质量的公共服务，民政事业现代化建设、高质量发展取得实质性进展。</w:t>
      </w:r>
    </w:p>
    <w:p w14:paraId="46AC858D">
      <w:pPr>
        <w:spacing w:before="156" w:beforeLines="50" w:line="360" w:lineRule="auto"/>
        <w:ind w:firstLine="643" w:firstLineChars="200"/>
        <w:rPr>
          <w:rFonts w:hint="eastAsia" w:eastAsia="仿宋_GB2312" w:cs="仿宋_GB2312" w:asciiTheme="minorEastAsia" w:hAnsiTheme="minorEastAsia"/>
          <w:color w:val="auto"/>
          <w:sz w:val="32"/>
          <w:szCs w:val="32"/>
          <w:highlight w:val="none"/>
        </w:rPr>
      </w:pPr>
      <w:r>
        <w:rPr>
          <w:rFonts w:hint="eastAsia" w:ascii="楷体" w:hAnsi="楷体" w:eastAsia="楷体" w:cs="楷体"/>
          <w:b/>
          <w:bCs/>
          <w:color w:val="auto"/>
          <w:kern w:val="2"/>
          <w:sz w:val="32"/>
          <w:szCs w:val="32"/>
          <w:highlight w:val="none"/>
          <w:lang w:val="en-US" w:eastAsia="zh-CN" w:bidi="ar-SA"/>
        </w:rPr>
        <w:t>——老龄和养老服务更加优质均衡。</w:t>
      </w:r>
      <w:r>
        <w:rPr>
          <w:rFonts w:hint="eastAsia" w:eastAsia="仿宋_GB2312" w:cs="仿宋_GB2312" w:asciiTheme="minorEastAsia" w:hAnsiTheme="minorEastAsia"/>
          <w:color w:val="auto"/>
          <w:sz w:val="32"/>
          <w:szCs w:val="32"/>
          <w:highlight w:val="none"/>
        </w:rPr>
        <w:t>多元协同的老龄工作体系更加完善，银发经济与老年友好型社会建设取得实质性进展。以居家为基础、社区为依托、机构为专业支撑、医养相结合的养老服务供给体系更加优化，三级养老服务网络基本建成，养老服务事业和产业发展活力进一步激发。</w:t>
      </w:r>
    </w:p>
    <w:p w14:paraId="6A7B1EC3">
      <w:pPr>
        <w:spacing w:before="156" w:beforeLines="50" w:line="360" w:lineRule="auto"/>
        <w:ind w:firstLine="643" w:firstLineChars="200"/>
        <w:rPr>
          <w:rFonts w:hint="eastAsia" w:eastAsia="仿宋_GB2312" w:cs="仿宋_GB2312" w:asciiTheme="minorEastAsia" w:hAnsiTheme="minorEastAsia"/>
          <w:color w:val="auto"/>
          <w:sz w:val="32"/>
          <w:szCs w:val="32"/>
          <w:highlight w:val="none"/>
        </w:rPr>
      </w:pPr>
      <w:r>
        <w:rPr>
          <w:rFonts w:hint="eastAsia" w:ascii="楷体" w:hAnsi="楷体" w:eastAsia="楷体" w:cs="楷体"/>
          <w:b/>
          <w:bCs/>
          <w:color w:val="auto"/>
          <w:kern w:val="2"/>
          <w:sz w:val="32"/>
          <w:szCs w:val="32"/>
          <w:highlight w:val="none"/>
          <w:lang w:val="en-US" w:eastAsia="zh-CN" w:bidi="ar-SA"/>
        </w:rPr>
        <w:t>——社会救助更加精准有力。</w:t>
      </w:r>
      <w:r>
        <w:rPr>
          <w:rFonts w:hint="eastAsia" w:eastAsia="仿宋_GB2312" w:cs="仿宋_GB2312" w:asciiTheme="minorEastAsia" w:hAnsiTheme="minorEastAsia"/>
          <w:color w:val="auto"/>
          <w:sz w:val="32"/>
          <w:szCs w:val="32"/>
          <w:highlight w:val="none"/>
        </w:rPr>
        <w:t>分层分类、城乡统筹的综合社会救助体系更加健全。困难群众主动发现机制全面建立，实现“应保尽保、应救尽救”。社会救助资源进一步统筹、服务能力进一步提升，兜底保障安全网织得更密更牢。</w:t>
      </w:r>
    </w:p>
    <w:p w14:paraId="5705D238">
      <w:pPr>
        <w:spacing w:before="156" w:beforeLines="50" w:line="360" w:lineRule="auto"/>
        <w:ind w:firstLine="643" w:firstLineChars="200"/>
        <w:rPr>
          <w:rFonts w:hint="eastAsia" w:eastAsia="仿宋_GB2312" w:cs="仿宋_GB2312" w:asciiTheme="minorEastAsia" w:hAnsiTheme="minorEastAsia"/>
          <w:color w:val="auto"/>
          <w:sz w:val="32"/>
          <w:szCs w:val="32"/>
          <w:highlight w:val="none"/>
        </w:rPr>
      </w:pPr>
      <w:r>
        <w:rPr>
          <w:rFonts w:hint="eastAsia" w:ascii="楷体" w:hAnsi="楷体" w:eastAsia="楷体" w:cs="楷体"/>
          <w:b/>
          <w:bCs/>
          <w:color w:val="auto"/>
          <w:kern w:val="2"/>
          <w:sz w:val="32"/>
          <w:szCs w:val="32"/>
          <w:highlight w:val="none"/>
          <w:lang w:val="en-US" w:eastAsia="zh-CN" w:bidi="ar-SA"/>
        </w:rPr>
        <w:t>——社会福利更加均等普惠。</w:t>
      </w:r>
      <w:r>
        <w:rPr>
          <w:rFonts w:hint="eastAsia" w:eastAsia="仿宋_GB2312" w:cs="仿宋_GB2312" w:asciiTheme="minorEastAsia" w:hAnsiTheme="minorEastAsia"/>
          <w:color w:val="auto"/>
          <w:sz w:val="32"/>
          <w:szCs w:val="32"/>
          <w:highlight w:val="none"/>
        </w:rPr>
        <w:t>推动社会福利从“基础保障”向“品质提升”转型。儿童福利和权益保障更加精准高效，老年福利公平可及、全民共享，残疾人福利政策体系更加完善。</w:t>
      </w:r>
    </w:p>
    <w:p w14:paraId="54F9C7F2">
      <w:pPr>
        <w:spacing w:before="156" w:beforeLines="50" w:line="360" w:lineRule="auto"/>
        <w:ind w:firstLine="643" w:firstLineChars="200"/>
        <w:rPr>
          <w:rFonts w:hint="eastAsia" w:eastAsia="仿宋_GB2312" w:cs="仿宋_GB2312" w:asciiTheme="minorEastAsia" w:hAnsiTheme="minorEastAsia"/>
          <w:color w:val="auto"/>
          <w:sz w:val="32"/>
          <w:szCs w:val="32"/>
          <w:highlight w:val="none"/>
        </w:rPr>
      </w:pPr>
      <w:r>
        <w:rPr>
          <w:rFonts w:hint="eastAsia" w:ascii="楷体" w:hAnsi="楷体" w:eastAsia="楷体" w:cs="楷体"/>
          <w:b/>
          <w:bCs/>
          <w:color w:val="auto"/>
          <w:kern w:val="2"/>
          <w:sz w:val="32"/>
          <w:szCs w:val="32"/>
          <w:highlight w:val="none"/>
          <w:lang w:val="en-US" w:eastAsia="zh-CN" w:bidi="ar-SA"/>
        </w:rPr>
        <w:t>——社会事务更加规范高效。</w:t>
      </w:r>
      <w:r>
        <w:rPr>
          <w:rFonts w:hint="eastAsia" w:eastAsia="仿宋_GB2312" w:cs="仿宋_GB2312" w:asciiTheme="minorEastAsia" w:hAnsiTheme="minorEastAsia"/>
          <w:color w:val="auto"/>
          <w:sz w:val="32"/>
          <w:szCs w:val="32"/>
          <w:highlight w:val="none"/>
        </w:rPr>
        <w:t>与人民群众美好生活需要相衔接的民政社会事务管理服务体系全面建立。婚姻、殡葬等服务管理更加科学有效，健康文明的婚丧风尚进一步树立，流浪乞讨人员救助管理质量进一步提升，人民群众的精细化、个性化、多样化诉求得到充分响应。</w:t>
      </w:r>
    </w:p>
    <w:p w14:paraId="50B6FA2D">
      <w:pPr>
        <w:spacing w:before="156" w:beforeLines="50" w:line="360" w:lineRule="auto"/>
        <w:ind w:firstLine="643" w:firstLineChars="200"/>
        <w:rPr>
          <w:rFonts w:hint="eastAsia" w:eastAsia="仿宋_GB2312" w:cs="仿宋_GB2312" w:asciiTheme="minorEastAsia" w:hAnsiTheme="minorEastAsia"/>
          <w:color w:val="auto"/>
          <w:sz w:val="32"/>
          <w:szCs w:val="32"/>
          <w:highlight w:val="none"/>
        </w:rPr>
      </w:pPr>
      <w:r>
        <w:rPr>
          <w:rFonts w:hint="eastAsia" w:ascii="楷体" w:hAnsi="楷体" w:eastAsia="楷体" w:cs="楷体"/>
          <w:b/>
          <w:bCs/>
          <w:color w:val="auto"/>
          <w:kern w:val="2"/>
          <w:sz w:val="32"/>
          <w:szCs w:val="32"/>
          <w:highlight w:val="none"/>
          <w:lang w:val="en-US" w:eastAsia="zh-CN" w:bidi="ar-SA"/>
        </w:rPr>
        <w:t>——社会治理更加平稳有序。</w:t>
      </w:r>
      <w:r>
        <w:rPr>
          <w:rFonts w:hint="eastAsia" w:eastAsia="仿宋_GB2312" w:cs="仿宋_GB2312" w:asciiTheme="minorEastAsia" w:hAnsiTheme="minorEastAsia"/>
          <w:color w:val="auto"/>
          <w:sz w:val="32"/>
          <w:szCs w:val="32"/>
          <w:highlight w:val="none"/>
        </w:rPr>
        <w:t>社会组织参与社会治理的机制和渠道更加健全。慈善事业的第三次分配作用更加凸显，“人人慈善”的氛围更加浓厚。行政区划和地名管理工作在推进区域协调发展、新型城镇化建设中的功能进一步强化。</w:t>
      </w:r>
    </w:p>
    <w:p w14:paraId="56A142E3">
      <w:pPr>
        <w:rPr>
          <w:rFonts w:hint="eastAsia" w:eastAsia="仿宋_GB2312" w:cs="仿宋_GB2312" w:asciiTheme="minorEastAsia" w:hAnsiTheme="minorEastAsia"/>
          <w:color w:val="auto"/>
          <w:sz w:val="32"/>
          <w:szCs w:val="32"/>
          <w:highlight w:val="none"/>
        </w:rPr>
      </w:pPr>
      <w:r>
        <w:rPr>
          <w:rFonts w:hint="eastAsia" w:eastAsia="仿宋_GB2312" w:cs="仿宋_GB2312" w:asciiTheme="minorEastAsia" w:hAnsiTheme="minorEastAsia"/>
          <w:color w:val="auto"/>
          <w:sz w:val="32"/>
          <w:szCs w:val="32"/>
          <w:highlight w:val="none"/>
        </w:rPr>
        <w:br w:type="page"/>
      </w:r>
    </w:p>
    <w:p w14:paraId="739A6B46">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1"/>
        <w:jc w:val="center"/>
        <w:textAlignment w:val="auto"/>
        <w:rPr>
          <w:rFonts w:hint="eastAsia" w:ascii="宋体" w:hAnsi="宋体" w:eastAsia="宋体" w:cs="宋体"/>
          <w:b/>
          <w:bCs/>
          <w:color w:val="auto"/>
          <w:sz w:val="30"/>
          <w:szCs w:val="30"/>
          <w:highlight w:val="none"/>
          <w:lang w:eastAsia="zh-CN"/>
        </w:rPr>
      </w:pPr>
      <w:bookmarkStart w:id="27" w:name="_Toc22981"/>
      <w:r>
        <w:rPr>
          <w:rFonts w:hint="eastAsia" w:ascii="宋体" w:hAnsi="宋体" w:eastAsia="宋体" w:cs="宋体"/>
          <w:b/>
          <w:bCs/>
          <w:color w:val="auto"/>
          <w:sz w:val="30"/>
          <w:szCs w:val="30"/>
          <w:highlight w:val="none"/>
        </w:rPr>
        <w:t>表</w:t>
      </w:r>
      <w:r>
        <w:rPr>
          <w:rFonts w:hint="eastAsia" w:ascii="宋体" w:hAnsi="宋体" w:eastAsia="宋体" w:cs="宋体"/>
          <w:b/>
          <w:bCs/>
          <w:color w:val="auto"/>
          <w:sz w:val="30"/>
          <w:szCs w:val="30"/>
          <w:highlight w:val="none"/>
          <w:lang w:val="en-US" w:eastAsia="zh-CN"/>
        </w:rPr>
        <w:t xml:space="preserve">2 </w:t>
      </w:r>
      <w:r>
        <w:rPr>
          <w:rFonts w:hint="eastAsia" w:ascii="宋体" w:hAnsi="宋体" w:eastAsia="宋体" w:cs="宋体"/>
          <w:b/>
          <w:bCs/>
          <w:color w:val="auto"/>
          <w:sz w:val="30"/>
          <w:szCs w:val="30"/>
          <w:highlight w:val="none"/>
        </w:rPr>
        <w:t>“十五五”</w:t>
      </w:r>
      <w:r>
        <w:rPr>
          <w:rFonts w:hint="eastAsia" w:ascii="宋体" w:hAnsi="宋体" w:eastAsia="宋体" w:cs="宋体"/>
          <w:b/>
          <w:bCs/>
          <w:color w:val="auto"/>
          <w:sz w:val="30"/>
          <w:szCs w:val="30"/>
          <w:highlight w:val="none"/>
          <w:lang w:val="en-US" w:eastAsia="zh-CN"/>
        </w:rPr>
        <w:t>潜江市</w:t>
      </w:r>
      <w:r>
        <w:rPr>
          <w:rFonts w:hint="eastAsia" w:ascii="宋体" w:hAnsi="宋体" w:eastAsia="宋体" w:cs="宋体"/>
          <w:b/>
          <w:bCs/>
          <w:color w:val="auto"/>
          <w:sz w:val="30"/>
          <w:szCs w:val="30"/>
          <w:highlight w:val="none"/>
          <w:lang w:eastAsia="zh-CN"/>
        </w:rPr>
        <w:t>民政事业主要发展</w:t>
      </w:r>
      <w:r>
        <w:rPr>
          <w:rFonts w:hint="eastAsia" w:ascii="宋体" w:hAnsi="宋体" w:eastAsia="宋体" w:cs="宋体"/>
          <w:b/>
          <w:bCs/>
          <w:color w:val="auto"/>
          <w:sz w:val="30"/>
          <w:szCs w:val="30"/>
          <w:highlight w:val="none"/>
        </w:rPr>
        <w:t>指标</w:t>
      </w:r>
    </w:p>
    <w:tbl>
      <w:tblPr>
        <w:tblStyle w:val="19"/>
        <w:tblW w:w="8719" w:type="dxa"/>
        <w:jc w:val="center"/>
        <w:tblLayout w:type="autofit"/>
        <w:tblCellMar>
          <w:top w:w="0" w:type="dxa"/>
          <w:left w:w="0" w:type="dxa"/>
          <w:bottom w:w="0" w:type="dxa"/>
          <w:right w:w="0" w:type="dxa"/>
        </w:tblCellMar>
      </w:tblPr>
      <w:tblGrid>
        <w:gridCol w:w="1078"/>
        <w:gridCol w:w="5022"/>
        <w:gridCol w:w="1643"/>
        <w:gridCol w:w="976"/>
      </w:tblGrid>
      <w:tr w14:paraId="23E8FCF8">
        <w:tblPrEx>
          <w:tblCellMar>
            <w:top w:w="0" w:type="dxa"/>
            <w:left w:w="0" w:type="dxa"/>
            <w:bottom w:w="0" w:type="dxa"/>
            <w:right w:w="0" w:type="dxa"/>
          </w:tblCellMar>
        </w:tblPrEx>
        <w:trPr>
          <w:trHeight w:val="420" w:hRule="atLeast"/>
          <w:tblHeader/>
          <w:jc w:val="center"/>
        </w:trPr>
        <w:tc>
          <w:tcPr>
            <w:tcW w:w="1078" w:type="dxa"/>
            <w:tcBorders>
              <w:top w:val="single" w:color="auto" w:sz="4" w:space="0"/>
              <w:left w:val="single" w:color="auto" w:sz="4" w:space="0"/>
              <w:bottom w:val="single" w:color="auto" w:sz="4" w:space="0"/>
              <w:right w:val="single" w:color="auto" w:sz="4" w:space="0"/>
            </w:tcBorders>
            <w:tcMar>
              <w:top w:w="10" w:type="dxa"/>
              <w:left w:w="10" w:type="dxa"/>
              <w:right w:w="10" w:type="dxa"/>
            </w:tcMar>
            <w:vAlign w:val="center"/>
          </w:tcPr>
          <w:p w14:paraId="2E78274F">
            <w:pPr>
              <w:snapToGrid w:val="0"/>
              <w:spacing w:line="240" w:lineRule="auto"/>
              <w:ind w:left="0" w:leftChars="0" w:right="0" w:rightChars="0" w:firstLine="0" w:firstLineChars="0"/>
              <w:jc w:val="center"/>
              <w:textAlignment w:val="bottom"/>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领域</w:t>
            </w:r>
          </w:p>
        </w:tc>
        <w:tc>
          <w:tcPr>
            <w:tcW w:w="5022" w:type="dxa"/>
            <w:tcBorders>
              <w:top w:val="single" w:color="auto" w:sz="4" w:space="0"/>
              <w:left w:val="single" w:color="auto" w:sz="4" w:space="0"/>
              <w:bottom w:val="single" w:color="auto" w:sz="4" w:space="0"/>
              <w:right w:val="single" w:color="auto" w:sz="4" w:space="0"/>
            </w:tcBorders>
            <w:tcMar>
              <w:top w:w="10" w:type="dxa"/>
              <w:left w:w="10" w:type="dxa"/>
              <w:right w:w="10" w:type="dxa"/>
            </w:tcMar>
            <w:vAlign w:val="center"/>
          </w:tcPr>
          <w:p w14:paraId="2F81C1CD">
            <w:pPr>
              <w:snapToGrid w:val="0"/>
              <w:spacing w:line="240" w:lineRule="auto"/>
              <w:ind w:left="0" w:leftChars="0" w:right="0" w:rightChars="0" w:firstLine="0" w:firstLineChars="0"/>
              <w:jc w:val="center"/>
              <w:textAlignment w:val="bottom"/>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lang w:bidi="ar"/>
              </w:rPr>
              <w:t>指标</w:t>
            </w:r>
          </w:p>
        </w:tc>
        <w:tc>
          <w:tcPr>
            <w:tcW w:w="1643" w:type="dxa"/>
            <w:tcBorders>
              <w:top w:val="single" w:color="auto" w:sz="4" w:space="0"/>
              <w:left w:val="single" w:color="auto" w:sz="4" w:space="0"/>
              <w:bottom w:val="single" w:color="auto" w:sz="4" w:space="0"/>
              <w:right w:val="single" w:color="auto" w:sz="4" w:space="0"/>
            </w:tcBorders>
            <w:tcMar>
              <w:top w:w="10" w:type="dxa"/>
              <w:left w:w="10" w:type="dxa"/>
              <w:right w:w="10" w:type="dxa"/>
            </w:tcMar>
            <w:vAlign w:val="center"/>
          </w:tcPr>
          <w:p w14:paraId="59741D6B">
            <w:pPr>
              <w:snapToGrid w:val="0"/>
              <w:spacing w:line="240" w:lineRule="auto"/>
              <w:ind w:left="0" w:leftChars="0" w:right="0" w:rightChars="0" w:firstLine="0" w:firstLineChars="0"/>
              <w:jc w:val="center"/>
              <w:textAlignment w:val="bottom"/>
              <w:rPr>
                <w:rFonts w:hint="default" w:ascii="宋体" w:hAnsi="宋体" w:eastAsia="宋体" w:cs="宋体"/>
                <w:b/>
                <w:bCs/>
                <w:color w:val="auto"/>
                <w:sz w:val="24"/>
                <w:szCs w:val="24"/>
                <w:highlight w:val="none"/>
                <w:lang w:val="en-US" w:eastAsia="zh-CN"/>
              </w:rPr>
            </w:pPr>
            <w:r>
              <w:rPr>
                <w:rFonts w:hint="eastAsia" w:ascii="宋体" w:hAnsi="宋体" w:eastAsia="宋体" w:cs="宋体"/>
                <w:b/>
                <w:bCs/>
                <w:color w:val="auto"/>
                <w:kern w:val="0"/>
                <w:sz w:val="24"/>
                <w:szCs w:val="24"/>
                <w:highlight w:val="none"/>
                <w:lang w:val="en-US" w:eastAsia="zh-CN" w:bidi="ar"/>
              </w:rPr>
              <w:t>2030年</w:t>
            </w:r>
          </w:p>
        </w:tc>
        <w:tc>
          <w:tcPr>
            <w:tcW w:w="976" w:type="dxa"/>
            <w:tcBorders>
              <w:top w:val="single" w:color="auto" w:sz="4" w:space="0"/>
              <w:left w:val="single" w:color="auto" w:sz="4" w:space="0"/>
              <w:bottom w:val="single" w:color="auto" w:sz="4" w:space="0"/>
              <w:right w:val="single" w:color="auto" w:sz="4" w:space="0"/>
            </w:tcBorders>
            <w:tcMar>
              <w:top w:w="10" w:type="dxa"/>
              <w:left w:w="10" w:type="dxa"/>
              <w:right w:w="10" w:type="dxa"/>
            </w:tcMar>
            <w:vAlign w:val="center"/>
          </w:tcPr>
          <w:p w14:paraId="0706B11E">
            <w:pPr>
              <w:snapToGrid w:val="0"/>
              <w:spacing w:line="240" w:lineRule="auto"/>
              <w:ind w:left="0" w:leftChars="0" w:right="0" w:rightChars="0" w:firstLine="0" w:firstLineChars="0"/>
              <w:jc w:val="center"/>
              <w:textAlignment w:val="bottom"/>
              <w:rPr>
                <w:rFonts w:hint="eastAsia" w:ascii="宋体" w:hAnsi="宋体" w:eastAsia="宋体" w:cs="宋体"/>
                <w:b/>
                <w:bCs/>
                <w:color w:val="auto"/>
                <w:kern w:val="0"/>
                <w:sz w:val="24"/>
                <w:szCs w:val="24"/>
                <w:highlight w:val="none"/>
                <w:lang w:val="en-US" w:eastAsia="zh-CN" w:bidi="ar"/>
              </w:rPr>
            </w:pPr>
            <w:r>
              <w:rPr>
                <w:rFonts w:hint="eastAsia" w:ascii="宋体" w:hAnsi="宋体" w:eastAsia="宋体" w:cs="宋体"/>
                <w:b/>
                <w:bCs/>
                <w:color w:val="auto"/>
                <w:kern w:val="0"/>
                <w:sz w:val="24"/>
                <w:szCs w:val="24"/>
                <w:highlight w:val="none"/>
                <w:lang w:val="en-US" w:eastAsia="zh-CN" w:bidi="ar"/>
              </w:rPr>
              <w:t>属性</w:t>
            </w:r>
          </w:p>
        </w:tc>
      </w:tr>
      <w:tr w14:paraId="5A07B063">
        <w:tblPrEx>
          <w:tblCellMar>
            <w:top w:w="0" w:type="dxa"/>
            <w:left w:w="0" w:type="dxa"/>
            <w:bottom w:w="0" w:type="dxa"/>
            <w:right w:w="0" w:type="dxa"/>
          </w:tblCellMar>
        </w:tblPrEx>
        <w:trPr>
          <w:trHeight w:val="496" w:hRule="atLeast"/>
          <w:jc w:val="center"/>
        </w:trPr>
        <w:tc>
          <w:tcPr>
            <w:tcW w:w="1078" w:type="dxa"/>
            <w:vMerge w:val="restart"/>
            <w:tcBorders>
              <w:top w:val="single" w:color="auto" w:sz="4" w:space="0"/>
              <w:left w:val="single" w:color="auto" w:sz="4" w:space="0"/>
              <w:bottom w:val="single" w:color="auto" w:sz="4" w:space="0"/>
              <w:right w:val="single" w:color="auto" w:sz="4" w:space="0"/>
            </w:tcBorders>
            <w:tcMar>
              <w:top w:w="10" w:type="dxa"/>
              <w:left w:w="10" w:type="dxa"/>
              <w:right w:w="10" w:type="dxa"/>
            </w:tcMar>
            <w:vAlign w:val="center"/>
          </w:tcPr>
          <w:p w14:paraId="09FA5596">
            <w:pPr>
              <w:snapToGrid w:val="0"/>
              <w:spacing w:line="240" w:lineRule="auto"/>
              <w:ind w:left="0" w:leftChars="0" w:right="0" w:rightChars="0" w:firstLine="0" w:firstLineChars="0"/>
              <w:jc w:val="center"/>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老龄事业</w:t>
            </w:r>
          </w:p>
          <w:p w14:paraId="1EB8C1C6">
            <w:pPr>
              <w:snapToGrid w:val="0"/>
              <w:spacing w:line="240" w:lineRule="auto"/>
              <w:ind w:left="0" w:leftChars="0" w:right="0" w:rightChars="0" w:firstLine="0" w:firstLineChars="0"/>
              <w:jc w:val="center"/>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和养老服</w:t>
            </w:r>
          </w:p>
          <w:p w14:paraId="38CEE01B">
            <w:pPr>
              <w:snapToGrid w:val="0"/>
              <w:spacing w:line="240" w:lineRule="auto"/>
              <w:jc w:val="center"/>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val="en-US" w:eastAsia="zh-CN" w:bidi="ar"/>
              </w:rPr>
              <w:t>务</w:t>
            </w:r>
          </w:p>
        </w:tc>
        <w:tc>
          <w:tcPr>
            <w:tcW w:w="5022" w:type="dxa"/>
            <w:tcBorders>
              <w:top w:val="single" w:color="auto" w:sz="4" w:space="0"/>
              <w:left w:val="single" w:color="auto" w:sz="4" w:space="0"/>
              <w:bottom w:val="single" w:color="auto" w:sz="4" w:space="0"/>
              <w:right w:val="single" w:color="auto" w:sz="4" w:space="0"/>
            </w:tcBorders>
            <w:tcMar>
              <w:top w:w="10" w:type="dxa"/>
              <w:left w:w="10" w:type="dxa"/>
              <w:right w:w="10" w:type="dxa"/>
            </w:tcMar>
            <w:vAlign w:val="center"/>
          </w:tcPr>
          <w:p w14:paraId="3659F0A9">
            <w:pPr>
              <w:snapToGrid w:val="0"/>
              <w:spacing w:line="240" w:lineRule="auto"/>
              <w:ind w:left="0" w:leftChars="0" w:right="0" w:rightChars="0" w:firstLine="0" w:firstLineChars="0"/>
              <w:jc w:val="center"/>
              <w:textAlignment w:val="bottom"/>
              <w:rPr>
                <w:rFonts w:hint="default"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养老机构护理型床位占比</w:t>
            </w:r>
          </w:p>
        </w:tc>
        <w:tc>
          <w:tcPr>
            <w:tcW w:w="1643" w:type="dxa"/>
            <w:tcBorders>
              <w:top w:val="single" w:color="auto" w:sz="4" w:space="0"/>
              <w:left w:val="single" w:color="auto" w:sz="4" w:space="0"/>
              <w:bottom w:val="single" w:color="auto" w:sz="4" w:space="0"/>
              <w:right w:val="single" w:color="auto" w:sz="4" w:space="0"/>
            </w:tcBorders>
            <w:tcMar>
              <w:top w:w="10" w:type="dxa"/>
              <w:left w:w="10" w:type="dxa"/>
              <w:right w:w="10" w:type="dxa"/>
            </w:tcMar>
            <w:vAlign w:val="center"/>
          </w:tcPr>
          <w:p w14:paraId="61E94D94">
            <w:pPr>
              <w:snapToGrid w:val="0"/>
              <w:spacing w:line="240" w:lineRule="auto"/>
              <w:ind w:left="0" w:leftChars="0" w:right="0" w:rightChars="0" w:firstLine="0" w:firstLineChars="0"/>
              <w:jc w:val="center"/>
              <w:textAlignment w:val="bottom"/>
              <w:rPr>
                <w:rFonts w:hint="default"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80%</w:t>
            </w:r>
          </w:p>
        </w:tc>
        <w:tc>
          <w:tcPr>
            <w:tcW w:w="976" w:type="dxa"/>
            <w:tcBorders>
              <w:top w:val="single" w:color="auto" w:sz="4" w:space="0"/>
              <w:left w:val="single" w:color="auto" w:sz="4" w:space="0"/>
              <w:bottom w:val="single" w:color="auto" w:sz="4" w:space="0"/>
              <w:right w:val="single" w:color="auto" w:sz="4" w:space="0"/>
            </w:tcBorders>
            <w:tcMar>
              <w:top w:w="10" w:type="dxa"/>
              <w:left w:w="10" w:type="dxa"/>
              <w:right w:w="10" w:type="dxa"/>
            </w:tcMar>
            <w:vAlign w:val="center"/>
          </w:tcPr>
          <w:p w14:paraId="0A0302C7">
            <w:pPr>
              <w:snapToGrid w:val="0"/>
              <w:spacing w:line="240" w:lineRule="auto"/>
              <w:ind w:left="0" w:leftChars="0" w:right="0" w:rightChars="0" w:firstLine="0" w:firstLineChars="0"/>
              <w:jc w:val="center"/>
              <w:textAlignment w:val="bottom"/>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预期性</w:t>
            </w:r>
          </w:p>
        </w:tc>
      </w:tr>
      <w:tr w14:paraId="06D287A2">
        <w:tblPrEx>
          <w:tblCellMar>
            <w:top w:w="0" w:type="dxa"/>
            <w:left w:w="0" w:type="dxa"/>
            <w:bottom w:w="0" w:type="dxa"/>
            <w:right w:w="0" w:type="dxa"/>
          </w:tblCellMar>
        </w:tblPrEx>
        <w:trPr>
          <w:trHeight w:val="471" w:hRule="atLeast"/>
          <w:jc w:val="center"/>
        </w:trPr>
        <w:tc>
          <w:tcPr>
            <w:tcW w:w="1078" w:type="dxa"/>
            <w:vMerge w:val="continue"/>
            <w:tcBorders>
              <w:top w:val="single" w:color="auto" w:sz="4" w:space="0"/>
              <w:left w:val="single" w:color="auto" w:sz="4" w:space="0"/>
              <w:bottom w:val="single" w:color="auto" w:sz="4" w:space="0"/>
              <w:right w:val="single" w:color="auto" w:sz="4" w:space="0"/>
            </w:tcBorders>
            <w:tcMar>
              <w:top w:w="10" w:type="dxa"/>
              <w:left w:w="10" w:type="dxa"/>
              <w:right w:w="10" w:type="dxa"/>
            </w:tcMar>
            <w:vAlign w:val="center"/>
          </w:tcPr>
          <w:p w14:paraId="536CC926">
            <w:pPr>
              <w:snapToGrid w:val="0"/>
              <w:spacing w:line="240" w:lineRule="auto"/>
              <w:ind w:left="0" w:leftChars="0" w:right="0" w:rightChars="0" w:firstLine="0" w:firstLineChars="0"/>
              <w:jc w:val="center"/>
              <w:textAlignment w:val="center"/>
              <w:rPr>
                <w:rFonts w:hint="eastAsia" w:ascii="宋体" w:hAnsi="宋体" w:eastAsia="宋体" w:cs="宋体"/>
                <w:color w:val="auto"/>
                <w:kern w:val="0"/>
                <w:sz w:val="24"/>
                <w:szCs w:val="24"/>
                <w:highlight w:val="none"/>
                <w:lang w:bidi="ar"/>
              </w:rPr>
            </w:pPr>
          </w:p>
        </w:tc>
        <w:tc>
          <w:tcPr>
            <w:tcW w:w="5022" w:type="dxa"/>
            <w:tcBorders>
              <w:top w:val="single" w:color="auto" w:sz="4" w:space="0"/>
              <w:left w:val="single" w:color="auto" w:sz="4" w:space="0"/>
              <w:bottom w:val="single" w:color="auto" w:sz="4" w:space="0"/>
              <w:right w:val="single" w:color="auto" w:sz="4" w:space="0"/>
            </w:tcBorders>
            <w:tcMar>
              <w:top w:w="10" w:type="dxa"/>
              <w:left w:w="10" w:type="dxa"/>
              <w:right w:w="10" w:type="dxa"/>
            </w:tcMar>
            <w:vAlign w:val="center"/>
          </w:tcPr>
          <w:p w14:paraId="48BE6F91">
            <w:pPr>
              <w:snapToGrid w:val="0"/>
              <w:spacing w:line="240" w:lineRule="auto"/>
              <w:ind w:left="0" w:leftChars="0" w:right="0" w:rightChars="0" w:firstLine="0" w:firstLineChars="0"/>
              <w:jc w:val="center"/>
              <w:textAlignment w:val="bottom"/>
              <w:rPr>
                <w:rFonts w:hint="default"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养老机构中取得职业技能等级证书的养老护理员占比</w:t>
            </w:r>
          </w:p>
        </w:tc>
        <w:tc>
          <w:tcPr>
            <w:tcW w:w="1643" w:type="dxa"/>
            <w:tcBorders>
              <w:top w:val="single" w:color="auto" w:sz="4" w:space="0"/>
              <w:left w:val="single" w:color="auto" w:sz="4" w:space="0"/>
              <w:bottom w:val="single" w:color="auto" w:sz="4" w:space="0"/>
              <w:right w:val="single" w:color="auto" w:sz="4" w:space="0"/>
            </w:tcBorders>
            <w:tcMar>
              <w:top w:w="10" w:type="dxa"/>
              <w:left w:w="10" w:type="dxa"/>
              <w:right w:w="10" w:type="dxa"/>
            </w:tcMar>
            <w:vAlign w:val="center"/>
          </w:tcPr>
          <w:p w14:paraId="3CD6B39D">
            <w:pPr>
              <w:snapToGrid w:val="0"/>
              <w:spacing w:line="240" w:lineRule="auto"/>
              <w:ind w:left="0" w:leftChars="0" w:right="0" w:rightChars="0" w:firstLine="0" w:firstLineChars="0"/>
              <w:jc w:val="center"/>
              <w:textAlignment w:val="bottom"/>
              <w:rPr>
                <w:rFonts w:hint="default"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80%</w:t>
            </w:r>
          </w:p>
        </w:tc>
        <w:tc>
          <w:tcPr>
            <w:tcW w:w="976" w:type="dxa"/>
            <w:tcBorders>
              <w:top w:val="single" w:color="auto" w:sz="4" w:space="0"/>
              <w:left w:val="single" w:color="auto" w:sz="4" w:space="0"/>
              <w:bottom w:val="single" w:color="auto" w:sz="4" w:space="0"/>
              <w:right w:val="single" w:color="auto" w:sz="4" w:space="0"/>
            </w:tcBorders>
            <w:tcMar>
              <w:top w:w="10" w:type="dxa"/>
              <w:left w:w="10" w:type="dxa"/>
              <w:right w:w="10" w:type="dxa"/>
            </w:tcMar>
            <w:vAlign w:val="center"/>
          </w:tcPr>
          <w:p w14:paraId="1973CDD6">
            <w:pPr>
              <w:snapToGrid w:val="0"/>
              <w:spacing w:line="240" w:lineRule="auto"/>
              <w:ind w:left="0" w:leftChars="0" w:right="0" w:rightChars="0" w:firstLine="0" w:firstLineChars="0"/>
              <w:jc w:val="center"/>
              <w:textAlignment w:val="bottom"/>
              <w:rPr>
                <w:rFonts w:hint="default"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预期性</w:t>
            </w:r>
          </w:p>
        </w:tc>
      </w:tr>
      <w:tr w14:paraId="3A8B475C">
        <w:tblPrEx>
          <w:tblCellMar>
            <w:top w:w="0" w:type="dxa"/>
            <w:left w:w="0" w:type="dxa"/>
            <w:bottom w:w="0" w:type="dxa"/>
            <w:right w:w="0" w:type="dxa"/>
          </w:tblCellMar>
        </w:tblPrEx>
        <w:trPr>
          <w:trHeight w:val="492" w:hRule="atLeast"/>
          <w:jc w:val="center"/>
        </w:trPr>
        <w:tc>
          <w:tcPr>
            <w:tcW w:w="1078" w:type="dxa"/>
            <w:vMerge w:val="continue"/>
            <w:tcBorders>
              <w:top w:val="single" w:color="auto" w:sz="4" w:space="0"/>
              <w:left w:val="single" w:color="auto" w:sz="4" w:space="0"/>
              <w:bottom w:val="single" w:color="auto" w:sz="4" w:space="0"/>
              <w:right w:val="single" w:color="auto" w:sz="4" w:space="0"/>
            </w:tcBorders>
            <w:tcMar>
              <w:top w:w="10" w:type="dxa"/>
              <w:left w:w="10" w:type="dxa"/>
              <w:right w:w="10" w:type="dxa"/>
            </w:tcMar>
            <w:vAlign w:val="center"/>
          </w:tcPr>
          <w:p w14:paraId="3EC009F1">
            <w:pPr>
              <w:snapToGrid w:val="0"/>
              <w:spacing w:line="240" w:lineRule="auto"/>
              <w:ind w:left="0" w:leftChars="0" w:right="0" w:rightChars="0" w:firstLine="0" w:firstLineChars="0"/>
              <w:jc w:val="center"/>
              <w:textAlignment w:val="center"/>
              <w:rPr>
                <w:rFonts w:hint="eastAsia" w:ascii="宋体" w:hAnsi="宋体" w:eastAsia="宋体" w:cs="宋体"/>
                <w:color w:val="auto"/>
                <w:kern w:val="0"/>
                <w:sz w:val="24"/>
                <w:szCs w:val="24"/>
                <w:highlight w:val="none"/>
                <w:lang w:bidi="ar"/>
              </w:rPr>
            </w:pPr>
          </w:p>
        </w:tc>
        <w:tc>
          <w:tcPr>
            <w:tcW w:w="5022" w:type="dxa"/>
            <w:tcBorders>
              <w:top w:val="single" w:color="auto" w:sz="4" w:space="0"/>
              <w:left w:val="single" w:color="auto" w:sz="4" w:space="0"/>
              <w:right w:val="single" w:color="auto" w:sz="4" w:space="0"/>
            </w:tcBorders>
            <w:tcMar>
              <w:top w:w="10" w:type="dxa"/>
              <w:left w:w="10" w:type="dxa"/>
              <w:right w:w="10" w:type="dxa"/>
            </w:tcMar>
            <w:vAlign w:val="center"/>
          </w:tcPr>
          <w:p w14:paraId="184D0108">
            <w:pPr>
              <w:snapToGrid w:val="0"/>
              <w:spacing w:line="240" w:lineRule="auto"/>
              <w:ind w:left="0" w:leftChars="0" w:right="0" w:rightChars="0" w:firstLine="0" w:firstLineChars="0"/>
              <w:jc w:val="center"/>
              <w:textAlignment w:val="bottom"/>
              <w:rPr>
                <w:rFonts w:hint="default"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社区养老服务设施覆盖率</w:t>
            </w:r>
          </w:p>
        </w:tc>
        <w:tc>
          <w:tcPr>
            <w:tcW w:w="1643" w:type="dxa"/>
            <w:tcBorders>
              <w:top w:val="single" w:color="auto" w:sz="4" w:space="0"/>
              <w:left w:val="single" w:color="auto" w:sz="4" w:space="0"/>
              <w:right w:val="single" w:color="auto" w:sz="4" w:space="0"/>
            </w:tcBorders>
            <w:tcMar>
              <w:top w:w="10" w:type="dxa"/>
              <w:left w:w="10" w:type="dxa"/>
              <w:right w:w="10" w:type="dxa"/>
            </w:tcMar>
            <w:vAlign w:val="center"/>
          </w:tcPr>
          <w:p w14:paraId="35F0DECD">
            <w:pPr>
              <w:snapToGrid w:val="0"/>
              <w:spacing w:line="240" w:lineRule="auto"/>
              <w:ind w:left="0" w:leftChars="0" w:right="0" w:rightChars="0" w:firstLine="0" w:firstLineChars="0"/>
              <w:jc w:val="center"/>
              <w:textAlignment w:val="bottom"/>
              <w:rPr>
                <w:rFonts w:hint="default"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80%</w:t>
            </w:r>
          </w:p>
        </w:tc>
        <w:tc>
          <w:tcPr>
            <w:tcW w:w="976" w:type="dxa"/>
            <w:tcBorders>
              <w:top w:val="single" w:color="auto" w:sz="4" w:space="0"/>
              <w:left w:val="single" w:color="auto" w:sz="4" w:space="0"/>
              <w:bottom w:val="single" w:color="auto" w:sz="4" w:space="0"/>
              <w:right w:val="single" w:color="auto" w:sz="4" w:space="0"/>
            </w:tcBorders>
            <w:tcMar>
              <w:top w:w="10" w:type="dxa"/>
              <w:left w:w="10" w:type="dxa"/>
              <w:right w:w="10" w:type="dxa"/>
            </w:tcMar>
            <w:vAlign w:val="center"/>
          </w:tcPr>
          <w:p w14:paraId="2155F28C">
            <w:pPr>
              <w:snapToGrid w:val="0"/>
              <w:spacing w:line="240" w:lineRule="auto"/>
              <w:ind w:left="0" w:leftChars="0" w:right="0" w:rightChars="0" w:firstLine="0" w:firstLineChars="0"/>
              <w:jc w:val="center"/>
              <w:textAlignment w:val="bottom"/>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val="en-US" w:eastAsia="zh-CN" w:bidi="ar"/>
              </w:rPr>
              <w:t>预期性</w:t>
            </w:r>
          </w:p>
        </w:tc>
      </w:tr>
      <w:tr w14:paraId="2E51EEAE">
        <w:tblPrEx>
          <w:tblCellMar>
            <w:top w:w="0" w:type="dxa"/>
            <w:left w:w="0" w:type="dxa"/>
            <w:bottom w:w="0" w:type="dxa"/>
            <w:right w:w="0" w:type="dxa"/>
          </w:tblCellMar>
        </w:tblPrEx>
        <w:trPr>
          <w:trHeight w:val="560" w:hRule="atLeast"/>
          <w:jc w:val="center"/>
        </w:trPr>
        <w:tc>
          <w:tcPr>
            <w:tcW w:w="1078" w:type="dxa"/>
            <w:vMerge w:val="continue"/>
            <w:tcBorders>
              <w:top w:val="single" w:color="auto" w:sz="4" w:space="0"/>
              <w:left w:val="single" w:color="auto" w:sz="4" w:space="0"/>
              <w:bottom w:val="single" w:color="auto" w:sz="4" w:space="0"/>
              <w:right w:val="single" w:color="auto" w:sz="4" w:space="0"/>
            </w:tcBorders>
            <w:tcMar>
              <w:top w:w="10" w:type="dxa"/>
              <w:left w:w="10" w:type="dxa"/>
              <w:right w:w="10" w:type="dxa"/>
            </w:tcMar>
            <w:vAlign w:val="center"/>
          </w:tcPr>
          <w:p w14:paraId="7E127097">
            <w:pPr>
              <w:snapToGrid w:val="0"/>
              <w:spacing w:line="240" w:lineRule="auto"/>
              <w:ind w:left="0" w:leftChars="0" w:right="0" w:rightChars="0" w:firstLine="0" w:firstLineChars="0"/>
              <w:jc w:val="center"/>
              <w:textAlignment w:val="center"/>
              <w:rPr>
                <w:rFonts w:hint="eastAsia" w:ascii="宋体" w:hAnsi="宋体" w:eastAsia="宋体" w:cs="宋体"/>
                <w:color w:val="auto"/>
                <w:kern w:val="0"/>
                <w:sz w:val="24"/>
                <w:szCs w:val="24"/>
                <w:highlight w:val="none"/>
                <w:lang w:bidi="ar"/>
              </w:rPr>
            </w:pPr>
          </w:p>
        </w:tc>
        <w:tc>
          <w:tcPr>
            <w:tcW w:w="5022" w:type="dxa"/>
            <w:tcBorders>
              <w:top w:val="single" w:color="auto" w:sz="4" w:space="0"/>
              <w:left w:val="single" w:color="auto" w:sz="4" w:space="0"/>
              <w:bottom w:val="single" w:color="auto" w:sz="4" w:space="0"/>
              <w:right w:val="single" w:color="auto" w:sz="4" w:space="0"/>
            </w:tcBorders>
            <w:tcMar>
              <w:top w:w="10" w:type="dxa"/>
              <w:left w:w="10" w:type="dxa"/>
              <w:right w:w="10" w:type="dxa"/>
            </w:tcMar>
            <w:vAlign w:val="center"/>
          </w:tcPr>
          <w:p w14:paraId="1DDFD572">
            <w:pPr>
              <w:snapToGrid w:val="0"/>
              <w:spacing w:line="240" w:lineRule="auto"/>
              <w:ind w:left="0" w:leftChars="0" w:right="0" w:rightChars="0" w:firstLine="0" w:firstLineChars="0"/>
              <w:jc w:val="center"/>
              <w:textAlignment w:val="bottom"/>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特殊困难老年人月探访关爱服务率</w:t>
            </w:r>
          </w:p>
        </w:tc>
        <w:tc>
          <w:tcPr>
            <w:tcW w:w="1643" w:type="dxa"/>
            <w:tcBorders>
              <w:top w:val="single" w:color="auto" w:sz="4" w:space="0"/>
              <w:left w:val="single" w:color="auto" w:sz="4" w:space="0"/>
              <w:bottom w:val="single" w:color="auto" w:sz="4" w:space="0"/>
              <w:right w:val="single" w:color="auto" w:sz="4" w:space="0"/>
            </w:tcBorders>
            <w:tcMar>
              <w:top w:w="10" w:type="dxa"/>
              <w:left w:w="10" w:type="dxa"/>
              <w:right w:w="10" w:type="dxa"/>
            </w:tcMar>
            <w:vAlign w:val="center"/>
          </w:tcPr>
          <w:p w14:paraId="1BFC1D74">
            <w:pPr>
              <w:snapToGrid w:val="0"/>
              <w:spacing w:line="240" w:lineRule="auto"/>
              <w:ind w:left="0" w:leftChars="0" w:right="0" w:rightChars="0" w:firstLine="0" w:firstLineChars="0"/>
              <w:jc w:val="center"/>
              <w:textAlignment w:val="bottom"/>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100%</w:t>
            </w:r>
          </w:p>
        </w:tc>
        <w:tc>
          <w:tcPr>
            <w:tcW w:w="976" w:type="dxa"/>
            <w:tcBorders>
              <w:top w:val="single" w:color="auto" w:sz="4" w:space="0"/>
              <w:left w:val="single" w:color="auto" w:sz="4" w:space="0"/>
              <w:bottom w:val="single" w:color="auto" w:sz="4" w:space="0"/>
              <w:right w:val="single" w:color="auto" w:sz="4" w:space="0"/>
            </w:tcBorders>
            <w:tcMar>
              <w:top w:w="10" w:type="dxa"/>
              <w:left w:w="10" w:type="dxa"/>
              <w:right w:w="10" w:type="dxa"/>
            </w:tcMar>
            <w:vAlign w:val="center"/>
          </w:tcPr>
          <w:p w14:paraId="5A951C98">
            <w:pPr>
              <w:snapToGrid w:val="0"/>
              <w:spacing w:line="240" w:lineRule="auto"/>
              <w:ind w:left="0" w:leftChars="0" w:right="0" w:rightChars="0" w:firstLine="0" w:firstLineChars="0"/>
              <w:jc w:val="center"/>
              <w:textAlignment w:val="bottom"/>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预期性</w:t>
            </w:r>
          </w:p>
        </w:tc>
      </w:tr>
      <w:tr w14:paraId="2AE867AF">
        <w:tblPrEx>
          <w:tblCellMar>
            <w:top w:w="0" w:type="dxa"/>
            <w:left w:w="0" w:type="dxa"/>
            <w:bottom w:w="0" w:type="dxa"/>
            <w:right w:w="0" w:type="dxa"/>
          </w:tblCellMar>
        </w:tblPrEx>
        <w:trPr>
          <w:trHeight w:val="560" w:hRule="atLeast"/>
          <w:jc w:val="center"/>
        </w:trPr>
        <w:tc>
          <w:tcPr>
            <w:tcW w:w="1078" w:type="dxa"/>
            <w:vMerge w:val="continue"/>
            <w:tcBorders>
              <w:top w:val="single" w:color="auto" w:sz="4" w:space="0"/>
              <w:left w:val="single" w:color="auto" w:sz="4" w:space="0"/>
              <w:bottom w:val="single" w:color="auto" w:sz="4" w:space="0"/>
              <w:right w:val="single" w:color="auto" w:sz="4" w:space="0"/>
            </w:tcBorders>
            <w:tcMar>
              <w:top w:w="10" w:type="dxa"/>
              <w:left w:w="10" w:type="dxa"/>
              <w:right w:w="10" w:type="dxa"/>
            </w:tcMar>
            <w:vAlign w:val="center"/>
          </w:tcPr>
          <w:p w14:paraId="2FC6370B">
            <w:pPr>
              <w:snapToGrid w:val="0"/>
              <w:spacing w:line="240" w:lineRule="auto"/>
              <w:ind w:left="0" w:leftChars="0" w:right="0" w:rightChars="0" w:firstLine="0" w:firstLineChars="0"/>
              <w:jc w:val="center"/>
              <w:textAlignment w:val="center"/>
              <w:rPr>
                <w:rFonts w:hint="eastAsia" w:ascii="宋体" w:hAnsi="宋体" w:eastAsia="宋体" w:cs="宋体"/>
                <w:color w:val="auto"/>
                <w:kern w:val="0"/>
                <w:sz w:val="24"/>
                <w:szCs w:val="24"/>
                <w:highlight w:val="none"/>
                <w:lang w:bidi="ar"/>
              </w:rPr>
            </w:pPr>
          </w:p>
        </w:tc>
        <w:tc>
          <w:tcPr>
            <w:tcW w:w="5022" w:type="dxa"/>
            <w:tcBorders>
              <w:top w:val="single" w:color="auto" w:sz="4" w:space="0"/>
              <w:left w:val="single" w:color="auto" w:sz="4" w:space="0"/>
              <w:bottom w:val="single" w:color="auto" w:sz="4" w:space="0"/>
              <w:right w:val="single" w:color="auto" w:sz="4" w:space="0"/>
            </w:tcBorders>
            <w:tcMar>
              <w:top w:w="10" w:type="dxa"/>
              <w:left w:w="10" w:type="dxa"/>
              <w:right w:w="10" w:type="dxa"/>
            </w:tcMar>
            <w:vAlign w:val="center"/>
          </w:tcPr>
          <w:p w14:paraId="6D8E337A">
            <w:pPr>
              <w:snapToGrid w:val="0"/>
              <w:spacing w:line="240" w:lineRule="auto"/>
              <w:ind w:left="0" w:leftChars="0" w:right="0" w:rightChars="0" w:firstLine="0" w:firstLineChars="0"/>
              <w:jc w:val="center"/>
              <w:textAlignment w:val="bottom"/>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新建小区配套建设养老服务设施达标率</w:t>
            </w:r>
          </w:p>
        </w:tc>
        <w:tc>
          <w:tcPr>
            <w:tcW w:w="1643" w:type="dxa"/>
            <w:tcBorders>
              <w:top w:val="single" w:color="auto" w:sz="4" w:space="0"/>
              <w:left w:val="single" w:color="auto" w:sz="4" w:space="0"/>
              <w:bottom w:val="single" w:color="auto" w:sz="4" w:space="0"/>
              <w:right w:val="single" w:color="auto" w:sz="4" w:space="0"/>
            </w:tcBorders>
            <w:tcMar>
              <w:top w:w="10" w:type="dxa"/>
              <w:left w:w="10" w:type="dxa"/>
              <w:right w:w="10" w:type="dxa"/>
            </w:tcMar>
            <w:vAlign w:val="center"/>
          </w:tcPr>
          <w:p w14:paraId="38D81AF9">
            <w:pPr>
              <w:snapToGrid w:val="0"/>
              <w:spacing w:line="240" w:lineRule="auto"/>
              <w:ind w:left="0" w:leftChars="0" w:right="0" w:rightChars="0" w:firstLine="0" w:firstLineChars="0"/>
              <w:jc w:val="center"/>
              <w:textAlignment w:val="bottom"/>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100%</w:t>
            </w:r>
          </w:p>
        </w:tc>
        <w:tc>
          <w:tcPr>
            <w:tcW w:w="976" w:type="dxa"/>
            <w:tcBorders>
              <w:top w:val="single" w:color="auto" w:sz="4" w:space="0"/>
              <w:left w:val="single" w:color="auto" w:sz="4" w:space="0"/>
              <w:bottom w:val="single" w:color="auto" w:sz="4" w:space="0"/>
              <w:right w:val="single" w:color="auto" w:sz="4" w:space="0"/>
            </w:tcBorders>
            <w:tcMar>
              <w:top w:w="10" w:type="dxa"/>
              <w:left w:w="10" w:type="dxa"/>
              <w:right w:w="10" w:type="dxa"/>
            </w:tcMar>
            <w:vAlign w:val="center"/>
          </w:tcPr>
          <w:p w14:paraId="7BEEB3FA">
            <w:pPr>
              <w:snapToGrid w:val="0"/>
              <w:spacing w:line="240" w:lineRule="auto"/>
              <w:ind w:left="0" w:leftChars="0" w:right="0" w:rightChars="0" w:firstLine="0" w:firstLineChars="0"/>
              <w:jc w:val="center"/>
              <w:textAlignment w:val="bottom"/>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预期性</w:t>
            </w:r>
          </w:p>
        </w:tc>
      </w:tr>
      <w:tr w14:paraId="774E6107">
        <w:tblPrEx>
          <w:tblCellMar>
            <w:top w:w="0" w:type="dxa"/>
            <w:left w:w="0" w:type="dxa"/>
            <w:bottom w:w="0" w:type="dxa"/>
            <w:right w:w="0" w:type="dxa"/>
          </w:tblCellMar>
        </w:tblPrEx>
        <w:trPr>
          <w:trHeight w:val="560" w:hRule="atLeast"/>
          <w:jc w:val="center"/>
        </w:trPr>
        <w:tc>
          <w:tcPr>
            <w:tcW w:w="1078" w:type="dxa"/>
            <w:vMerge w:val="continue"/>
            <w:tcBorders>
              <w:top w:val="single" w:color="auto" w:sz="4" w:space="0"/>
              <w:left w:val="single" w:color="auto" w:sz="4" w:space="0"/>
              <w:bottom w:val="single" w:color="auto" w:sz="4" w:space="0"/>
              <w:right w:val="single" w:color="auto" w:sz="4" w:space="0"/>
            </w:tcBorders>
            <w:tcMar>
              <w:top w:w="10" w:type="dxa"/>
              <w:left w:w="10" w:type="dxa"/>
              <w:right w:w="10" w:type="dxa"/>
            </w:tcMar>
            <w:vAlign w:val="center"/>
          </w:tcPr>
          <w:p w14:paraId="04D0B3F8">
            <w:pPr>
              <w:snapToGrid w:val="0"/>
              <w:spacing w:line="240" w:lineRule="auto"/>
              <w:ind w:left="0" w:leftChars="0" w:right="0" w:rightChars="0" w:firstLine="0" w:firstLineChars="0"/>
              <w:jc w:val="center"/>
              <w:textAlignment w:val="center"/>
              <w:rPr>
                <w:rFonts w:hint="eastAsia" w:ascii="宋体" w:hAnsi="宋体" w:eastAsia="宋体" w:cs="宋体"/>
                <w:color w:val="auto"/>
                <w:kern w:val="0"/>
                <w:sz w:val="24"/>
                <w:szCs w:val="24"/>
                <w:highlight w:val="none"/>
                <w:lang w:bidi="ar"/>
              </w:rPr>
            </w:pPr>
          </w:p>
        </w:tc>
        <w:tc>
          <w:tcPr>
            <w:tcW w:w="5022" w:type="dxa"/>
            <w:tcBorders>
              <w:top w:val="single" w:color="auto" w:sz="4" w:space="0"/>
              <w:left w:val="single" w:color="auto" w:sz="4" w:space="0"/>
              <w:bottom w:val="single" w:color="auto" w:sz="4" w:space="0"/>
              <w:right w:val="single" w:color="auto" w:sz="4" w:space="0"/>
            </w:tcBorders>
            <w:tcMar>
              <w:top w:w="10" w:type="dxa"/>
              <w:left w:w="10" w:type="dxa"/>
              <w:right w:w="10" w:type="dxa"/>
            </w:tcMar>
            <w:vAlign w:val="center"/>
          </w:tcPr>
          <w:p w14:paraId="25011B0F">
            <w:pPr>
              <w:snapToGrid w:val="0"/>
              <w:spacing w:line="240" w:lineRule="auto"/>
              <w:ind w:left="0" w:leftChars="0" w:right="0" w:rightChars="0" w:firstLine="0" w:firstLineChars="0"/>
              <w:jc w:val="center"/>
              <w:textAlignment w:val="bottom"/>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中心城区社区食堂覆盖率</w:t>
            </w:r>
          </w:p>
        </w:tc>
        <w:tc>
          <w:tcPr>
            <w:tcW w:w="1643" w:type="dxa"/>
            <w:tcBorders>
              <w:top w:val="single" w:color="auto" w:sz="4" w:space="0"/>
              <w:left w:val="single" w:color="auto" w:sz="4" w:space="0"/>
              <w:bottom w:val="single" w:color="auto" w:sz="4" w:space="0"/>
              <w:right w:val="single" w:color="auto" w:sz="4" w:space="0"/>
            </w:tcBorders>
            <w:tcMar>
              <w:top w:w="10" w:type="dxa"/>
              <w:left w:w="10" w:type="dxa"/>
              <w:right w:w="10" w:type="dxa"/>
            </w:tcMar>
            <w:vAlign w:val="center"/>
          </w:tcPr>
          <w:p w14:paraId="4F636ECB">
            <w:pPr>
              <w:snapToGrid w:val="0"/>
              <w:spacing w:line="240" w:lineRule="auto"/>
              <w:ind w:left="0" w:leftChars="0" w:right="0" w:rightChars="0" w:firstLine="0" w:firstLineChars="0"/>
              <w:jc w:val="center"/>
              <w:textAlignment w:val="bottom"/>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80%</w:t>
            </w:r>
          </w:p>
        </w:tc>
        <w:tc>
          <w:tcPr>
            <w:tcW w:w="976" w:type="dxa"/>
            <w:tcBorders>
              <w:top w:val="single" w:color="auto" w:sz="4" w:space="0"/>
              <w:left w:val="single" w:color="auto" w:sz="4" w:space="0"/>
              <w:bottom w:val="single" w:color="auto" w:sz="4" w:space="0"/>
              <w:right w:val="single" w:color="auto" w:sz="4" w:space="0"/>
            </w:tcBorders>
            <w:tcMar>
              <w:top w:w="10" w:type="dxa"/>
              <w:left w:w="10" w:type="dxa"/>
              <w:right w:w="10" w:type="dxa"/>
            </w:tcMar>
            <w:vAlign w:val="center"/>
          </w:tcPr>
          <w:p w14:paraId="4AAAC1F7">
            <w:pPr>
              <w:snapToGrid w:val="0"/>
              <w:spacing w:line="240" w:lineRule="auto"/>
              <w:ind w:left="0" w:leftChars="0" w:right="0" w:rightChars="0" w:firstLine="0" w:firstLineChars="0"/>
              <w:jc w:val="center"/>
              <w:textAlignment w:val="bottom"/>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预期性</w:t>
            </w:r>
          </w:p>
        </w:tc>
      </w:tr>
      <w:tr w14:paraId="55919401">
        <w:tblPrEx>
          <w:tblCellMar>
            <w:top w:w="0" w:type="dxa"/>
            <w:left w:w="0" w:type="dxa"/>
            <w:bottom w:w="0" w:type="dxa"/>
            <w:right w:w="0" w:type="dxa"/>
          </w:tblCellMar>
        </w:tblPrEx>
        <w:trPr>
          <w:trHeight w:val="560" w:hRule="atLeast"/>
          <w:jc w:val="center"/>
        </w:trPr>
        <w:tc>
          <w:tcPr>
            <w:tcW w:w="1078" w:type="dxa"/>
            <w:vMerge w:val="continue"/>
            <w:tcBorders>
              <w:top w:val="single" w:color="auto" w:sz="4" w:space="0"/>
              <w:left w:val="single" w:color="auto" w:sz="4" w:space="0"/>
              <w:bottom w:val="single" w:color="auto" w:sz="4" w:space="0"/>
              <w:right w:val="single" w:color="auto" w:sz="4" w:space="0"/>
            </w:tcBorders>
            <w:tcMar>
              <w:top w:w="10" w:type="dxa"/>
              <w:left w:w="10" w:type="dxa"/>
              <w:right w:w="10" w:type="dxa"/>
            </w:tcMar>
            <w:vAlign w:val="center"/>
          </w:tcPr>
          <w:p w14:paraId="74082937">
            <w:pPr>
              <w:snapToGrid w:val="0"/>
              <w:spacing w:line="240" w:lineRule="auto"/>
              <w:ind w:left="0" w:leftChars="0" w:right="0" w:rightChars="0" w:firstLine="0" w:firstLineChars="0"/>
              <w:jc w:val="center"/>
              <w:textAlignment w:val="center"/>
              <w:rPr>
                <w:rFonts w:hint="eastAsia" w:ascii="宋体" w:hAnsi="宋体" w:eastAsia="宋体" w:cs="宋体"/>
                <w:color w:val="auto"/>
                <w:kern w:val="0"/>
                <w:sz w:val="24"/>
                <w:szCs w:val="24"/>
                <w:highlight w:val="none"/>
                <w:lang w:bidi="ar"/>
              </w:rPr>
            </w:pPr>
          </w:p>
        </w:tc>
        <w:tc>
          <w:tcPr>
            <w:tcW w:w="5022" w:type="dxa"/>
            <w:tcBorders>
              <w:top w:val="single" w:color="auto" w:sz="4" w:space="0"/>
              <w:left w:val="single" w:color="auto" w:sz="4" w:space="0"/>
              <w:bottom w:val="single" w:color="auto" w:sz="4" w:space="0"/>
              <w:right w:val="single" w:color="auto" w:sz="4" w:space="0"/>
            </w:tcBorders>
            <w:tcMar>
              <w:top w:w="10" w:type="dxa"/>
              <w:left w:w="10" w:type="dxa"/>
              <w:right w:w="10" w:type="dxa"/>
            </w:tcMar>
            <w:vAlign w:val="center"/>
          </w:tcPr>
          <w:p w14:paraId="74BD9ABB">
            <w:pPr>
              <w:snapToGrid w:val="0"/>
              <w:spacing w:line="240" w:lineRule="auto"/>
              <w:ind w:left="0" w:leftChars="0" w:right="0" w:rightChars="0" w:firstLine="0" w:firstLineChars="0"/>
              <w:jc w:val="center"/>
              <w:textAlignment w:val="bottom"/>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社区老年人活动场地覆盖率</w:t>
            </w:r>
          </w:p>
        </w:tc>
        <w:tc>
          <w:tcPr>
            <w:tcW w:w="1643" w:type="dxa"/>
            <w:tcBorders>
              <w:top w:val="single" w:color="auto" w:sz="4" w:space="0"/>
              <w:left w:val="single" w:color="auto" w:sz="4" w:space="0"/>
              <w:bottom w:val="single" w:color="auto" w:sz="4" w:space="0"/>
              <w:right w:val="single" w:color="auto" w:sz="4" w:space="0"/>
            </w:tcBorders>
            <w:tcMar>
              <w:top w:w="10" w:type="dxa"/>
              <w:left w:w="10" w:type="dxa"/>
              <w:right w:w="10" w:type="dxa"/>
            </w:tcMar>
            <w:vAlign w:val="center"/>
          </w:tcPr>
          <w:p w14:paraId="30455E68">
            <w:pPr>
              <w:snapToGrid w:val="0"/>
              <w:spacing w:line="240" w:lineRule="auto"/>
              <w:ind w:left="0" w:leftChars="0" w:right="0" w:rightChars="0" w:firstLine="0" w:firstLineChars="0"/>
              <w:jc w:val="center"/>
              <w:textAlignment w:val="bottom"/>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100%</w:t>
            </w:r>
          </w:p>
        </w:tc>
        <w:tc>
          <w:tcPr>
            <w:tcW w:w="976" w:type="dxa"/>
            <w:tcBorders>
              <w:top w:val="single" w:color="auto" w:sz="4" w:space="0"/>
              <w:left w:val="single" w:color="auto" w:sz="4" w:space="0"/>
              <w:bottom w:val="single" w:color="auto" w:sz="4" w:space="0"/>
              <w:right w:val="single" w:color="auto" w:sz="4" w:space="0"/>
            </w:tcBorders>
            <w:tcMar>
              <w:top w:w="10" w:type="dxa"/>
              <w:left w:w="10" w:type="dxa"/>
              <w:right w:w="10" w:type="dxa"/>
            </w:tcMar>
            <w:vAlign w:val="center"/>
          </w:tcPr>
          <w:p w14:paraId="4414E332">
            <w:pPr>
              <w:snapToGrid w:val="0"/>
              <w:spacing w:line="240" w:lineRule="auto"/>
              <w:ind w:left="0" w:leftChars="0" w:right="0" w:rightChars="0" w:firstLine="0" w:firstLineChars="0"/>
              <w:jc w:val="center"/>
              <w:textAlignment w:val="bottom"/>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预期性</w:t>
            </w:r>
          </w:p>
        </w:tc>
      </w:tr>
      <w:tr w14:paraId="560C1E96">
        <w:tblPrEx>
          <w:tblCellMar>
            <w:top w:w="0" w:type="dxa"/>
            <w:left w:w="0" w:type="dxa"/>
            <w:bottom w:w="0" w:type="dxa"/>
            <w:right w:w="0" w:type="dxa"/>
          </w:tblCellMar>
        </w:tblPrEx>
        <w:trPr>
          <w:trHeight w:val="560" w:hRule="atLeast"/>
          <w:jc w:val="center"/>
        </w:trPr>
        <w:tc>
          <w:tcPr>
            <w:tcW w:w="1078" w:type="dxa"/>
            <w:vMerge w:val="continue"/>
            <w:tcBorders>
              <w:top w:val="single" w:color="auto" w:sz="4" w:space="0"/>
              <w:left w:val="single" w:color="auto" w:sz="4" w:space="0"/>
              <w:bottom w:val="single" w:color="auto" w:sz="4" w:space="0"/>
              <w:right w:val="single" w:color="auto" w:sz="4" w:space="0"/>
            </w:tcBorders>
            <w:tcMar>
              <w:top w:w="10" w:type="dxa"/>
              <w:left w:w="10" w:type="dxa"/>
              <w:right w:w="10" w:type="dxa"/>
            </w:tcMar>
            <w:vAlign w:val="center"/>
          </w:tcPr>
          <w:p w14:paraId="6F4111B0">
            <w:pPr>
              <w:snapToGrid w:val="0"/>
              <w:spacing w:line="240" w:lineRule="auto"/>
              <w:ind w:left="0" w:leftChars="0" w:right="0" w:rightChars="0" w:firstLine="0" w:firstLineChars="0"/>
              <w:jc w:val="center"/>
              <w:textAlignment w:val="center"/>
              <w:rPr>
                <w:rFonts w:hint="eastAsia" w:ascii="宋体" w:hAnsi="宋体" w:eastAsia="宋体" w:cs="宋体"/>
                <w:color w:val="auto"/>
                <w:kern w:val="0"/>
                <w:sz w:val="24"/>
                <w:szCs w:val="24"/>
                <w:highlight w:val="none"/>
                <w:lang w:bidi="ar"/>
              </w:rPr>
            </w:pPr>
          </w:p>
        </w:tc>
        <w:tc>
          <w:tcPr>
            <w:tcW w:w="5022" w:type="dxa"/>
            <w:tcBorders>
              <w:top w:val="single" w:color="auto" w:sz="4" w:space="0"/>
              <w:left w:val="single" w:color="auto" w:sz="4" w:space="0"/>
              <w:bottom w:val="single" w:color="auto" w:sz="4" w:space="0"/>
              <w:right w:val="single" w:color="auto" w:sz="4" w:space="0"/>
            </w:tcBorders>
            <w:tcMar>
              <w:top w:w="10" w:type="dxa"/>
              <w:left w:w="10" w:type="dxa"/>
              <w:right w:w="10" w:type="dxa"/>
            </w:tcMar>
            <w:vAlign w:val="center"/>
          </w:tcPr>
          <w:p w14:paraId="66111BCC">
            <w:pPr>
              <w:snapToGrid w:val="0"/>
              <w:spacing w:line="240" w:lineRule="auto"/>
              <w:ind w:left="0" w:leftChars="0" w:right="0" w:rightChars="0" w:firstLine="0" w:firstLineChars="0"/>
              <w:jc w:val="center"/>
              <w:textAlignment w:val="bottom"/>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街道养老服务综合体覆盖率</w:t>
            </w:r>
          </w:p>
        </w:tc>
        <w:tc>
          <w:tcPr>
            <w:tcW w:w="1643" w:type="dxa"/>
            <w:tcBorders>
              <w:top w:val="single" w:color="auto" w:sz="4" w:space="0"/>
              <w:left w:val="single" w:color="auto" w:sz="4" w:space="0"/>
              <w:bottom w:val="single" w:color="auto" w:sz="4" w:space="0"/>
              <w:right w:val="single" w:color="auto" w:sz="4" w:space="0"/>
            </w:tcBorders>
            <w:tcMar>
              <w:top w:w="10" w:type="dxa"/>
              <w:left w:w="10" w:type="dxa"/>
              <w:right w:w="10" w:type="dxa"/>
            </w:tcMar>
            <w:vAlign w:val="center"/>
          </w:tcPr>
          <w:p w14:paraId="39ADA511">
            <w:pPr>
              <w:snapToGrid w:val="0"/>
              <w:spacing w:line="240" w:lineRule="auto"/>
              <w:ind w:left="0" w:leftChars="0" w:right="0" w:rightChars="0" w:firstLine="0" w:firstLineChars="0"/>
              <w:jc w:val="center"/>
              <w:textAlignment w:val="bottom"/>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100%</w:t>
            </w:r>
          </w:p>
        </w:tc>
        <w:tc>
          <w:tcPr>
            <w:tcW w:w="976" w:type="dxa"/>
            <w:tcBorders>
              <w:top w:val="single" w:color="auto" w:sz="4" w:space="0"/>
              <w:left w:val="single" w:color="auto" w:sz="4" w:space="0"/>
              <w:bottom w:val="single" w:color="auto" w:sz="4" w:space="0"/>
              <w:right w:val="single" w:color="auto" w:sz="4" w:space="0"/>
            </w:tcBorders>
            <w:tcMar>
              <w:top w:w="10" w:type="dxa"/>
              <w:left w:w="10" w:type="dxa"/>
              <w:right w:w="10" w:type="dxa"/>
            </w:tcMar>
            <w:vAlign w:val="center"/>
          </w:tcPr>
          <w:p w14:paraId="4F6A5A76">
            <w:pPr>
              <w:snapToGrid w:val="0"/>
              <w:spacing w:line="240" w:lineRule="auto"/>
              <w:ind w:left="0" w:leftChars="0" w:right="0" w:rightChars="0" w:firstLine="0" w:firstLineChars="0"/>
              <w:jc w:val="center"/>
              <w:textAlignment w:val="bottom"/>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预期性</w:t>
            </w:r>
          </w:p>
        </w:tc>
      </w:tr>
      <w:tr w14:paraId="2AC46FBE">
        <w:tblPrEx>
          <w:tblCellMar>
            <w:top w:w="0" w:type="dxa"/>
            <w:left w:w="0" w:type="dxa"/>
            <w:bottom w:w="0" w:type="dxa"/>
            <w:right w:w="0" w:type="dxa"/>
          </w:tblCellMar>
        </w:tblPrEx>
        <w:trPr>
          <w:trHeight w:val="603" w:hRule="atLeast"/>
          <w:jc w:val="center"/>
        </w:trPr>
        <w:tc>
          <w:tcPr>
            <w:tcW w:w="1078" w:type="dxa"/>
            <w:vMerge w:val="continue"/>
            <w:tcBorders>
              <w:top w:val="single" w:color="auto" w:sz="4" w:space="0"/>
              <w:left w:val="single" w:color="auto" w:sz="4" w:space="0"/>
              <w:bottom w:val="single" w:color="auto" w:sz="4" w:space="0"/>
              <w:right w:val="single" w:color="auto" w:sz="4" w:space="0"/>
            </w:tcBorders>
            <w:tcMar>
              <w:top w:w="10" w:type="dxa"/>
              <w:left w:w="10" w:type="dxa"/>
              <w:right w:w="10" w:type="dxa"/>
            </w:tcMar>
            <w:vAlign w:val="center"/>
          </w:tcPr>
          <w:p w14:paraId="3A1D879B">
            <w:pPr>
              <w:snapToGrid w:val="0"/>
              <w:spacing w:line="240" w:lineRule="auto"/>
              <w:ind w:left="0" w:leftChars="0" w:right="0" w:rightChars="0" w:firstLine="0" w:firstLineChars="0"/>
              <w:jc w:val="center"/>
              <w:textAlignment w:val="center"/>
              <w:rPr>
                <w:rFonts w:hint="eastAsia" w:ascii="宋体" w:hAnsi="宋体" w:eastAsia="宋体" w:cs="宋体"/>
                <w:color w:val="auto"/>
                <w:kern w:val="0"/>
                <w:sz w:val="24"/>
                <w:szCs w:val="24"/>
                <w:highlight w:val="none"/>
                <w:lang w:bidi="ar"/>
              </w:rPr>
            </w:pPr>
          </w:p>
        </w:tc>
        <w:tc>
          <w:tcPr>
            <w:tcW w:w="5022" w:type="dxa"/>
            <w:tcBorders>
              <w:top w:val="single" w:color="auto" w:sz="4" w:space="0"/>
              <w:left w:val="single" w:color="auto" w:sz="4" w:space="0"/>
              <w:right w:val="single" w:color="auto" w:sz="4" w:space="0"/>
            </w:tcBorders>
            <w:tcMar>
              <w:top w:w="10" w:type="dxa"/>
              <w:left w:w="10" w:type="dxa"/>
              <w:right w:w="10" w:type="dxa"/>
            </w:tcMar>
            <w:vAlign w:val="center"/>
          </w:tcPr>
          <w:p w14:paraId="2C1B46BD">
            <w:pPr>
              <w:snapToGrid w:val="0"/>
              <w:spacing w:line="240" w:lineRule="auto"/>
              <w:ind w:left="0" w:leftChars="0" w:right="0" w:rightChars="0" w:firstLine="0" w:firstLineChars="0"/>
              <w:jc w:val="center"/>
              <w:textAlignment w:val="bottom"/>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镇（管理区）养老服务综合体覆盖率</w:t>
            </w:r>
          </w:p>
        </w:tc>
        <w:tc>
          <w:tcPr>
            <w:tcW w:w="1643" w:type="dxa"/>
            <w:tcBorders>
              <w:top w:val="single" w:color="auto" w:sz="4" w:space="0"/>
              <w:left w:val="single" w:color="auto" w:sz="4" w:space="0"/>
              <w:right w:val="single" w:color="auto" w:sz="4" w:space="0"/>
            </w:tcBorders>
            <w:tcMar>
              <w:top w:w="10" w:type="dxa"/>
              <w:left w:w="10" w:type="dxa"/>
              <w:right w:w="10" w:type="dxa"/>
            </w:tcMar>
            <w:vAlign w:val="center"/>
          </w:tcPr>
          <w:p w14:paraId="6A85877D">
            <w:pPr>
              <w:snapToGrid w:val="0"/>
              <w:spacing w:line="240" w:lineRule="auto"/>
              <w:ind w:left="0" w:leftChars="0" w:right="0" w:rightChars="0" w:firstLine="0" w:firstLineChars="0"/>
              <w:jc w:val="center"/>
              <w:textAlignment w:val="bottom"/>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60%</w:t>
            </w:r>
          </w:p>
        </w:tc>
        <w:tc>
          <w:tcPr>
            <w:tcW w:w="976" w:type="dxa"/>
            <w:tcBorders>
              <w:top w:val="single" w:color="auto" w:sz="4" w:space="0"/>
              <w:left w:val="single" w:color="auto" w:sz="4" w:space="0"/>
              <w:bottom w:val="single" w:color="auto" w:sz="4" w:space="0"/>
              <w:right w:val="single" w:color="auto" w:sz="4" w:space="0"/>
            </w:tcBorders>
            <w:tcMar>
              <w:top w:w="10" w:type="dxa"/>
              <w:left w:w="10" w:type="dxa"/>
              <w:right w:w="10" w:type="dxa"/>
            </w:tcMar>
            <w:vAlign w:val="center"/>
          </w:tcPr>
          <w:p w14:paraId="6F32D245">
            <w:pPr>
              <w:snapToGrid w:val="0"/>
              <w:spacing w:line="240" w:lineRule="auto"/>
              <w:ind w:left="0" w:leftChars="0" w:right="0" w:rightChars="0" w:firstLine="0" w:firstLineChars="0"/>
              <w:jc w:val="center"/>
              <w:textAlignment w:val="bottom"/>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预期性</w:t>
            </w:r>
          </w:p>
        </w:tc>
      </w:tr>
      <w:tr w14:paraId="70DEA471">
        <w:tblPrEx>
          <w:tblCellMar>
            <w:top w:w="0" w:type="dxa"/>
            <w:left w:w="0" w:type="dxa"/>
            <w:bottom w:w="0" w:type="dxa"/>
            <w:right w:w="0" w:type="dxa"/>
          </w:tblCellMar>
        </w:tblPrEx>
        <w:trPr>
          <w:trHeight w:val="560" w:hRule="atLeast"/>
          <w:jc w:val="center"/>
        </w:trPr>
        <w:tc>
          <w:tcPr>
            <w:tcW w:w="1078" w:type="dxa"/>
            <w:vMerge w:val="restart"/>
            <w:tcBorders>
              <w:top w:val="single" w:color="auto" w:sz="4" w:space="0"/>
              <w:left w:val="single" w:color="auto" w:sz="4" w:space="0"/>
              <w:bottom w:val="single" w:color="auto" w:sz="4" w:space="0"/>
              <w:right w:val="single" w:color="auto" w:sz="4" w:space="0"/>
            </w:tcBorders>
            <w:tcMar>
              <w:top w:w="10" w:type="dxa"/>
              <w:left w:w="10" w:type="dxa"/>
              <w:right w:w="10" w:type="dxa"/>
            </w:tcMar>
            <w:vAlign w:val="center"/>
          </w:tcPr>
          <w:p w14:paraId="19088F53">
            <w:pPr>
              <w:snapToGrid w:val="0"/>
              <w:spacing w:line="240" w:lineRule="auto"/>
              <w:ind w:left="0" w:leftChars="0" w:right="0" w:rightChars="0" w:firstLine="0" w:firstLineChars="0"/>
              <w:jc w:val="center"/>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社会</w:t>
            </w:r>
          </w:p>
          <w:p w14:paraId="03AF2DD1">
            <w:pPr>
              <w:snapToGrid w:val="0"/>
              <w:spacing w:line="240" w:lineRule="auto"/>
              <w:ind w:left="0" w:leftChars="0" w:right="0" w:rightChars="0" w:firstLine="0" w:firstLineChars="0"/>
              <w:jc w:val="center"/>
              <w:textAlignment w:val="center"/>
              <w:rPr>
                <w:rFonts w:hint="default"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救助</w:t>
            </w:r>
          </w:p>
        </w:tc>
        <w:tc>
          <w:tcPr>
            <w:tcW w:w="5022" w:type="dxa"/>
            <w:tcBorders>
              <w:top w:val="single" w:color="auto" w:sz="4" w:space="0"/>
              <w:left w:val="single" w:color="auto" w:sz="4" w:space="0"/>
              <w:bottom w:val="single" w:color="auto" w:sz="4" w:space="0"/>
              <w:right w:val="single" w:color="auto" w:sz="4" w:space="0"/>
            </w:tcBorders>
            <w:tcMar>
              <w:top w:w="10" w:type="dxa"/>
              <w:left w:w="10" w:type="dxa"/>
              <w:right w:w="10" w:type="dxa"/>
            </w:tcMar>
            <w:vAlign w:val="center"/>
          </w:tcPr>
          <w:p w14:paraId="1AEC9568">
            <w:pPr>
              <w:snapToGrid w:val="0"/>
              <w:spacing w:line="240" w:lineRule="auto"/>
              <w:ind w:left="0" w:leftChars="0" w:right="0" w:rightChars="0" w:firstLine="0" w:firstLineChars="0"/>
              <w:jc w:val="center"/>
              <w:textAlignment w:val="bottom"/>
              <w:rPr>
                <w:rFonts w:hint="default"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社会救助动态监测信息平台动态监测率</w:t>
            </w:r>
          </w:p>
        </w:tc>
        <w:tc>
          <w:tcPr>
            <w:tcW w:w="1643" w:type="dxa"/>
            <w:tcBorders>
              <w:top w:val="single" w:color="auto" w:sz="4" w:space="0"/>
              <w:left w:val="single" w:color="auto" w:sz="4" w:space="0"/>
              <w:bottom w:val="single" w:color="auto" w:sz="4" w:space="0"/>
              <w:right w:val="single" w:color="auto" w:sz="4" w:space="0"/>
            </w:tcBorders>
            <w:tcMar>
              <w:top w:w="10" w:type="dxa"/>
              <w:left w:w="10" w:type="dxa"/>
              <w:right w:w="10" w:type="dxa"/>
            </w:tcMar>
            <w:vAlign w:val="center"/>
          </w:tcPr>
          <w:p w14:paraId="450B48E9">
            <w:pPr>
              <w:snapToGrid w:val="0"/>
              <w:spacing w:line="240" w:lineRule="auto"/>
              <w:ind w:left="0" w:leftChars="0" w:right="0" w:rightChars="0" w:firstLine="0" w:firstLineChars="0"/>
              <w:jc w:val="center"/>
              <w:textAlignment w:val="bottom"/>
              <w:rPr>
                <w:rFonts w:hint="eastAsia" w:ascii="宋体" w:hAnsi="宋体" w:eastAsia="宋体" w:cs="宋体"/>
                <w:color w:val="auto"/>
                <w:kern w:val="0"/>
                <w:sz w:val="24"/>
                <w:szCs w:val="24"/>
                <w:highlight w:val="none"/>
                <w:lang w:eastAsia="zh-CN" w:bidi="ar"/>
              </w:rPr>
            </w:pPr>
            <w:r>
              <w:rPr>
                <w:rFonts w:hint="eastAsia" w:ascii="宋体" w:hAnsi="宋体" w:eastAsia="宋体" w:cs="宋体"/>
                <w:color w:val="auto"/>
                <w:kern w:val="0"/>
                <w:sz w:val="24"/>
                <w:szCs w:val="24"/>
                <w:highlight w:val="none"/>
                <w:lang w:val="en-US" w:eastAsia="zh-CN" w:bidi="ar"/>
              </w:rPr>
              <w:t>7%</w:t>
            </w:r>
          </w:p>
        </w:tc>
        <w:tc>
          <w:tcPr>
            <w:tcW w:w="976" w:type="dxa"/>
            <w:tcBorders>
              <w:top w:val="single" w:color="auto" w:sz="4" w:space="0"/>
              <w:left w:val="single" w:color="auto" w:sz="4" w:space="0"/>
              <w:bottom w:val="single" w:color="auto" w:sz="4" w:space="0"/>
              <w:right w:val="single" w:color="auto" w:sz="4" w:space="0"/>
            </w:tcBorders>
            <w:tcMar>
              <w:top w:w="10" w:type="dxa"/>
              <w:left w:w="10" w:type="dxa"/>
              <w:right w:w="10" w:type="dxa"/>
            </w:tcMar>
            <w:vAlign w:val="center"/>
          </w:tcPr>
          <w:p w14:paraId="49E406AD">
            <w:pPr>
              <w:snapToGrid w:val="0"/>
              <w:spacing w:line="240" w:lineRule="auto"/>
              <w:ind w:left="0" w:leftChars="0" w:right="0" w:rightChars="0" w:firstLine="0" w:firstLineChars="0"/>
              <w:jc w:val="center"/>
              <w:textAlignment w:val="bottom"/>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val="en-US" w:eastAsia="zh-CN" w:bidi="ar"/>
              </w:rPr>
              <w:t>预期性</w:t>
            </w:r>
          </w:p>
        </w:tc>
      </w:tr>
      <w:tr w14:paraId="7B3FA732">
        <w:tblPrEx>
          <w:tblCellMar>
            <w:top w:w="0" w:type="dxa"/>
            <w:left w:w="0" w:type="dxa"/>
            <w:bottom w:w="0" w:type="dxa"/>
            <w:right w:w="0" w:type="dxa"/>
          </w:tblCellMar>
        </w:tblPrEx>
        <w:trPr>
          <w:trHeight w:val="799" w:hRule="atLeast"/>
          <w:jc w:val="center"/>
        </w:trPr>
        <w:tc>
          <w:tcPr>
            <w:tcW w:w="1078" w:type="dxa"/>
            <w:vMerge w:val="continue"/>
            <w:tcBorders>
              <w:top w:val="single" w:color="auto" w:sz="4" w:space="0"/>
              <w:left w:val="single" w:color="auto" w:sz="4" w:space="0"/>
              <w:bottom w:val="single" w:color="auto" w:sz="4" w:space="0"/>
              <w:right w:val="single" w:color="auto" w:sz="4" w:space="0"/>
            </w:tcBorders>
            <w:tcMar>
              <w:top w:w="10" w:type="dxa"/>
              <w:left w:w="10" w:type="dxa"/>
              <w:right w:w="10" w:type="dxa"/>
            </w:tcMar>
            <w:vAlign w:val="center"/>
          </w:tcPr>
          <w:p w14:paraId="13B2CE85">
            <w:pPr>
              <w:snapToGrid w:val="0"/>
              <w:spacing w:line="240" w:lineRule="auto"/>
              <w:ind w:left="0" w:leftChars="0" w:right="0" w:rightChars="0" w:firstLine="0" w:firstLineChars="0"/>
              <w:jc w:val="center"/>
              <w:textAlignment w:val="center"/>
              <w:rPr>
                <w:rFonts w:hint="eastAsia" w:ascii="宋体" w:hAnsi="宋体" w:eastAsia="宋体" w:cs="宋体"/>
                <w:color w:val="auto"/>
                <w:kern w:val="0"/>
                <w:sz w:val="24"/>
                <w:szCs w:val="24"/>
                <w:highlight w:val="none"/>
                <w:lang w:bidi="ar"/>
              </w:rPr>
            </w:pPr>
          </w:p>
        </w:tc>
        <w:tc>
          <w:tcPr>
            <w:tcW w:w="5022" w:type="dxa"/>
            <w:tcBorders>
              <w:top w:val="single" w:color="auto" w:sz="4" w:space="0"/>
              <w:left w:val="single" w:color="auto" w:sz="4" w:space="0"/>
              <w:bottom w:val="single" w:color="auto" w:sz="4" w:space="0"/>
              <w:right w:val="single" w:color="auto" w:sz="4" w:space="0"/>
            </w:tcBorders>
            <w:tcMar>
              <w:top w:w="10" w:type="dxa"/>
              <w:left w:w="10" w:type="dxa"/>
              <w:right w:w="10" w:type="dxa"/>
            </w:tcMar>
            <w:vAlign w:val="center"/>
          </w:tcPr>
          <w:p w14:paraId="74E0A036">
            <w:pPr>
              <w:snapToGrid w:val="0"/>
              <w:spacing w:line="240" w:lineRule="auto"/>
              <w:ind w:left="0" w:leftChars="0" w:right="0" w:rightChars="0" w:firstLine="0" w:firstLineChars="0"/>
              <w:jc w:val="center"/>
              <w:textAlignment w:val="bottom"/>
              <w:rPr>
                <w:rFonts w:hint="default"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低保标准占人均消费支出量化区间</w:t>
            </w:r>
          </w:p>
        </w:tc>
        <w:tc>
          <w:tcPr>
            <w:tcW w:w="1643" w:type="dxa"/>
            <w:tcBorders>
              <w:top w:val="single" w:color="auto" w:sz="4" w:space="0"/>
              <w:left w:val="single" w:color="auto" w:sz="4" w:space="0"/>
              <w:bottom w:val="single" w:color="auto" w:sz="4" w:space="0"/>
              <w:right w:val="single" w:color="auto" w:sz="4" w:space="0"/>
            </w:tcBorders>
            <w:tcMar>
              <w:top w:w="10" w:type="dxa"/>
              <w:left w:w="10" w:type="dxa"/>
              <w:right w:w="10" w:type="dxa"/>
            </w:tcMar>
            <w:vAlign w:val="center"/>
          </w:tcPr>
          <w:p w14:paraId="33038449">
            <w:pPr>
              <w:snapToGrid w:val="0"/>
              <w:spacing w:line="240" w:lineRule="auto"/>
              <w:ind w:left="0" w:leftChars="0" w:right="0" w:rightChars="0" w:firstLine="0" w:firstLineChars="0"/>
              <w:jc w:val="center"/>
              <w:textAlignment w:val="bottom"/>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城市30%-38%</w:t>
            </w:r>
          </w:p>
          <w:p w14:paraId="322260B5">
            <w:pPr>
              <w:snapToGrid w:val="0"/>
              <w:spacing w:line="240" w:lineRule="auto"/>
              <w:ind w:left="0" w:leftChars="0" w:right="0" w:rightChars="0" w:firstLine="0" w:firstLineChars="0"/>
              <w:jc w:val="center"/>
              <w:textAlignment w:val="bottom"/>
              <w:rPr>
                <w:rFonts w:hint="default"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农村35%-50%</w:t>
            </w:r>
          </w:p>
        </w:tc>
        <w:tc>
          <w:tcPr>
            <w:tcW w:w="976" w:type="dxa"/>
            <w:tcBorders>
              <w:top w:val="single" w:color="auto" w:sz="4" w:space="0"/>
              <w:left w:val="single" w:color="auto" w:sz="4" w:space="0"/>
              <w:bottom w:val="single" w:color="auto" w:sz="4" w:space="0"/>
              <w:right w:val="single" w:color="auto" w:sz="4" w:space="0"/>
            </w:tcBorders>
            <w:tcMar>
              <w:top w:w="10" w:type="dxa"/>
              <w:left w:w="10" w:type="dxa"/>
              <w:right w:w="10" w:type="dxa"/>
            </w:tcMar>
            <w:vAlign w:val="center"/>
          </w:tcPr>
          <w:p w14:paraId="60F67F92">
            <w:pPr>
              <w:snapToGrid w:val="0"/>
              <w:spacing w:line="240" w:lineRule="auto"/>
              <w:ind w:left="0" w:leftChars="0" w:right="0" w:rightChars="0" w:firstLine="0" w:firstLineChars="0"/>
              <w:jc w:val="center"/>
              <w:textAlignment w:val="bottom"/>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val="en-US" w:eastAsia="zh-CN" w:bidi="ar"/>
              </w:rPr>
              <w:t>预期性</w:t>
            </w:r>
          </w:p>
        </w:tc>
      </w:tr>
      <w:tr w14:paraId="65AA56AA">
        <w:tblPrEx>
          <w:tblCellMar>
            <w:top w:w="0" w:type="dxa"/>
            <w:left w:w="0" w:type="dxa"/>
            <w:bottom w:w="0" w:type="dxa"/>
            <w:right w:w="0" w:type="dxa"/>
          </w:tblCellMar>
        </w:tblPrEx>
        <w:trPr>
          <w:trHeight w:val="560" w:hRule="atLeast"/>
          <w:jc w:val="center"/>
        </w:trPr>
        <w:tc>
          <w:tcPr>
            <w:tcW w:w="1078" w:type="dxa"/>
            <w:vMerge w:val="restart"/>
            <w:tcBorders>
              <w:top w:val="single" w:color="auto" w:sz="4" w:space="0"/>
              <w:left w:val="single" w:color="auto" w:sz="4" w:space="0"/>
              <w:right w:val="single" w:color="auto" w:sz="4" w:space="0"/>
            </w:tcBorders>
            <w:tcMar>
              <w:top w:w="10" w:type="dxa"/>
              <w:left w:w="10" w:type="dxa"/>
              <w:right w:w="10" w:type="dxa"/>
            </w:tcMar>
            <w:vAlign w:val="center"/>
          </w:tcPr>
          <w:p w14:paraId="70DBB3E5">
            <w:pPr>
              <w:snapToGrid w:val="0"/>
              <w:spacing w:line="240" w:lineRule="auto"/>
              <w:ind w:left="0" w:leftChars="0" w:right="0" w:rightChars="0" w:firstLine="0" w:firstLineChars="0"/>
              <w:jc w:val="center"/>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社会</w:t>
            </w:r>
          </w:p>
          <w:p w14:paraId="0F41FC94">
            <w:pPr>
              <w:snapToGrid w:val="0"/>
              <w:spacing w:line="240" w:lineRule="auto"/>
              <w:jc w:val="center"/>
              <w:textAlignment w:val="center"/>
              <w:rPr>
                <w:rFonts w:hint="default"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福利</w:t>
            </w:r>
          </w:p>
        </w:tc>
        <w:tc>
          <w:tcPr>
            <w:tcW w:w="5022" w:type="dxa"/>
            <w:tcBorders>
              <w:top w:val="single" w:color="auto" w:sz="4" w:space="0"/>
              <w:left w:val="single" w:color="auto" w:sz="4" w:space="0"/>
              <w:bottom w:val="single" w:color="auto" w:sz="4" w:space="0"/>
              <w:right w:val="single" w:color="auto" w:sz="4" w:space="0"/>
            </w:tcBorders>
            <w:tcMar>
              <w:top w:w="10" w:type="dxa"/>
              <w:left w:w="10" w:type="dxa"/>
              <w:right w:w="10" w:type="dxa"/>
            </w:tcMar>
            <w:vAlign w:val="center"/>
          </w:tcPr>
          <w:p w14:paraId="6D303CA9">
            <w:pPr>
              <w:snapToGrid w:val="0"/>
              <w:spacing w:line="240" w:lineRule="auto"/>
              <w:ind w:left="0" w:leftChars="0" w:right="0" w:rightChars="0" w:firstLine="0" w:firstLineChars="0"/>
              <w:jc w:val="center"/>
              <w:textAlignment w:val="bottom"/>
              <w:rPr>
                <w:rFonts w:hint="default" w:ascii="宋体" w:hAnsi="宋体" w:eastAsia="宋体" w:cs="宋体"/>
                <w:color w:val="auto"/>
                <w:sz w:val="24"/>
                <w:szCs w:val="24"/>
                <w:highlight w:val="none"/>
                <w:lang w:val="en-US" w:eastAsia="zh-CN"/>
              </w:rPr>
            </w:pPr>
            <w:r>
              <w:rPr>
                <w:rFonts w:hint="eastAsia" w:ascii="宋体" w:hAnsi="宋体" w:eastAsia="宋体" w:cs="宋体"/>
                <w:color w:val="auto"/>
                <w:kern w:val="0"/>
                <w:sz w:val="24"/>
                <w:szCs w:val="24"/>
                <w:highlight w:val="none"/>
                <w:lang w:val="en-US" w:eastAsia="zh-CN" w:bidi="ar"/>
              </w:rPr>
              <w:t>精神障碍社区康复服务区县覆盖率</w:t>
            </w:r>
          </w:p>
        </w:tc>
        <w:tc>
          <w:tcPr>
            <w:tcW w:w="1643" w:type="dxa"/>
            <w:tcBorders>
              <w:top w:val="single" w:color="auto" w:sz="4" w:space="0"/>
              <w:left w:val="single" w:color="auto" w:sz="4" w:space="0"/>
              <w:bottom w:val="single" w:color="auto" w:sz="4" w:space="0"/>
              <w:right w:val="single" w:color="auto" w:sz="4" w:space="0"/>
            </w:tcBorders>
            <w:tcMar>
              <w:top w:w="10" w:type="dxa"/>
              <w:left w:w="10" w:type="dxa"/>
              <w:right w:w="10" w:type="dxa"/>
            </w:tcMar>
            <w:vAlign w:val="center"/>
          </w:tcPr>
          <w:p w14:paraId="37CBE335">
            <w:pPr>
              <w:snapToGrid w:val="0"/>
              <w:spacing w:line="240" w:lineRule="auto"/>
              <w:ind w:left="0" w:leftChars="0" w:right="0" w:rightChars="0" w:firstLine="0" w:firstLineChars="0"/>
              <w:jc w:val="center"/>
              <w:textAlignment w:val="bottom"/>
              <w:rPr>
                <w:rFonts w:hint="default" w:ascii="宋体" w:hAnsi="宋体" w:eastAsia="宋体" w:cs="宋体"/>
                <w:color w:val="auto"/>
                <w:sz w:val="24"/>
                <w:szCs w:val="24"/>
                <w:highlight w:val="none"/>
                <w:lang w:val="en-US" w:eastAsia="zh-CN"/>
              </w:rPr>
            </w:pPr>
            <w:r>
              <w:rPr>
                <w:rFonts w:hint="eastAsia" w:ascii="宋体" w:hAnsi="宋体" w:eastAsia="宋体" w:cs="宋体"/>
                <w:color w:val="auto"/>
                <w:kern w:val="0"/>
                <w:sz w:val="24"/>
                <w:szCs w:val="24"/>
                <w:highlight w:val="none"/>
                <w:lang w:val="en-US" w:eastAsia="zh-CN" w:bidi="ar"/>
              </w:rPr>
              <w:t>100%</w:t>
            </w:r>
          </w:p>
        </w:tc>
        <w:tc>
          <w:tcPr>
            <w:tcW w:w="976" w:type="dxa"/>
            <w:tcBorders>
              <w:top w:val="single" w:color="auto" w:sz="4" w:space="0"/>
              <w:left w:val="single" w:color="auto" w:sz="4" w:space="0"/>
              <w:bottom w:val="single" w:color="auto" w:sz="4" w:space="0"/>
              <w:right w:val="single" w:color="auto" w:sz="4" w:space="0"/>
            </w:tcBorders>
            <w:tcMar>
              <w:top w:w="10" w:type="dxa"/>
              <w:left w:w="10" w:type="dxa"/>
              <w:right w:w="10" w:type="dxa"/>
            </w:tcMar>
            <w:vAlign w:val="center"/>
          </w:tcPr>
          <w:p w14:paraId="038C66F1">
            <w:pPr>
              <w:snapToGrid w:val="0"/>
              <w:spacing w:line="240" w:lineRule="auto"/>
              <w:ind w:left="0" w:leftChars="0" w:right="0" w:rightChars="0" w:firstLine="0" w:firstLineChars="0"/>
              <w:jc w:val="center"/>
              <w:textAlignment w:val="bottom"/>
              <w:rPr>
                <w:rFonts w:hint="default"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约束性</w:t>
            </w:r>
          </w:p>
        </w:tc>
      </w:tr>
      <w:tr w14:paraId="76C34734">
        <w:tblPrEx>
          <w:tblCellMar>
            <w:top w:w="0" w:type="dxa"/>
            <w:left w:w="0" w:type="dxa"/>
            <w:bottom w:w="0" w:type="dxa"/>
            <w:right w:w="0" w:type="dxa"/>
          </w:tblCellMar>
        </w:tblPrEx>
        <w:trPr>
          <w:trHeight w:val="595" w:hRule="atLeast"/>
          <w:jc w:val="center"/>
        </w:trPr>
        <w:tc>
          <w:tcPr>
            <w:tcW w:w="1078" w:type="dxa"/>
            <w:vMerge w:val="continue"/>
            <w:tcBorders>
              <w:left w:val="single" w:color="auto" w:sz="4" w:space="0"/>
              <w:right w:val="single" w:color="auto" w:sz="4" w:space="0"/>
            </w:tcBorders>
            <w:tcMar>
              <w:top w:w="10" w:type="dxa"/>
              <w:left w:w="10" w:type="dxa"/>
              <w:right w:w="10" w:type="dxa"/>
            </w:tcMar>
            <w:vAlign w:val="center"/>
          </w:tcPr>
          <w:p w14:paraId="18C72AB8">
            <w:pPr>
              <w:snapToGrid w:val="0"/>
              <w:spacing w:line="240" w:lineRule="auto"/>
              <w:ind w:left="0" w:leftChars="0" w:right="0" w:rightChars="0" w:firstLine="0" w:firstLineChars="0"/>
              <w:jc w:val="center"/>
              <w:textAlignment w:val="center"/>
              <w:rPr>
                <w:rFonts w:hint="eastAsia" w:ascii="宋体" w:hAnsi="宋体" w:eastAsia="宋体" w:cs="宋体"/>
                <w:color w:val="auto"/>
                <w:kern w:val="0"/>
                <w:sz w:val="24"/>
                <w:szCs w:val="24"/>
                <w:highlight w:val="none"/>
                <w:lang w:bidi="ar"/>
              </w:rPr>
            </w:pPr>
          </w:p>
        </w:tc>
        <w:tc>
          <w:tcPr>
            <w:tcW w:w="5022" w:type="dxa"/>
            <w:tcBorders>
              <w:top w:val="single" w:color="auto" w:sz="4" w:space="0"/>
              <w:left w:val="single" w:color="auto" w:sz="4" w:space="0"/>
              <w:bottom w:val="single" w:color="auto" w:sz="4" w:space="0"/>
              <w:right w:val="single" w:color="auto" w:sz="4" w:space="0"/>
            </w:tcBorders>
            <w:tcMar>
              <w:top w:w="10" w:type="dxa"/>
              <w:left w:w="10" w:type="dxa"/>
              <w:right w:w="10" w:type="dxa"/>
            </w:tcMar>
            <w:vAlign w:val="center"/>
          </w:tcPr>
          <w:p w14:paraId="065EFC2E">
            <w:pPr>
              <w:snapToGrid w:val="0"/>
              <w:spacing w:line="240" w:lineRule="auto"/>
              <w:ind w:left="0" w:leftChars="0" w:right="0" w:rightChars="0" w:firstLine="0" w:firstLineChars="0"/>
              <w:jc w:val="center"/>
              <w:textAlignment w:val="bottom"/>
              <w:rPr>
                <w:rFonts w:hint="default"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残疾人两项补贴覆盖率</w:t>
            </w:r>
          </w:p>
        </w:tc>
        <w:tc>
          <w:tcPr>
            <w:tcW w:w="1643" w:type="dxa"/>
            <w:tcBorders>
              <w:top w:val="single" w:color="auto" w:sz="4" w:space="0"/>
              <w:left w:val="single" w:color="auto" w:sz="4" w:space="0"/>
              <w:bottom w:val="single" w:color="auto" w:sz="4" w:space="0"/>
              <w:right w:val="single" w:color="auto" w:sz="4" w:space="0"/>
            </w:tcBorders>
            <w:tcMar>
              <w:top w:w="10" w:type="dxa"/>
              <w:left w:w="10" w:type="dxa"/>
              <w:right w:w="10" w:type="dxa"/>
            </w:tcMar>
            <w:vAlign w:val="center"/>
          </w:tcPr>
          <w:p w14:paraId="3BF588D8">
            <w:pPr>
              <w:snapToGrid w:val="0"/>
              <w:spacing w:line="240" w:lineRule="auto"/>
              <w:ind w:left="0" w:leftChars="0" w:right="0" w:rightChars="0" w:firstLine="0" w:firstLineChars="0"/>
              <w:jc w:val="center"/>
              <w:textAlignment w:val="bottom"/>
              <w:rPr>
                <w:rFonts w:hint="default"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100%</w:t>
            </w:r>
          </w:p>
        </w:tc>
        <w:tc>
          <w:tcPr>
            <w:tcW w:w="976" w:type="dxa"/>
            <w:tcBorders>
              <w:top w:val="single" w:color="auto" w:sz="4" w:space="0"/>
              <w:left w:val="single" w:color="auto" w:sz="4" w:space="0"/>
              <w:bottom w:val="single" w:color="auto" w:sz="4" w:space="0"/>
              <w:right w:val="single" w:color="auto" w:sz="4" w:space="0"/>
            </w:tcBorders>
            <w:tcMar>
              <w:top w:w="10" w:type="dxa"/>
              <w:left w:w="10" w:type="dxa"/>
              <w:right w:w="10" w:type="dxa"/>
            </w:tcMar>
            <w:vAlign w:val="center"/>
          </w:tcPr>
          <w:p w14:paraId="23DC516F">
            <w:pPr>
              <w:snapToGrid w:val="0"/>
              <w:spacing w:line="240" w:lineRule="auto"/>
              <w:ind w:left="0" w:leftChars="0" w:right="0" w:rightChars="0" w:firstLine="0" w:firstLineChars="0"/>
              <w:jc w:val="center"/>
              <w:textAlignment w:val="bottom"/>
              <w:rPr>
                <w:rFonts w:hint="default"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约束性</w:t>
            </w:r>
          </w:p>
        </w:tc>
      </w:tr>
      <w:tr w14:paraId="6FACCFF5">
        <w:tblPrEx>
          <w:tblCellMar>
            <w:top w:w="0" w:type="dxa"/>
            <w:left w:w="0" w:type="dxa"/>
            <w:bottom w:w="0" w:type="dxa"/>
            <w:right w:w="0" w:type="dxa"/>
          </w:tblCellMar>
        </w:tblPrEx>
        <w:trPr>
          <w:trHeight w:val="603" w:hRule="atLeast"/>
          <w:jc w:val="center"/>
        </w:trPr>
        <w:tc>
          <w:tcPr>
            <w:tcW w:w="1078" w:type="dxa"/>
            <w:vMerge w:val="continue"/>
            <w:tcBorders>
              <w:left w:val="single" w:color="auto" w:sz="4" w:space="0"/>
              <w:right w:val="single" w:color="auto" w:sz="4" w:space="0"/>
            </w:tcBorders>
            <w:tcMar>
              <w:top w:w="10" w:type="dxa"/>
              <w:left w:w="10" w:type="dxa"/>
              <w:right w:w="10" w:type="dxa"/>
            </w:tcMar>
            <w:vAlign w:val="center"/>
          </w:tcPr>
          <w:p w14:paraId="1D641DCD">
            <w:pPr>
              <w:snapToGrid w:val="0"/>
              <w:spacing w:line="240" w:lineRule="auto"/>
              <w:ind w:left="0" w:leftChars="0" w:right="0" w:rightChars="0" w:firstLine="0" w:firstLineChars="0"/>
              <w:jc w:val="center"/>
              <w:textAlignment w:val="center"/>
              <w:rPr>
                <w:rFonts w:hint="eastAsia" w:ascii="宋体" w:hAnsi="宋体" w:eastAsia="宋体" w:cs="宋体"/>
                <w:color w:val="auto"/>
                <w:kern w:val="0"/>
                <w:sz w:val="24"/>
                <w:szCs w:val="24"/>
                <w:highlight w:val="none"/>
                <w:lang w:bidi="ar"/>
              </w:rPr>
            </w:pPr>
          </w:p>
        </w:tc>
        <w:tc>
          <w:tcPr>
            <w:tcW w:w="5022" w:type="dxa"/>
            <w:tcBorders>
              <w:top w:val="single" w:color="auto" w:sz="4" w:space="0"/>
              <w:left w:val="single" w:color="auto" w:sz="4" w:space="0"/>
              <w:bottom w:val="single" w:color="auto" w:sz="4" w:space="0"/>
              <w:right w:val="single" w:color="auto" w:sz="4" w:space="0"/>
            </w:tcBorders>
            <w:tcMar>
              <w:top w:w="10" w:type="dxa"/>
              <w:left w:w="10" w:type="dxa"/>
              <w:right w:w="10" w:type="dxa"/>
            </w:tcMar>
            <w:vAlign w:val="center"/>
          </w:tcPr>
          <w:p w14:paraId="376E359A">
            <w:pPr>
              <w:snapToGrid w:val="0"/>
              <w:spacing w:line="240" w:lineRule="auto"/>
              <w:ind w:left="0" w:leftChars="0" w:right="0" w:rightChars="0" w:firstLine="0" w:firstLineChars="0"/>
              <w:jc w:val="center"/>
              <w:textAlignment w:val="bottom"/>
              <w:rPr>
                <w:rFonts w:hint="default"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孤儿、事实无人抚养儿童基本生活保障覆盖率</w:t>
            </w:r>
          </w:p>
        </w:tc>
        <w:tc>
          <w:tcPr>
            <w:tcW w:w="1643" w:type="dxa"/>
            <w:tcBorders>
              <w:top w:val="single" w:color="auto" w:sz="4" w:space="0"/>
              <w:left w:val="single" w:color="auto" w:sz="4" w:space="0"/>
              <w:bottom w:val="single" w:color="auto" w:sz="4" w:space="0"/>
              <w:right w:val="single" w:color="auto" w:sz="4" w:space="0"/>
            </w:tcBorders>
            <w:tcMar>
              <w:top w:w="10" w:type="dxa"/>
              <w:left w:w="10" w:type="dxa"/>
              <w:right w:w="10" w:type="dxa"/>
            </w:tcMar>
            <w:vAlign w:val="center"/>
          </w:tcPr>
          <w:p w14:paraId="06AD0C88">
            <w:pPr>
              <w:snapToGrid w:val="0"/>
              <w:spacing w:line="240" w:lineRule="auto"/>
              <w:ind w:left="0" w:leftChars="0" w:right="0" w:rightChars="0" w:firstLine="0" w:firstLineChars="0"/>
              <w:jc w:val="center"/>
              <w:textAlignment w:val="bottom"/>
              <w:rPr>
                <w:rFonts w:hint="default"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100%</w:t>
            </w:r>
          </w:p>
        </w:tc>
        <w:tc>
          <w:tcPr>
            <w:tcW w:w="976" w:type="dxa"/>
            <w:tcBorders>
              <w:top w:val="single" w:color="auto" w:sz="4" w:space="0"/>
              <w:left w:val="single" w:color="auto" w:sz="4" w:space="0"/>
              <w:bottom w:val="single" w:color="auto" w:sz="4" w:space="0"/>
              <w:right w:val="single" w:color="auto" w:sz="4" w:space="0"/>
            </w:tcBorders>
            <w:tcMar>
              <w:top w:w="10" w:type="dxa"/>
              <w:left w:w="10" w:type="dxa"/>
              <w:right w:w="10" w:type="dxa"/>
            </w:tcMar>
            <w:vAlign w:val="center"/>
          </w:tcPr>
          <w:p w14:paraId="4544DBB5">
            <w:pPr>
              <w:snapToGrid w:val="0"/>
              <w:spacing w:line="240" w:lineRule="auto"/>
              <w:ind w:left="0" w:leftChars="0" w:right="0" w:rightChars="0" w:firstLine="0" w:firstLineChars="0"/>
              <w:jc w:val="center"/>
              <w:textAlignment w:val="bottom"/>
              <w:rPr>
                <w:rFonts w:hint="default"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约束性</w:t>
            </w:r>
          </w:p>
        </w:tc>
      </w:tr>
      <w:tr w14:paraId="58F1F930">
        <w:tblPrEx>
          <w:tblCellMar>
            <w:top w:w="0" w:type="dxa"/>
            <w:left w:w="0" w:type="dxa"/>
            <w:bottom w:w="0" w:type="dxa"/>
            <w:right w:w="0" w:type="dxa"/>
          </w:tblCellMar>
        </w:tblPrEx>
        <w:trPr>
          <w:trHeight w:val="532" w:hRule="atLeast"/>
          <w:jc w:val="center"/>
        </w:trPr>
        <w:tc>
          <w:tcPr>
            <w:tcW w:w="1078" w:type="dxa"/>
            <w:vMerge w:val="continue"/>
            <w:tcBorders>
              <w:left w:val="single" w:color="auto" w:sz="4" w:space="0"/>
              <w:right w:val="single" w:color="auto" w:sz="4" w:space="0"/>
            </w:tcBorders>
            <w:tcMar>
              <w:top w:w="10" w:type="dxa"/>
              <w:left w:w="10" w:type="dxa"/>
              <w:right w:w="10" w:type="dxa"/>
            </w:tcMar>
            <w:vAlign w:val="center"/>
          </w:tcPr>
          <w:p w14:paraId="3673D55F">
            <w:pPr>
              <w:snapToGrid w:val="0"/>
              <w:spacing w:line="240" w:lineRule="auto"/>
              <w:ind w:left="0" w:leftChars="0" w:right="0" w:rightChars="0" w:firstLine="0" w:firstLineChars="0"/>
              <w:jc w:val="center"/>
              <w:textAlignment w:val="center"/>
              <w:rPr>
                <w:rFonts w:hint="default" w:ascii="宋体" w:hAnsi="宋体" w:eastAsia="宋体" w:cs="宋体"/>
                <w:color w:val="auto"/>
                <w:kern w:val="0"/>
                <w:sz w:val="24"/>
                <w:szCs w:val="24"/>
                <w:highlight w:val="none"/>
                <w:lang w:val="en-US" w:eastAsia="zh-CN" w:bidi="ar"/>
              </w:rPr>
            </w:pPr>
          </w:p>
        </w:tc>
        <w:tc>
          <w:tcPr>
            <w:tcW w:w="5022" w:type="dxa"/>
            <w:tcBorders>
              <w:top w:val="single" w:color="auto" w:sz="4" w:space="0"/>
              <w:left w:val="single" w:color="auto" w:sz="4" w:space="0"/>
              <w:bottom w:val="single" w:color="auto" w:sz="4" w:space="0"/>
              <w:right w:val="single" w:color="auto" w:sz="4" w:space="0"/>
            </w:tcBorders>
            <w:tcMar>
              <w:top w:w="10" w:type="dxa"/>
              <w:left w:w="10" w:type="dxa"/>
              <w:right w:w="10" w:type="dxa"/>
            </w:tcMar>
            <w:vAlign w:val="center"/>
          </w:tcPr>
          <w:p w14:paraId="486969B7">
            <w:pPr>
              <w:snapToGrid w:val="0"/>
              <w:spacing w:line="240" w:lineRule="auto"/>
              <w:ind w:left="0" w:leftChars="0" w:right="0" w:rightChars="0" w:firstLine="0" w:firstLineChars="0"/>
              <w:jc w:val="center"/>
              <w:textAlignment w:val="bottom"/>
              <w:rPr>
                <w:rFonts w:hint="default"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儿童督导员和儿童主任培训覆盖率</w:t>
            </w:r>
          </w:p>
        </w:tc>
        <w:tc>
          <w:tcPr>
            <w:tcW w:w="1643" w:type="dxa"/>
            <w:tcBorders>
              <w:top w:val="single" w:color="auto" w:sz="4" w:space="0"/>
              <w:left w:val="single" w:color="auto" w:sz="4" w:space="0"/>
              <w:bottom w:val="single" w:color="auto" w:sz="4" w:space="0"/>
              <w:right w:val="single" w:color="auto" w:sz="4" w:space="0"/>
            </w:tcBorders>
            <w:tcMar>
              <w:top w:w="10" w:type="dxa"/>
              <w:left w:w="10" w:type="dxa"/>
              <w:right w:w="10" w:type="dxa"/>
            </w:tcMar>
            <w:vAlign w:val="center"/>
          </w:tcPr>
          <w:p w14:paraId="15F983A8">
            <w:pPr>
              <w:snapToGrid w:val="0"/>
              <w:spacing w:line="240" w:lineRule="auto"/>
              <w:ind w:left="0" w:leftChars="0" w:right="0" w:rightChars="0" w:firstLine="0" w:firstLineChars="0"/>
              <w:jc w:val="center"/>
              <w:textAlignment w:val="bottom"/>
              <w:rPr>
                <w:rFonts w:hint="default"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100%</w:t>
            </w:r>
          </w:p>
        </w:tc>
        <w:tc>
          <w:tcPr>
            <w:tcW w:w="976" w:type="dxa"/>
            <w:tcBorders>
              <w:top w:val="single" w:color="auto" w:sz="4" w:space="0"/>
              <w:left w:val="single" w:color="auto" w:sz="4" w:space="0"/>
              <w:bottom w:val="single" w:color="auto" w:sz="4" w:space="0"/>
              <w:right w:val="single" w:color="auto" w:sz="4" w:space="0"/>
            </w:tcBorders>
            <w:tcMar>
              <w:top w:w="10" w:type="dxa"/>
              <w:left w:w="10" w:type="dxa"/>
              <w:right w:w="10" w:type="dxa"/>
            </w:tcMar>
            <w:vAlign w:val="center"/>
          </w:tcPr>
          <w:p w14:paraId="2621558A">
            <w:pPr>
              <w:snapToGrid w:val="0"/>
              <w:spacing w:line="240" w:lineRule="auto"/>
              <w:ind w:left="0" w:leftChars="0" w:right="0" w:rightChars="0" w:firstLine="0" w:firstLineChars="0"/>
              <w:jc w:val="center"/>
              <w:textAlignment w:val="bottom"/>
              <w:rPr>
                <w:rFonts w:hint="default"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预期性</w:t>
            </w:r>
          </w:p>
        </w:tc>
      </w:tr>
      <w:tr w14:paraId="14A93001">
        <w:tblPrEx>
          <w:tblCellMar>
            <w:top w:w="0" w:type="dxa"/>
            <w:left w:w="0" w:type="dxa"/>
            <w:bottom w:w="0" w:type="dxa"/>
            <w:right w:w="0" w:type="dxa"/>
          </w:tblCellMar>
        </w:tblPrEx>
        <w:trPr>
          <w:trHeight w:val="532" w:hRule="atLeast"/>
          <w:jc w:val="center"/>
        </w:trPr>
        <w:tc>
          <w:tcPr>
            <w:tcW w:w="1078" w:type="dxa"/>
            <w:vMerge w:val="continue"/>
            <w:tcBorders>
              <w:left w:val="single" w:color="auto" w:sz="4" w:space="0"/>
              <w:bottom w:val="single" w:color="auto" w:sz="4" w:space="0"/>
              <w:right w:val="single" w:color="auto" w:sz="4" w:space="0"/>
            </w:tcBorders>
            <w:tcMar>
              <w:top w:w="10" w:type="dxa"/>
              <w:left w:w="10" w:type="dxa"/>
              <w:right w:w="10" w:type="dxa"/>
            </w:tcMar>
            <w:vAlign w:val="center"/>
          </w:tcPr>
          <w:p w14:paraId="070E0E65">
            <w:pPr>
              <w:snapToGrid w:val="0"/>
              <w:spacing w:line="240" w:lineRule="auto"/>
              <w:ind w:left="0" w:leftChars="0" w:right="0" w:rightChars="0" w:firstLine="0" w:firstLineChars="0"/>
              <w:jc w:val="center"/>
              <w:textAlignment w:val="center"/>
              <w:rPr>
                <w:rFonts w:hint="default" w:ascii="宋体" w:hAnsi="宋体" w:eastAsia="宋体" w:cs="宋体"/>
                <w:color w:val="auto"/>
                <w:kern w:val="0"/>
                <w:sz w:val="24"/>
                <w:szCs w:val="24"/>
                <w:highlight w:val="none"/>
                <w:lang w:val="en-US" w:eastAsia="zh-CN" w:bidi="ar"/>
              </w:rPr>
            </w:pPr>
          </w:p>
        </w:tc>
        <w:tc>
          <w:tcPr>
            <w:tcW w:w="5022" w:type="dxa"/>
            <w:tcBorders>
              <w:top w:val="single" w:color="auto" w:sz="4" w:space="0"/>
              <w:left w:val="single" w:color="auto" w:sz="4" w:space="0"/>
              <w:bottom w:val="single" w:color="auto" w:sz="4" w:space="0"/>
              <w:right w:val="single" w:color="auto" w:sz="4" w:space="0"/>
            </w:tcBorders>
            <w:tcMar>
              <w:top w:w="10" w:type="dxa"/>
              <w:left w:w="10" w:type="dxa"/>
              <w:right w:w="10" w:type="dxa"/>
            </w:tcMar>
            <w:vAlign w:val="center"/>
          </w:tcPr>
          <w:p w14:paraId="3F34F7A6">
            <w:pPr>
              <w:snapToGrid w:val="0"/>
              <w:spacing w:line="240" w:lineRule="auto"/>
              <w:ind w:left="0" w:leftChars="0" w:right="0" w:rightChars="0" w:firstLine="0" w:firstLineChars="0"/>
              <w:jc w:val="center"/>
              <w:textAlignment w:val="bottom"/>
              <w:rPr>
                <w:rFonts w:hint="default"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儿童福利机构“开门办院”率</w:t>
            </w:r>
          </w:p>
        </w:tc>
        <w:tc>
          <w:tcPr>
            <w:tcW w:w="1643" w:type="dxa"/>
            <w:tcBorders>
              <w:top w:val="single" w:color="auto" w:sz="4" w:space="0"/>
              <w:left w:val="single" w:color="auto" w:sz="4" w:space="0"/>
              <w:bottom w:val="single" w:color="auto" w:sz="4" w:space="0"/>
              <w:right w:val="single" w:color="auto" w:sz="4" w:space="0"/>
            </w:tcBorders>
            <w:tcMar>
              <w:top w:w="10" w:type="dxa"/>
              <w:left w:w="10" w:type="dxa"/>
              <w:right w:w="10" w:type="dxa"/>
            </w:tcMar>
            <w:vAlign w:val="center"/>
          </w:tcPr>
          <w:p w14:paraId="1FF9C61E">
            <w:pPr>
              <w:snapToGrid w:val="0"/>
              <w:spacing w:line="240" w:lineRule="auto"/>
              <w:ind w:left="0" w:leftChars="0" w:right="0" w:rightChars="0" w:firstLine="0" w:firstLineChars="0"/>
              <w:jc w:val="center"/>
              <w:textAlignment w:val="bottom"/>
              <w:rPr>
                <w:rFonts w:hint="default"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100%</w:t>
            </w:r>
          </w:p>
        </w:tc>
        <w:tc>
          <w:tcPr>
            <w:tcW w:w="976" w:type="dxa"/>
            <w:tcBorders>
              <w:top w:val="single" w:color="auto" w:sz="4" w:space="0"/>
              <w:left w:val="single" w:color="auto" w:sz="4" w:space="0"/>
              <w:bottom w:val="single" w:color="auto" w:sz="4" w:space="0"/>
              <w:right w:val="single" w:color="auto" w:sz="4" w:space="0"/>
            </w:tcBorders>
            <w:tcMar>
              <w:top w:w="10" w:type="dxa"/>
              <w:left w:w="10" w:type="dxa"/>
              <w:right w:w="10" w:type="dxa"/>
            </w:tcMar>
            <w:vAlign w:val="center"/>
          </w:tcPr>
          <w:p w14:paraId="6BB2578A">
            <w:pPr>
              <w:snapToGrid w:val="0"/>
              <w:spacing w:line="240" w:lineRule="auto"/>
              <w:ind w:left="0" w:leftChars="0" w:right="0" w:rightChars="0" w:firstLine="0" w:firstLineChars="0"/>
              <w:jc w:val="center"/>
              <w:textAlignment w:val="bottom"/>
              <w:rPr>
                <w:rFonts w:hint="default"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预期性</w:t>
            </w:r>
          </w:p>
        </w:tc>
      </w:tr>
      <w:tr w14:paraId="2748708B">
        <w:tblPrEx>
          <w:tblCellMar>
            <w:top w:w="0" w:type="dxa"/>
            <w:left w:w="0" w:type="dxa"/>
            <w:bottom w:w="0" w:type="dxa"/>
            <w:right w:w="0" w:type="dxa"/>
          </w:tblCellMar>
        </w:tblPrEx>
        <w:trPr>
          <w:trHeight w:val="569" w:hRule="atLeast"/>
          <w:jc w:val="center"/>
        </w:trPr>
        <w:tc>
          <w:tcPr>
            <w:tcW w:w="1078" w:type="dxa"/>
            <w:vMerge w:val="restart"/>
            <w:tcBorders>
              <w:top w:val="single" w:color="auto" w:sz="4" w:space="0"/>
              <w:left w:val="single" w:color="auto" w:sz="4" w:space="0"/>
              <w:bottom w:val="single" w:color="auto" w:sz="4" w:space="0"/>
              <w:right w:val="single" w:color="auto" w:sz="4" w:space="0"/>
            </w:tcBorders>
            <w:tcMar>
              <w:top w:w="10" w:type="dxa"/>
              <w:left w:w="10" w:type="dxa"/>
              <w:right w:w="10" w:type="dxa"/>
            </w:tcMar>
            <w:vAlign w:val="center"/>
          </w:tcPr>
          <w:p w14:paraId="30D00CB7">
            <w:pPr>
              <w:snapToGrid w:val="0"/>
              <w:spacing w:line="240" w:lineRule="auto"/>
              <w:ind w:left="0" w:leftChars="0" w:right="0" w:rightChars="0" w:firstLine="0" w:firstLineChars="0"/>
              <w:jc w:val="center"/>
              <w:textAlignment w:val="center"/>
              <w:rPr>
                <w:rFonts w:hint="default"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社会事务</w:t>
            </w:r>
          </w:p>
        </w:tc>
        <w:tc>
          <w:tcPr>
            <w:tcW w:w="5022" w:type="dxa"/>
            <w:tcBorders>
              <w:top w:val="single" w:color="auto" w:sz="4" w:space="0"/>
              <w:left w:val="single" w:color="auto" w:sz="4" w:space="0"/>
              <w:bottom w:val="single" w:color="auto" w:sz="4" w:space="0"/>
              <w:right w:val="single" w:color="auto" w:sz="4" w:space="0"/>
            </w:tcBorders>
            <w:tcMar>
              <w:top w:w="10" w:type="dxa"/>
              <w:left w:w="10" w:type="dxa"/>
              <w:right w:w="10" w:type="dxa"/>
            </w:tcMar>
            <w:vAlign w:val="center"/>
          </w:tcPr>
          <w:p w14:paraId="4039E6B3">
            <w:pPr>
              <w:snapToGrid w:val="0"/>
              <w:spacing w:line="240" w:lineRule="auto"/>
              <w:ind w:left="0" w:leftChars="0" w:right="0" w:rightChars="0" w:firstLine="0" w:firstLineChars="0"/>
              <w:jc w:val="center"/>
              <w:textAlignment w:val="bottom"/>
              <w:rPr>
                <w:rFonts w:hint="default"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基本殡葬服务覆盖率</w:t>
            </w:r>
          </w:p>
        </w:tc>
        <w:tc>
          <w:tcPr>
            <w:tcW w:w="1643" w:type="dxa"/>
            <w:tcBorders>
              <w:top w:val="single" w:color="auto" w:sz="4" w:space="0"/>
              <w:left w:val="single" w:color="auto" w:sz="4" w:space="0"/>
              <w:bottom w:val="single" w:color="auto" w:sz="4" w:space="0"/>
              <w:right w:val="single" w:color="auto" w:sz="4" w:space="0"/>
            </w:tcBorders>
            <w:tcMar>
              <w:top w:w="10" w:type="dxa"/>
              <w:left w:w="10" w:type="dxa"/>
              <w:right w:w="10" w:type="dxa"/>
            </w:tcMar>
            <w:vAlign w:val="center"/>
          </w:tcPr>
          <w:p w14:paraId="045E1D69">
            <w:pPr>
              <w:snapToGrid w:val="0"/>
              <w:spacing w:line="240" w:lineRule="auto"/>
              <w:ind w:left="0" w:leftChars="0" w:right="0" w:rightChars="0" w:firstLine="0" w:firstLineChars="0"/>
              <w:jc w:val="center"/>
              <w:textAlignment w:val="bottom"/>
              <w:rPr>
                <w:rFonts w:hint="default"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100%</w:t>
            </w:r>
          </w:p>
        </w:tc>
        <w:tc>
          <w:tcPr>
            <w:tcW w:w="976" w:type="dxa"/>
            <w:tcBorders>
              <w:top w:val="single" w:color="auto" w:sz="4" w:space="0"/>
              <w:left w:val="single" w:color="auto" w:sz="4" w:space="0"/>
              <w:bottom w:val="single" w:color="auto" w:sz="4" w:space="0"/>
              <w:right w:val="single" w:color="auto" w:sz="4" w:space="0"/>
            </w:tcBorders>
            <w:tcMar>
              <w:top w:w="10" w:type="dxa"/>
              <w:left w:w="10" w:type="dxa"/>
              <w:right w:w="10" w:type="dxa"/>
            </w:tcMar>
            <w:vAlign w:val="center"/>
          </w:tcPr>
          <w:p w14:paraId="0E74AB40">
            <w:pPr>
              <w:snapToGrid w:val="0"/>
              <w:spacing w:line="240" w:lineRule="auto"/>
              <w:ind w:left="0" w:leftChars="0" w:right="0" w:rightChars="0" w:firstLine="0" w:firstLineChars="0"/>
              <w:jc w:val="center"/>
              <w:textAlignment w:val="bottom"/>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约束性</w:t>
            </w:r>
          </w:p>
        </w:tc>
      </w:tr>
      <w:tr w14:paraId="63BB3B46">
        <w:tblPrEx>
          <w:tblCellMar>
            <w:top w:w="0" w:type="dxa"/>
            <w:left w:w="0" w:type="dxa"/>
            <w:bottom w:w="0" w:type="dxa"/>
            <w:right w:w="0" w:type="dxa"/>
          </w:tblCellMar>
        </w:tblPrEx>
        <w:trPr>
          <w:trHeight w:val="522" w:hRule="atLeast"/>
          <w:jc w:val="center"/>
        </w:trPr>
        <w:tc>
          <w:tcPr>
            <w:tcW w:w="1078" w:type="dxa"/>
            <w:vMerge w:val="continue"/>
            <w:tcBorders>
              <w:top w:val="single" w:color="auto" w:sz="4" w:space="0"/>
              <w:left w:val="single" w:color="auto" w:sz="4" w:space="0"/>
              <w:bottom w:val="single" w:color="auto" w:sz="4" w:space="0"/>
              <w:right w:val="single" w:color="auto" w:sz="4" w:space="0"/>
            </w:tcBorders>
            <w:tcMar>
              <w:top w:w="10" w:type="dxa"/>
              <w:left w:w="10" w:type="dxa"/>
              <w:right w:w="10" w:type="dxa"/>
            </w:tcMar>
            <w:vAlign w:val="center"/>
          </w:tcPr>
          <w:p w14:paraId="6979076C">
            <w:pPr>
              <w:snapToGrid w:val="0"/>
              <w:spacing w:line="240" w:lineRule="auto"/>
              <w:ind w:left="0" w:leftChars="0" w:right="0" w:rightChars="0" w:firstLine="0" w:firstLineChars="0"/>
              <w:jc w:val="center"/>
              <w:textAlignment w:val="center"/>
              <w:rPr>
                <w:rFonts w:hint="eastAsia" w:ascii="宋体" w:hAnsi="宋体" w:eastAsia="宋体" w:cs="宋体"/>
                <w:color w:val="auto"/>
                <w:kern w:val="0"/>
                <w:sz w:val="24"/>
                <w:szCs w:val="24"/>
                <w:highlight w:val="none"/>
                <w:lang w:val="en-US" w:eastAsia="zh-CN" w:bidi="ar"/>
              </w:rPr>
            </w:pPr>
          </w:p>
        </w:tc>
        <w:tc>
          <w:tcPr>
            <w:tcW w:w="5022" w:type="dxa"/>
            <w:tcBorders>
              <w:top w:val="single" w:color="auto" w:sz="4" w:space="0"/>
              <w:left w:val="single" w:color="auto" w:sz="4" w:space="0"/>
              <w:right w:val="single" w:color="auto" w:sz="4" w:space="0"/>
            </w:tcBorders>
            <w:tcMar>
              <w:top w:w="10" w:type="dxa"/>
              <w:left w:w="10" w:type="dxa"/>
              <w:right w:w="10" w:type="dxa"/>
            </w:tcMar>
            <w:vAlign w:val="center"/>
          </w:tcPr>
          <w:p w14:paraId="20F660DE">
            <w:pPr>
              <w:snapToGrid w:val="0"/>
              <w:spacing w:line="240" w:lineRule="auto"/>
              <w:ind w:left="0" w:leftChars="0" w:right="0" w:rightChars="0" w:firstLine="0" w:firstLineChars="0"/>
              <w:jc w:val="center"/>
              <w:textAlignment w:val="bottom"/>
              <w:rPr>
                <w:rFonts w:hint="default"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节地生态安葬率</w:t>
            </w:r>
          </w:p>
        </w:tc>
        <w:tc>
          <w:tcPr>
            <w:tcW w:w="1643" w:type="dxa"/>
            <w:tcBorders>
              <w:top w:val="single" w:color="auto" w:sz="4" w:space="0"/>
              <w:left w:val="single" w:color="auto" w:sz="4" w:space="0"/>
              <w:right w:val="single" w:color="auto" w:sz="4" w:space="0"/>
            </w:tcBorders>
            <w:tcMar>
              <w:top w:w="10" w:type="dxa"/>
              <w:left w:w="10" w:type="dxa"/>
              <w:right w:w="10" w:type="dxa"/>
            </w:tcMar>
            <w:vAlign w:val="center"/>
          </w:tcPr>
          <w:p w14:paraId="6866C75B">
            <w:pPr>
              <w:snapToGrid w:val="0"/>
              <w:spacing w:line="240" w:lineRule="auto"/>
              <w:ind w:left="0" w:leftChars="0" w:right="0" w:rightChars="0" w:firstLine="0" w:firstLineChars="0"/>
              <w:jc w:val="center"/>
              <w:textAlignment w:val="bottom"/>
              <w:rPr>
                <w:rFonts w:hint="default"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70%-80%</w:t>
            </w:r>
          </w:p>
        </w:tc>
        <w:tc>
          <w:tcPr>
            <w:tcW w:w="976" w:type="dxa"/>
            <w:tcBorders>
              <w:top w:val="single" w:color="auto" w:sz="4" w:space="0"/>
              <w:left w:val="single" w:color="auto" w:sz="4" w:space="0"/>
              <w:bottom w:val="single" w:color="auto" w:sz="4" w:space="0"/>
              <w:right w:val="single" w:color="auto" w:sz="4" w:space="0"/>
            </w:tcBorders>
            <w:tcMar>
              <w:top w:w="10" w:type="dxa"/>
              <w:left w:w="10" w:type="dxa"/>
              <w:right w:w="10" w:type="dxa"/>
            </w:tcMar>
            <w:vAlign w:val="center"/>
          </w:tcPr>
          <w:p w14:paraId="5C6EBF6A">
            <w:pPr>
              <w:snapToGrid w:val="0"/>
              <w:spacing w:line="240" w:lineRule="auto"/>
              <w:ind w:left="0" w:leftChars="0" w:right="0" w:rightChars="0" w:firstLine="0" w:firstLineChars="0"/>
              <w:jc w:val="center"/>
              <w:textAlignment w:val="bottom"/>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预期性</w:t>
            </w:r>
          </w:p>
        </w:tc>
      </w:tr>
      <w:tr w14:paraId="6016944B">
        <w:tblPrEx>
          <w:tblCellMar>
            <w:top w:w="0" w:type="dxa"/>
            <w:left w:w="0" w:type="dxa"/>
            <w:bottom w:w="0" w:type="dxa"/>
            <w:right w:w="0" w:type="dxa"/>
          </w:tblCellMar>
        </w:tblPrEx>
        <w:trPr>
          <w:trHeight w:val="544" w:hRule="atLeast"/>
          <w:jc w:val="center"/>
        </w:trPr>
        <w:tc>
          <w:tcPr>
            <w:tcW w:w="1078" w:type="dxa"/>
            <w:vMerge w:val="restart"/>
            <w:tcBorders>
              <w:top w:val="single" w:color="auto" w:sz="4" w:space="0"/>
              <w:left w:val="single" w:color="auto" w:sz="4" w:space="0"/>
              <w:right w:val="single" w:color="auto" w:sz="4" w:space="0"/>
            </w:tcBorders>
            <w:tcMar>
              <w:top w:w="10" w:type="dxa"/>
              <w:left w:w="10" w:type="dxa"/>
              <w:right w:w="10" w:type="dxa"/>
            </w:tcMar>
            <w:vAlign w:val="center"/>
          </w:tcPr>
          <w:p w14:paraId="0255393E">
            <w:pPr>
              <w:snapToGrid w:val="0"/>
              <w:spacing w:line="240" w:lineRule="auto"/>
              <w:ind w:left="0" w:leftChars="0" w:right="0" w:rightChars="0" w:firstLine="0" w:firstLineChars="0"/>
              <w:jc w:val="center"/>
              <w:textAlignment w:val="center"/>
              <w:rPr>
                <w:rFonts w:hint="default"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社会治理</w:t>
            </w:r>
          </w:p>
        </w:tc>
        <w:tc>
          <w:tcPr>
            <w:tcW w:w="5022" w:type="dxa"/>
            <w:tcBorders>
              <w:top w:val="single" w:color="auto" w:sz="4" w:space="0"/>
              <w:left w:val="single" w:color="auto" w:sz="4" w:space="0"/>
              <w:bottom w:val="single" w:color="auto" w:sz="4" w:space="0"/>
              <w:right w:val="single" w:color="auto" w:sz="4" w:space="0"/>
            </w:tcBorders>
            <w:tcMar>
              <w:top w:w="10" w:type="dxa"/>
              <w:left w:w="10" w:type="dxa"/>
              <w:right w:w="10" w:type="dxa"/>
            </w:tcMar>
            <w:vAlign w:val="center"/>
          </w:tcPr>
          <w:p w14:paraId="1F9BCDC0">
            <w:pPr>
              <w:snapToGrid w:val="0"/>
              <w:spacing w:line="240" w:lineRule="auto"/>
              <w:ind w:left="0" w:leftChars="0" w:right="0" w:rightChars="0" w:firstLine="0" w:firstLineChars="0"/>
              <w:jc w:val="center"/>
              <w:textAlignment w:val="bottom"/>
              <w:rPr>
                <w:rFonts w:hint="default"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3A级以上社会组织占比</w:t>
            </w:r>
          </w:p>
        </w:tc>
        <w:tc>
          <w:tcPr>
            <w:tcW w:w="1643" w:type="dxa"/>
            <w:tcBorders>
              <w:top w:val="single" w:color="auto" w:sz="4" w:space="0"/>
              <w:left w:val="single" w:color="auto" w:sz="4" w:space="0"/>
              <w:bottom w:val="single" w:color="auto" w:sz="4" w:space="0"/>
              <w:right w:val="single" w:color="auto" w:sz="4" w:space="0"/>
            </w:tcBorders>
            <w:tcMar>
              <w:top w:w="10" w:type="dxa"/>
              <w:left w:w="10" w:type="dxa"/>
              <w:right w:w="10" w:type="dxa"/>
            </w:tcMar>
            <w:vAlign w:val="center"/>
          </w:tcPr>
          <w:p w14:paraId="55897D7E">
            <w:pPr>
              <w:snapToGrid w:val="0"/>
              <w:spacing w:line="240" w:lineRule="auto"/>
              <w:ind w:left="0" w:leftChars="0" w:right="0" w:rightChars="0" w:firstLine="0" w:firstLineChars="0"/>
              <w:jc w:val="center"/>
              <w:textAlignment w:val="bottom"/>
              <w:rPr>
                <w:rFonts w:hint="default"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25%</w:t>
            </w:r>
          </w:p>
        </w:tc>
        <w:tc>
          <w:tcPr>
            <w:tcW w:w="976" w:type="dxa"/>
            <w:tcBorders>
              <w:top w:val="single" w:color="auto" w:sz="4" w:space="0"/>
              <w:left w:val="single" w:color="auto" w:sz="4" w:space="0"/>
              <w:bottom w:val="single" w:color="auto" w:sz="4" w:space="0"/>
              <w:right w:val="single" w:color="auto" w:sz="4" w:space="0"/>
            </w:tcBorders>
            <w:tcMar>
              <w:top w:w="10" w:type="dxa"/>
              <w:left w:w="10" w:type="dxa"/>
              <w:right w:w="10" w:type="dxa"/>
            </w:tcMar>
            <w:vAlign w:val="center"/>
          </w:tcPr>
          <w:p w14:paraId="642D5C41">
            <w:pPr>
              <w:snapToGrid w:val="0"/>
              <w:spacing w:line="240" w:lineRule="auto"/>
              <w:ind w:left="0" w:leftChars="0" w:right="0" w:rightChars="0" w:firstLine="0" w:firstLineChars="0"/>
              <w:jc w:val="center"/>
              <w:textAlignment w:val="bottom"/>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预期性</w:t>
            </w:r>
          </w:p>
        </w:tc>
      </w:tr>
      <w:tr w14:paraId="630C32CB">
        <w:tblPrEx>
          <w:tblCellMar>
            <w:top w:w="0" w:type="dxa"/>
            <w:left w:w="0" w:type="dxa"/>
            <w:bottom w:w="0" w:type="dxa"/>
            <w:right w:w="0" w:type="dxa"/>
          </w:tblCellMar>
        </w:tblPrEx>
        <w:trPr>
          <w:trHeight w:val="669" w:hRule="atLeast"/>
          <w:jc w:val="center"/>
        </w:trPr>
        <w:tc>
          <w:tcPr>
            <w:tcW w:w="1078" w:type="dxa"/>
            <w:vMerge w:val="continue"/>
            <w:tcBorders>
              <w:left w:val="single" w:color="auto" w:sz="4" w:space="0"/>
              <w:bottom w:val="single" w:color="auto" w:sz="4" w:space="0"/>
              <w:right w:val="single" w:color="auto" w:sz="4" w:space="0"/>
            </w:tcBorders>
            <w:tcMar>
              <w:top w:w="10" w:type="dxa"/>
              <w:left w:w="10" w:type="dxa"/>
              <w:right w:w="10" w:type="dxa"/>
            </w:tcMar>
            <w:vAlign w:val="center"/>
          </w:tcPr>
          <w:p w14:paraId="040AD418">
            <w:pPr>
              <w:snapToGrid w:val="0"/>
              <w:spacing w:line="240" w:lineRule="auto"/>
              <w:ind w:left="0" w:leftChars="0" w:right="0" w:rightChars="0" w:firstLine="0" w:firstLineChars="0"/>
              <w:jc w:val="center"/>
              <w:textAlignment w:val="center"/>
              <w:rPr>
                <w:rFonts w:hint="eastAsia" w:ascii="宋体" w:hAnsi="宋体" w:eastAsia="宋体" w:cs="宋体"/>
                <w:color w:val="auto"/>
                <w:kern w:val="0"/>
                <w:sz w:val="24"/>
                <w:szCs w:val="24"/>
                <w:highlight w:val="none"/>
                <w:lang w:val="en-US" w:eastAsia="zh-CN" w:bidi="ar"/>
              </w:rPr>
            </w:pPr>
          </w:p>
        </w:tc>
        <w:tc>
          <w:tcPr>
            <w:tcW w:w="5022" w:type="dxa"/>
            <w:tcBorders>
              <w:top w:val="single" w:color="auto" w:sz="4" w:space="0"/>
              <w:left w:val="single" w:color="auto" w:sz="4" w:space="0"/>
              <w:bottom w:val="single" w:color="auto" w:sz="4" w:space="0"/>
              <w:right w:val="single" w:color="auto" w:sz="4" w:space="0"/>
            </w:tcBorders>
            <w:tcMar>
              <w:top w:w="10" w:type="dxa"/>
              <w:left w:w="10" w:type="dxa"/>
              <w:right w:w="10" w:type="dxa"/>
            </w:tcMar>
            <w:vAlign w:val="center"/>
          </w:tcPr>
          <w:p w14:paraId="1D8B74FB">
            <w:pPr>
              <w:snapToGrid w:val="0"/>
              <w:spacing w:line="240" w:lineRule="auto"/>
              <w:ind w:left="0" w:leftChars="0" w:right="0" w:rightChars="0" w:firstLine="0" w:firstLineChars="0"/>
              <w:jc w:val="center"/>
              <w:textAlignment w:val="bottom"/>
              <w:rPr>
                <w:rFonts w:hint="default"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法人治理结构健全、无不良信用信息记录的社会组织占比</w:t>
            </w:r>
          </w:p>
        </w:tc>
        <w:tc>
          <w:tcPr>
            <w:tcW w:w="1643" w:type="dxa"/>
            <w:tcBorders>
              <w:top w:val="single" w:color="auto" w:sz="4" w:space="0"/>
              <w:left w:val="single" w:color="auto" w:sz="4" w:space="0"/>
              <w:bottom w:val="single" w:color="auto" w:sz="4" w:space="0"/>
              <w:right w:val="single" w:color="auto" w:sz="4" w:space="0"/>
            </w:tcBorders>
            <w:tcMar>
              <w:top w:w="10" w:type="dxa"/>
              <w:left w:w="10" w:type="dxa"/>
              <w:right w:w="10" w:type="dxa"/>
            </w:tcMar>
            <w:vAlign w:val="center"/>
          </w:tcPr>
          <w:p w14:paraId="00BC1295">
            <w:pPr>
              <w:snapToGrid w:val="0"/>
              <w:spacing w:line="240" w:lineRule="auto"/>
              <w:ind w:left="0" w:leftChars="0" w:right="0" w:rightChars="0" w:firstLine="0" w:firstLineChars="0"/>
              <w:jc w:val="center"/>
              <w:textAlignment w:val="bottom"/>
              <w:rPr>
                <w:rFonts w:hint="default"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85%</w:t>
            </w:r>
          </w:p>
        </w:tc>
        <w:tc>
          <w:tcPr>
            <w:tcW w:w="976" w:type="dxa"/>
            <w:tcBorders>
              <w:top w:val="single" w:color="auto" w:sz="4" w:space="0"/>
              <w:left w:val="single" w:color="auto" w:sz="4" w:space="0"/>
              <w:bottom w:val="single" w:color="auto" w:sz="4" w:space="0"/>
              <w:right w:val="single" w:color="auto" w:sz="4" w:space="0"/>
            </w:tcBorders>
            <w:tcMar>
              <w:top w:w="10" w:type="dxa"/>
              <w:left w:w="10" w:type="dxa"/>
              <w:right w:w="10" w:type="dxa"/>
            </w:tcMar>
            <w:vAlign w:val="center"/>
          </w:tcPr>
          <w:p w14:paraId="032F8C4A">
            <w:pPr>
              <w:snapToGrid w:val="0"/>
              <w:spacing w:line="240" w:lineRule="auto"/>
              <w:ind w:left="0" w:leftChars="0" w:right="0" w:rightChars="0" w:firstLine="0" w:firstLineChars="0"/>
              <w:jc w:val="center"/>
              <w:textAlignment w:val="bottom"/>
              <w:rPr>
                <w:rFonts w:hint="default"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预期性</w:t>
            </w:r>
          </w:p>
        </w:tc>
      </w:tr>
    </w:tbl>
    <w:p w14:paraId="225B7159">
      <w:pPr>
        <w:rPr>
          <w:rFonts w:hint="eastAsia" w:ascii="黑体" w:hAnsi="黑体" w:eastAsia="黑体"/>
          <w:b w:val="0"/>
          <w:bCs w:val="0"/>
          <w:color w:val="auto"/>
          <w:sz w:val="32"/>
          <w:szCs w:val="32"/>
          <w:highlight w:val="none"/>
          <w:lang w:val="en-US" w:eastAsia="zh-CN"/>
        </w:rPr>
      </w:pPr>
    </w:p>
    <w:p w14:paraId="31C35C88">
      <w:pPr>
        <w:rPr>
          <w:rFonts w:hint="eastAsia" w:ascii="黑体" w:hAnsi="黑体" w:eastAsia="黑体"/>
          <w:color w:val="auto"/>
          <w:sz w:val="32"/>
          <w:szCs w:val="32"/>
          <w:highlight w:val="none"/>
        </w:rPr>
      </w:pPr>
      <w:r>
        <w:rPr>
          <w:rFonts w:hint="eastAsia" w:ascii="黑体" w:hAnsi="黑体" w:eastAsia="黑体"/>
          <w:color w:val="auto"/>
          <w:sz w:val="32"/>
          <w:szCs w:val="32"/>
          <w:highlight w:val="none"/>
        </w:rPr>
        <w:br w:type="page"/>
      </w:r>
    </w:p>
    <w:p w14:paraId="2337E3A4">
      <w:pPr>
        <w:snapToGrid w:val="0"/>
        <w:spacing w:before="156" w:beforeLines="50" w:line="360" w:lineRule="auto"/>
        <w:ind w:firstLine="320" w:firstLineChars="100"/>
        <w:jc w:val="center"/>
        <w:outlineLvl w:val="0"/>
        <w:rPr>
          <w:rFonts w:ascii="黑体" w:hAnsi="黑体" w:eastAsia="黑体"/>
          <w:color w:val="auto"/>
          <w:sz w:val="32"/>
          <w:szCs w:val="32"/>
          <w:highlight w:val="none"/>
        </w:rPr>
      </w:pPr>
      <w:bookmarkStart w:id="28" w:name="_Toc5772"/>
      <w:r>
        <w:rPr>
          <w:rFonts w:hint="eastAsia" w:ascii="黑体" w:hAnsi="黑体" w:eastAsia="黑体"/>
          <w:color w:val="auto"/>
          <w:sz w:val="32"/>
          <w:szCs w:val="32"/>
          <w:highlight w:val="none"/>
        </w:rPr>
        <w:t xml:space="preserve">第三章  </w:t>
      </w:r>
      <w:r>
        <w:rPr>
          <w:rFonts w:hint="eastAsia" w:ascii="黑体" w:hAnsi="黑体" w:eastAsia="黑体"/>
          <w:color w:val="auto"/>
          <w:sz w:val="32"/>
          <w:szCs w:val="32"/>
          <w:highlight w:val="none"/>
          <w:lang w:val="en-US" w:eastAsia="zh-CN"/>
        </w:rPr>
        <w:t>主要</w:t>
      </w:r>
      <w:r>
        <w:rPr>
          <w:rFonts w:hint="eastAsia" w:ascii="黑体" w:hAnsi="黑体" w:eastAsia="黑体"/>
          <w:color w:val="auto"/>
          <w:sz w:val="32"/>
          <w:szCs w:val="32"/>
          <w:highlight w:val="none"/>
        </w:rPr>
        <w:t>任务</w:t>
      </w:r>
      <w:bookmarkEnd w:id="27"/>
      <w:bookmarkEnd w:id="28"/>
    </w:p>
    <w:p w14:paraId="1C8C5CBB">
      <w:pPr>
        <w:keepNext w:val="0"/>
        <w:keepLines w:val="0"/>
        <w:pageBreakBefore w:val="0"/>
        <w:widowControl w:val="0"/>
        <w:kinsoku/>
        <w:wordWrap/>
        <w:overflowPunct/>
        <w:topLinePunct w:val="0"/>
        <w:autoSpaceDE/>
        <w:autoSpaceDN/>
        <w:bidi w:val="0"/>
        <w:adjustRightInd/>
        <w:snapToGrid w:val="0"/>
        <w:spacing w:before="156" w:beforeLines="50" w:line="360" w:lineRule="auto"/>
        <w:ind w:firstLine="640" w:firstLineChars="200"/>
        <w:textAlignment w:val="auto"/>
        <w:outlineLvl w:val="1"/>
        <w:rPr>
          <w:rFonts w:hint="eastAsia" w:ascii="黑体" w:hAnsi="黑体" w:eastAsia="黑体" w:cs="黑体"/>
          <w:color w:val="auto"/>
          <w:sz w:val="32"/>
          <w:szCs w:val="32"/>
          <w:highlight w:val="none"/>
          <w:lang w:eastAsia="zh-CN"/>
        </w:rPr>
      </w:pPr>
      <w:bookmarkStart w:id="29" w:name="_Toc2179"/>
      <w:bookmarkStart w:id="30" w:name="_Toc15376"/>
      <w:r>
        <w:rPr>
          <w:rFonts w:hint="eastAsia" w:ascii="黑体" w:hAnsi="黑体" w:eastAsia="黑体" w:cs="黑体"/>
          <w:color w:val="auto"/>
          <w:sz w:val="32"/>
          <w:szCs w:val="32"/>
          <w:highlight w:val="none"/>
          <w:lang w:val="en-US" w:eastAsia="zh-CN"/>
        </w:rPr>
        <w:t>一</w:t>
      </w:r>
      <w:r>
        <w:rPr>
          <w:rFonts w:hint="eastAsia" w:ascii="黑体" w:hAnsi="黑体" w:eastAsia="黑体" w:cs="黑体"/>
          <w:color w:val="auto"/>
          <w:sz w:val="32"/>
          <w:szCs w:val="32"/>
          <w:highlight w:val="none"/>
        </w:rPr>
        <w:t>、</w:t>
      </w:r>
      <w:r>
        <w:rPr>
          <w:rFonts w:hint="eastAsia" w:ascii="黑体" w:hAnsi="黑体" w:eastAsia="黑体" w:cs="黑体"/>
          <w:color w:val="auto"/>
          <w:sz w:val="32"/>
          <w:szCs w:val="32"/>
          <w:highlight w:val="none"/>
          <w:lang w:val="en-US" w:eastAsia="zh-CN"/>
        </w:rPr>
        <w:t>积极应对人口老龄化，</w:t>
      </w:r>
      <w:r>
        <w:rPr>
          <w:rFonts w:hint="eastAsia" w:ascii="黑体" w:hAnsi="黑体" w:eastAsia="黑体" w:cs="黑体"/>
          <w:color w:val="auto"/>
          <w:sz w:val="32"/>
          <w:szCs w:val="32"/>
          <w:highlight w:val="none"/>
        </w:rPr>
        <w:t>构建普惠多元老年服务体系</w:t>
      </w:r>
      <w:bookmarkEnd w:id="29"/>
      <w:bookmarkEnd w:id="30"/>
    </w:p>
    <w:p w14:paraId="67C2FA11">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outlineLvl w:val="2"/>
        <w:rPr>
          <w:rFonts w:ascii="华文中宋" w:hAnsi="华文中宋" w:eastAsia="华文中宋" w:cs="华文中宋"/>
          <w:b w:val="0"/>
          <w:bCs w:val="0"/>
          <w:color w:val="auto"/>
          <w:sz w:val="32"/>
          <w:szCs w:val="32"/>
          <w:highlight w:val="none"/>
        </w:rPr>
      </w:pPr>
      <w:bookmarkStart w:id="31" w:name="_Toc23211"/>
      <w:bookmarkStart w:id="32" w:name="_Toc875"/>
      <w:r>
        <w:rPr>
          <w:rFonts w:hint="eastAsia" w:ascii="华文中宋" w:hAnsi="华文中宋" w:eastAsia="华文中宋" w:cs="华文中宋"/>
          <w:b w:val="0"/>
          <w:bCs w:val="0"/>
          <w:color w:val="auto"/>
          <w:sz w:val="32"/>
          <w:szCs w:val="32"/>
          <w:highlight w:val="none"/>
        </w:rPr>
        <w:t>（一）打造共建共治共享的老年友好型社会</w:t>
      </w:r>
      <w:bookmarkEnd w:id="31"/>
    </w:p>
    <w:p w14:paraId="7CF717D2">
      <w:pPr>
        <w:keepNext w:val="0"/>
        <w:keepLines w:val="0"/>
        <w:pageBreakBefore w:val="0"/>
        <w:widowControl w:val="0"/>
        <w:kinsoku/>
        <w:wordWrap/>
        <w:overflowPunct/>
        <w:topLinePunct w:val="0"/>
        <w:autoSpaceDE/>
        <w:autoSpaceDN/>
        <w:bidi w:val="0"/>
        <w:adjustRightInd/>
        <w:snapToGrid/>
        <w:spacing w:before="157" w:beforeLines="50" w:line="360" w:lineRule="auto"/>
        <w:ind w:firstLine="643" w:firstLineChars="200"/>
        <w:textAlignment w:val="auto"/>
        <w:rPr>
          <w:rFonts w:hint="eastAsia" w:ascii="宋体" w:hAnsi="宋体" w:eastAsia="仿宋_GB2312" w:cs="仿宋_GB2312"/>
          <w:b w:val="0"/>
          <w:bCs w:val="0"/>
          <w:color w:val="auto"/>
          <w:kern w:val="2"/>
          <w:sz w:val="32"/>
          <w:szCs w:val="32"/>
          <w:highlight w:val="none"/>
          <w:lang w:val="en-US" w:eastAsia="zh-CN" w:bidi="ar-SA"/>
        </w:rPr>
      </w:pPr>
      <w:r>
        <w:rPr>
          <w:rFonts w:hint="eastAsia" w:ascii="华文楷体" w:hAnsi="华文楷体" w:eastAsia="华文楷体" w:cs="华文楷体"/>
          <w:b/>
          <w:bCs/>
          <w:color w:val="auto"/>
          <w:sz w:val="32"/>
          <w:szCs w:val="32"/>
          <w:highlight w:val="none"/>
          <w:lang w:val="en-US" w:eastAsia="zh-CN"/>
        </w:rPr>
        <w:t>推进老年友好型社会建设。</w:t>
      </w:r>
      <w:r>
        <w:rPr>
          <w:rFonts w:hint="default" w:eastAsia="仿宋_GB2312" w:cs="仿宋_GB2312" w:asciiTheme="minorEastAsia" w:hAnsiTheme="minorEastAsia"/>
          <w:color w:val="auto"/>
          <w:kern w:val="2"/>
          <w:sz w:val="32"/>
          <w:szCs w:val="32"/>
          <w:highlight w:val="none"/>
          <w:lang w:val="en-US" w:eastAsia="zh-CN" w:bidi="ar-SA"/>
        </w:rPr>
        <w:t>积极推进老年友好型城市、老年友好型社区改造提质，利用闲置空间补充老年教育、文化体育、休闲娱乐等设施，将无障碍环境建设和适老化改造纳入城市更新、城镇老旧小区改造、完整社区建设、农村人居环境整治提升等统筹推进，规划建设适老化无障碍交通设施</w:t>
      </w:r>
      <w:r>
        <w:rPr>
          <w:rFonts w:hint="eastAsia" w:eastAsia="仿宋_GB2312" w:cs="仿宋_GB2312" w:asciiTheme="minorEastAsia" w:hAnsiTheme="minorEastAsia"/>
          <w:color w:val="auto"/>
          <w:kern w:val="2"/>
          <w:sz w:val="32"/>
          <w:szCs w:val="32"/>
          <w:highlight w:val="none"/>
          <w:lang w:val="en-US" w:eastAsia="zh-CN" w:bidi="ar-SA"/>
        </w:rPr>
        <w:t>。</w:t>
      </w:r>
      <w:r>
        <w:rPr>
          <w:rFonts w:hint="default" w:eastAsia="仿宋_GB2312" w:cs="仿宋_GB2312" w:asciiTheme="minorEastAsia" w:hAnsiTheme="minorEastAsia"/>
          <w:color w:val="auto"/>
          <w:kern w:val="2"/>
          <w:sz w:val="32"/>
          <w:szCs w:val="32"/>
          <w:highlight w:val="none"/>
          <w:lang w:val="en-US" w:eastAsia="zh-CN" w:bidi="ar-SA"/>
        </w:rPr>
        <w:t>建立健全公共交通、公园绿地、风景名胜区、公共文化设施等面向老年人的优惠减免与</w:t>
      </w:r>
      <w:r>
        <w:rPr>
          <w:rFonts w:hint="eastAsia" w:eastAsia="仿宋_GB2312" w:cs="仿宋_GB2312" w:asciiTheme="minorEastAsia" w:hAnsiTheme="minorEastAsia"/>
          <w:color w:val="auto"/>
          <w:kern w:val="2"/>
          <w:sz w:val="32"/>
          <w:szCs w:val="32"/>
          <w:highlight w:val="none"/>
          <w:lang w:val="en-US" w:eastAsia="zh-CN" w:bidi="ar-SA"/>
        </w:rPr>
        <w:t>优待</w:t>
      </w:r>
      <w:r>
        <w:rPr>
          <w:rFonts w:hint="default" w:eastAsia="仿宋_GB2312" w:cs="仿宋_GB2312" w:asciiTheme="minorEastAsia" w:hAnsiTheme="minorEastAsia"/>
          <w:color w:val="auto"/>
          <w:kern w:val="2"/>
          <w:sz w:val="32"/>
          <w:szCs w:val="32"/>
          <w:highlight w:val="none"/>
          <w:lang w:val="en-US" w:eastAsia="zh-CN" w:bidi="ar-SA"/>
        </w:rPr>
        <w:t>服务制度，为老年人社会参与创造便利条件</w:t>
      </w:r>
      <w:r>
        <w:rPr>
          <w:rFonts w:hint="eastAsia" w:eastAsia="仿宋_GB2312" w:cs="仿宋_GB2312" w:asciiTheme="minorEastAsia" w:hAnsiTheme="minorEastAsia"/>
          <w:color w:val="auto"/>
          <w:kern w:val="2"/>
          <w:sz w:val="32"/>
          <w:szCs w:val="32"/>
          <w:highlight w:val="none"/>
          <w:lang w:val="en-US" w:eastAsia="zh-CN" w:bidi="ar-SA"/>
        </w:rPr>
        <w:t>。</w:t>
      </w:r>
      <w:r>
        <w:rPr>
          <w:rFonts w:hint="default" w:eastAsia="仿宋_GB2312" w:cs="仿宋_GB2312" w:asciiTheme="minorEastAsia" w:hAnsiTheme="minorEastAsia"/>
          <w:color w:val="auto"/>
          <w:kern w:val="2"/>
          <w:sz w:val="32"/>
          <w:szCs w:val="32"/>
          <w:highlight w:val="none"/>
          <w:lang w:val="en-US" w:eastAsia="zh-CN" w:bidi="ar-SA"/>
        </w:rPr>
        <w:t>深入开展人口老龄化国情教育，引导全社会树立积极老龄观</w:t>
      </w:r>
      <w:r>
        <w:rPr>
          <w:rFonts w:hint="eastAsia" w:eastAsia="仿宋_GB2312" w:cs="仿宋_GB2312" w:asciiTheme="minorEastAsia" w:hAnsiTheme="minorEastAsia"/>
          <w:color w:val="auto"/>
          <w:kern w:val="2"/>
          <w:sz w:val="32"/>
          <w:szCs w:val="32"/>
          <w:highlight w:val="none"/>
          <w:lang w:val="en-US" w:eastAsia="zh-CN" w:bidi="ar-SA"/>
        </w:rPr>
        <w:t>，</w:t>
      </w:r>
      <w:r>
        <w:rPr>
          <w:rFonts w:hint="default" w:eastAsia="仿宋_GB2312" w:cs="仿宋_GB2312" w:asciiTheme="minorEastAsia" w:hAnsiTheme="minorEastAsia"/>
          <w:color w:val="auto"/>
          <w:kern w:val="2"/>
          <w:sz w:val="32"/>
          <w:szCs w:val="32"/>
          <w:highlight w:val="none"/>
          <w:lang w:val="en-US" w:eastAsia="zh-CN" w:bidi="ar-SA"/>
        </w:rPr>
        <w:t>充分发挥新闻媒介作用，持续弘扬尊老、爱老、孝老的传统美德，厚植老龄社会共识。利用重阳节、中秋节、春节等传统节日，广泛开展形式多样的敬老孝老主题活动，营造尊重、包容、优</w:t>
      </w:r>
      <w:r>
        <w:rPr>
          <w:rFonts w:hint="eastAsia" w:eastAsia="仿宋_GB2312" w:cs="仿宋_GB2312" w:asciiTheme="minorEastAsia" w:hAnsiTheme="minorEastAsia"/>
          <w:color w:val="auto"/>
          <w:kern w:val="2"/>
          <w:sz w:val="32"/>
          <w:szCs w:val="32"/>
          <w:highlight w:val="none"/>
          <w:lang w:val="en-US" w:eastAsia="zh-CN" w:bidi="ar-SA"/>
        </w:rPr>
        <w:t>待</w:t>
      </w:r>
      <w:r>
        <w:rPr>
          <w:rFonts w:hint="default" w:eastAsia="仿宋_GB2312" w:cs="仿宋_GB2312" w:asciiTheme="minorEastAsia" w:hAnsiTheme="minorEastAsia"/>
          <w:color w:val="auto"/>
          <w:kern w:val="2"/>
          <w:sz w:val="32"/>
          <w:szCs w:val="32"/>
          <w:highlight w:val="none"/>
          <w:lang w:val="en-US" w:eastAsia="zh-CN" w:bidi="ar-SA"/>
        </w:rPr>
        <w:t>老年人的社会氛围</w:t>
      </w:r>
      <w:r>
        <w:rPr>
          <w:rFonts w:hint="eastAsia" w:eastAsia="仿宋_GB2312" w:cs="仿宋_GB2312" w:asciiTheme="minorEastAsia" w:hAnsiTheme="minorEastAsia"/>
          <w:color w:val="auto"/>
          <w:kern w:val="2"/>
          <w:sz w:val="32"/>
          <w:szCs w:val="32"/>
          <w:highlight w:val="none"/>
          <w:lang w:val="en-US" w:eastAsia="zh-CN" w:bidi="ar-SA"/>
        </w:rPr>
        <w:t>。</w:t>
      </w:r>
      <w:r>
        <w:rPr>
          <w:rFonts w:hint="default" w:eastAsia="仿宋_GB2312" w:cs="仿宋_GB2312" w:asciiTheme="minorEastAsia" w:hAnsiTheme="minorEastAsia"/>
          <w:color w:val="auto"/>
          <w:kern w:val="2"/>
          <w:sz w:val="32"/>
          <w:szCs w:val="32"/>
          <w:highlight w:val="none"/>
          <w:lang w:val="en-US" w:eastAsia="zh-CN" w:bidi="ar-SA"/>
        </w:rPr>
        <w:t>持续开展“智慧助老”行动，对民生领域涉老高频服务事项，保留传统服务方式或采取简便易用的适老服务方式，建立健全为老志愿服务项目库，引导为老志愿服务与老年人生活服务、健康服务、精神慰藉、法律援助等需求有效对接</w:t>
      </w:r>
      <w:r>
        <w:rPr>
          <w:rFonts w:hint="eastAsia" w:eastAsia="仿宋_GB2312" w:cs="仿宋_GB2312" w:asciiTheme="minorEastAsia" w:hAnsiTheme="minorEastAsia"/>
          <w:color w:val="auto"/>
          <w:kern w:val="2"/>
          <w:sz w:val="32"/>
          <w:szCs w:val="32"/>
          <w:highlight w:val="none"/>
          <w:lang w:val="en-US" w:eastAsia="zh-CN" w:bidi="ar-SA"/>
        </w:rPr>
        <w:t>。</w:t>
      </w:r>
    </w:p>
    <w:p w14:paraId="67CB8957">
      <w:pPr>
        <w:keepNext w:val="0"/>
        <w:keepLines w:val="0"/>
        <w:pageBreakBefore w:val="0"/>
        <w:widowControl w:val="0"/>
        <w:kinsoku/>
        <w:wordWrap/>
        <w:overflowPunct/>
        <w:topLinePunct w:val="0"/>
        <w:autoSpaceDE/>
        <w:autoSpaceDN/>
        <w:bidi w:val="0"/>
        <w:adjustRightInd/>
        <w:snapToGrid/>
        <w:spacing w:before="157" w:beforeLines="50" w:line="360" w:lineRule="auto"/>
        <w:ind w:firstLine="643" w:firstLineChars="200"/>
        <w:textAlignment w:val="auto"/>
        <w:rPr>
          <w:rFonts w:hint="eastAsia" w:ascii="宋体" w:hAnsi="宋体" w:eastAsia="仿宋_GB2312" w:cs="仿宋_GB2312"/>
          <w:b w:val="0"/>
          <w:bCs w:val="0"/>
          <w:color w:val="auto"/>
          <w:kern w:val="2"/>
          <w:sz w:val="32"/>
          <w:szCs w:val="32"/>
          <w:highlight w:val="none"/>
          <w:lang w:val="en-US" w:eastAsia="zh-CN" w:bidi="ar-SA"/>
        </w:rPr>
      </w:pPr>
      <w:r>
        <w:rPr>
          <w:rFonts w:hint="eastAsia" w:ascii="华文楷体" w:hAnsi="华文楷体" w:eastAsia="华文楷体" w:cs="华文楷体"/>
          <w:b/>
          <w:bCs/>
          <w:color w:val="auto"/>
          <w:kern w:val="2"/>
          <w:sz w:val="32"/>
          <w:szCs w:val="32"/>
          <w:highlight w:val="none"/>
          <w:lang w:val="en-US" w:eastAsia="zh-CN" w:bidi="ar-SA"/>
        </w:rPr>
        <w:t>扩大老年人社会参与。</w:t>
      </w:r>
      <w:r>
        <w:rPr>
          <w:rFonts w:hint="default" w:eastAsia="仿宋_GB2312" w:cs="仿宋_GB2312" w:asciiTheme="minorEastAsia" w:hAnsiTheme="minorEastAsia"/>
          <w:color w:val="auto"/>
          <w:kern w:val="2"/>
          <w:sz w:val="32"/>
          <w:szCs w:val="32"/>
          <w:highlight w:val="none"/>
          <w:lang w:val="en-US" w:eastAsia="zh-CN" w:bidi="ar-SA"/>
        </w:rPr>
        <w:t>积极宣传老年人社会参与在提升社会整体福祉、促进社会和谐等方面的积极作用，增强全社会对老年人社会参与的认知度、认同感和参与意愿，营造支持老年群体发挥作用的良好氛围。搭建统一的老年人社会参与宣传、服务和管理平台，广泛开展“银龄行动”，积极引导老年人以志愿服务等形式，参与文明实践、乡村振兴、社区治理、公益慈善、科教文卫、移风易俗、民事调解等各类活动，</w:t>
      </w:r>
      <w:r>
        <w:rPr>
          <w:rFonts w:hint="eastAsia" w:eastAsia="仿宋_GB2312" w:cs="仿宋_GB2312" w:asciiTheme="minorEastAsia" w:hAnsiTheme="minorEastAsia"/>
          <w:color w:val="auto"/>
          <w:kern w:val="2"/>
          <w:sz w:val="32"/>
          <w:szCs w:val="32"/>
          <w:highlight w:val="none"/>
          <w:lang w:val="en-US" w:eastAsia="zh-CN" w:bidi="ar-SA"/>
        </w:rPr>
        <w:t>加强对老年志愿服务典型的选树与宣传推广</w:t>
      </w:r>
      <w:r>
        <w:rPr>
          <w:rFonts w:hint="default" w:eastAsia="仿宋_GB2312" w:cs="仿宋_GB2312" w:asciiTheme="minorEastAsia" w:hAnsiTheme="minorEastAsia"/>
          <w:color w:val="auto"/>
          <w:kern w:val="2"/>
          <w:sz w:val="32"/>
          <w:szCs w:val="32"/>
          <w:highlight w:val="none"/>
          <w:lang w:val="en-US" w:eastAsia="zh-CN" w:bidi="ar-SA"/>
        </w:rPr>
        <w:t>。推动完善老年人参与灵活就业、志愿服务、终身教育、文化娱乐等方面的配套政策法规，加强政策引导与激励。完善支持老年人就业创业的具体措施，切实维护其合法权益。</w:t>
      </w:r>
      <w:r>
        <w:rPr>
          <w:rFonts w:hint="eastAsia" w:eastAsia="仿宋_GB2312" w:cs="仿宋_GB2312" w:asciiTheme="minorEastAsia" w:hAnsiTheme="minorEastAsia"/>
          <w:color w:val="auto"/>
          <w:kern w:val="2"/>
          <w:sz w:val="32"/>
          <w:szCs w:val="32"/>
          <w:highlight w:val="none"/>
          <w:lang w:val="en-US" w:eastAsia="zh-CN" w:bidi="ar-SA"/>
        </w:rPr>
        <w:t>扩大老年人文化参与，鼓励举办老年人才艺大赛、“银龄春晚”等文化展示活动，培育老年文化品牌。支持和鼓励各类社会力量举办或参与发展普惠性老年教育，因地制宜开展适合老年人的教学活动。促进老年人体育健身，引导村（社区）普遍建立老年人健身站点和健身团队，积极开展贴近城乡居民健身需求的体育活动。</w:t>
      </w:r>
    </w:p>
    <w:p w14:paraId="7656731B">
      <w:pPr>
        <w:keepNext w:val="0"/>
        <w:keepLines w:val="0"/>
        <w:pageBreakBefore w:val="0"/>
        <w:widowControl w:val="0"/>
        <w:kinsoku/>
        <w:wordWrap/>
        <w:overflowPunct/>
        <w:topLinePunct w:val="0"/>
        <w:autoSpaceDE/>
        <w:autoSpaceDN/>
        <w:bidi w:val="0"/>
        <w:adjustRightInd/>
        <w:snapToGrid w:val="0"/>
        <w:spacing w:before="157" w:beforeLines="50" w:line="360" w:lineRule="auto"/>
        <w:ind w:firstLine="643" w:firstLineChars="200"/>
        <w:textAlignment w:val="auto"/>
        <w:outlineLvl w:val="9"/>
        <w:rPr>
          <w:rFonts w:hint="eastAsia" w:eastAsia="仿宋_GB2312" w:cs="仿宋_GB2312" w:asciiTheme="minorEastAsia" w:hAnsiTheme="minorEastAsia"/>
          <w:color w:val="auto"/>
          <w:kern w:val="2"/>
          <w:sz w:val="32"/>
          <w:szCs w:val="32"/>
          <w:highlight w:val="none"/>
          <w:lang w:val="en-US" w:eastAsia="zh-CN" w:bidi="ar-SA"/>
        </w:rPr>
      </w:pPr>
      <w:r>
        <w:rPr>
          <w:rFonts w:hint="eastAsia" w:ascii="华文楷体" w:hAnsi="华文楷体" w:eastAsia="华文楷体" w:cs="华文楷体"/>
          <w:b/>
          <w:bCs/>
          <w:color w:val="auto"/>
          <w:kern w:val="2"/>
          <w:sz w:val="32"/>
          <w:szCs w:val="32"/>
          <w:highlight w:val="none"/>
          <w:lang w:val="en-US" w:eastAsia="zh-CN" w:bidi="ar-SA"/>
        </w:rPr>
        <w:t>完善老龄社会治理机制。</w:t>
      </w:r>
      <w:r>
        <w:rPr>
          <w:rFonts w:hint="eastAsia" w:eastAsia="仿宋_GB2312" w:cs="仿宋_GB2312" w:asciiTheme="minorEastAsia" w:hAnsiTheme="minorEastAsia"/>
          <w:color w:val="auto"/>
          <w:kern w:val="2"/>
          <w:sz w:val="32"/>
          <w:szCs w:val="32"/>
          <w:highlight w:val="none"/>
          <w:lang w:val="en-US" w:eastAsia="zh-CN" w:bidi="ar-SA"/>
        </w:rPr>
        <w:t>大力培育发展基层老年协会，发挥老年人自我管理、自我教育、自我服务、服务社会的作用，加强协会自身规范化建设及与</w:t>
      </w:r>
      <w:bookmarkStart w:id="94" w:name="_GoBack"/>
      <w:r>
        <w:rPr>
          <w:rFonts w:hint="eastAsia" w:eastAsia="仿宋_GB2312" w:cs="仿宋_GB2312" w:asciiTheme="minorEastAsia" w:hAnsiTheme="minorEastAsia"/>
          <w:color w:val="auto"/>
          <w:kern w:val="2"/>
          <w:sz w:val="32"/>
          <w:szCs w:val="32"/>
          <w:highlight w:val="none"/>
          <w:lang w:val="en-US" w:eastAsia="zh-CN" w:bidi="ar-SA"/>
        </w:rPr>
        <w:t>村（居）民委员会</w:t>
      </w:r>
      <w:bookmarkEnd w:id="94"/>
      <w:r>
        <w:rPr>
          <w:rFonts w:hint="eastAsia" w:eastAsia="仿宋_GB2312" w:cs="仿宋_GB2312" w:asciiTheme="minorEastAsia" w:hAnsiTheme="minorEastAsia"/>
          <w:color w:val="auto"/>
          <w:kern w:val="2"/>
          <w:sz w:val="32"/>
          <w:szCs w:val="32"/>
          <w:highlight w:val="none"/>
          <w:lang w:val="en-US" w:eastAsia="zh-CN" w:bidi="ar-SA"/>
        </w:rPr>
        <w:t>、社会组织、志愿服务队伍协同联动，通过政府购买服务等方式，引导基层老年协会牵头开展“银龄互助”，组织文化体育、科技教育等活动。鼓励探索代际互助养老服务模式，打造“全龄友好”的服务型社区。持续开展老年人口状况、老龄事业发展统计调查和老龄事业发展综合评估工作。依法严厉打击侵害老年人权益的违法犯罪行为，落实老年人优待政策，维护老年人合法权益。畅通和规范老年人诉求表达、心理干预机制，完善正确处理新形势下老年群体间、代际间矛盾调解机制。建立涉老侵权协同联动机制，强化涉老侵权处置专业力量。推动法律助老护老，倡导</w:t>
      </w:r>
      <w:r>
        <w:rPr>
          <w:rFonts w:hint="default" w:eastAsia="仿宋_GB2312" w:cs="仿宋_GB2312" w:asciiTheme="minorEastAsia" w:hAnsiTheme="minorEastAsia"/>
          <w:color w:val="auto"/>
          <w:kern w:val="2"/>
          <w:sz w:val="32"/>
          <w:szCs w:val="32"/>
          <w:highlight w:val="none"/>
          <w:lang w:val="en-US" w:eastAsia="zh-CN" w:bidi="ar-SA"/>
        </w:rPr>
        <w:t>律师事务所、公证机构、基层法律服务机构为老年人</w:t>
      </w:r>
      <w:r>
        <w:rPr>
          <w:rFonts w:hint="eastAsia" w:eastAsia="仿宋_GB2312" w:cs="仿宋_GB2312" w:asciiTheme="minorEastAsia" w:hAnsiTheme="minorEastAsia"/>
          <w:color w:val="auto"/>
          <w:kern w:val="2"/>
          <w:sz w:val="32"/>
          <w:szCs w:val="32"/>
          <w:highlight w:val="none"/>
          <w:lang w:val="en-US" w:eastAsia="zh-CN" w:bidi="ar-SA"/>
        </w:rPr>
        <w:t>开通绿色通道，减免法律服务费用，为行动不便的老年人提供上门服务。</w:t>
      </w:r>
    </w:p>
    <w:bookmarkEnd w:id="32"/>
    <w:p w14:paraId="5C7A9DDD">
      <w:pPr>
        <w:pStyle w:val="7"/>
        <w:spacing w:before="156" w:beforeLines="50" w:after="0" w:line="360" w:lineRule="auto"/>
        <w:ind w:firstLine="640" w:firstLineChars="200"/>
        <w:outlineLvl w:val="2"/>
        <w:rPr>
          <w:rFonts w:hint="eastAsia" w:ascii="华文中宋" w:hAnsi="华文中宋" w:eastAsia="华文中宋" w:cs="华文中宋"/>
          <w:color w:val="auto"/>
          <w:kern w:val="2"/>
          <w:sz w:val="32"/>
          <w:szCs w:val="32"/>
          <w:highlight w:val="none"/>
          <w:lang w:val="en-US" w:eastAsia="zh-CN" w:bidi="ar-SA"/>
        </w:rPr>
      </w:pPr>
      <w:bookmarkStart w:id="33" w:name="_Toc3358"/>
      <w:bookmarkStart w:id="34" w:name="_Toc16336"/>
      <w:r>
        <w:rPr>
          <w:rFonts w:hint="eastAsia" w:ascii="华文中宋" w:hAnsi="华文中宋" w:eastAsia="华文中宋" w:cs="华文中宋"/>
          <w:color w:val="auto"/>
          <w:kern w:val="2"/>
          <w:sz w:val="32"/>
          <w:szCs w:val="32"/>
          <w:highlight w:val="none"/>
          <w:lang w:val="en-US" w:eastAsia="zh-CN" w:bidi="ar-SA"/>
        </w:rPr>
        <w:t>（二）健全三级养老服务网络</w:t>
      </w:r>
      <w:bookmarkEnd w:id="33"/>
      <w:bookmarkEnd w:id="34"/>
    </w:p>
    <w:p w14:paraId="109A5E16">
      <w:pPr>
        <w:pStyle w:val="7"/>
        <w:spacing w:before="156" w:beforeLines="50" w:after="0" w:line="360" w:lineRule="auto"/>
        <w:ind w:firstLine="643" w:firstLineChars="200"/>
        <w:rPr>
          <w:rFonts w:hint="eastAsia" w:eastAsia="仿宋_GB2312" w:cs="仿宋_GB2312" w:asciiTheme="minorEastAsia" w:hAnsiTheme="minorEastAsia"/>
          <w:color w:val="auto"/>
          <w:kern w:val="2"/>
          <w:sz w:val="32"/>
          <w:szCs w:val="32"/>
          <w:highlight w:val="none"/>
          <w:lang w:val="en-US" w:eastAsia="zh-CN" w:bidi="ar-SA"/>
        </w:rPr>
      </w:pPr>
      <w:r>
        <w:rPr>
          <w:rFonts w:hint="eastAsia" w:ascii="华文楷体" w:hAnsi="华文楷体" w:eastAsia="华文楷体" w:cs="华文楷体"/>
          <w:b/>
          <w:bCs/>
          <w:color w:val="auto"/>
          <w:kern w:val="2"/>
          <w:sz w:val="32"/>
          <w:szCs w:val="32"/>
          <w:highlight w:val="none"/>
          <w:lang w:val="en-US" w:eastAsia="zh-CN" w:bidi="ar-SA"/>
        </w:rPr>
        <w:t>建设市级综合养老服务管理平台。</w:t>
      </w:r>
      <w:r>
        <w:rPr>
          <w:rFonts w:hint="eastAsia" w:eastAsia="仿宋_GB2312" w:cs="仿宋_GB2312" w:asciiTheme="minorEastAsia" w:hAnsiTheme="minorEastAsia"/>
          <w:color w:val="auto"/>
          <w:kern w:val="2"/>
          <w:sz w:val="32"/>
          <w:szCs w:val="32"/>
          <w:highlight w:val="none"/>
          <w:lang w:val="en-US" w:eastAsia="zh-CN" w:bidi="ar-SA"/>
        </w:rPr>
        <w:t>依托市养老服务指导中心与省级养老服务平台，建设具备兜底保障、示范引导、行业指导、应急支援、资源统筹等功能的市级平台，推动市域养老服务资源高效配置与利用。</w:t>
      </w:r>
    </w:p>
    <w:p w14:paraId="5E924236">
      <w:pPr>
        <w:pStyle w:val="7"/>
        <w:spacing w:before="156" w:beforeLines="50" w:after="0" w:line="360" w:lineRule="auto"/>
        <w:ind w:firstLine="643" w:firstLineChars="200"/>
        <w:rPr>
          <w:rFonts w:hint="default" w:eastAsia="仿宋_GB2312" w:cs="仿宋_GB2312" w:asciiTheme="minorEastAsia" w:hAnsiTheme="minorEastAsia"/>
          <w:color w:val="auto"/>
          <w:kern w:val="2"/>
          <w:sz w:val="32"/>
          <w:szCs w:val="32"/>
          <w:highlight w:val="none"/>
          <w:lang w:val="en-US" w:eastAsia="zh-CN" w:bidi="ar-SA"/>
        </w:rPr>
      </w:pPr>
      <w:r>
        <w:rPr>
          <w:rFonts w:hint="eastAsia" w:ascii="华文楷体" w:hAnsi="华文楷体" w:eastAsia="华文楷体" w:cs="华文楷体"/>
          <w:b/>
          <w:bCs/>
          <w:color w:val="auto"/>
          <w:kern w:val="2"/>
          <w:sz w:val="32"/>
          <w:szCs w:val="32"/>
          <w:highlight w:val="none"/>
          <w:lang w:val="en-US" w:eastAsia="zh-CN" w:bidi="ar-SA"/>
        </w:rPr>
        <w:t>加强镇街区域养老服务能力。</w:t>
      </w:r>
      <w:r>
        <w:rPr>
          <w:rFonts w:hint="eastAsia" w:eastAsia="仿宋_GB2312" w:cs="仿宋_GB2312" w:asciiTheme="minorEastAsia" w:hAnsiTheme="minorEastAsia"/>
          <w:color w:val="auto"/>
          <w:kern w:val="2"/>
          <w:sz w:val="32"/>
          <w:szCs w:val="32"/>
          <w:highlight w:val="none"/>
          <w:lang w:val="en-US" w:eastAsia="zh-CN" w:bidi="ar-SA"/>
        </w:rPr>
        <w:t>盘活闲置校舍、卫生院、社区用房等国有资产，通过公建民营、民办公助等方式，实现街道和60%以上乡镇建有养老服务综合体。依托综合体或优质民办机构，改造升级一批区域养老服务中心，强化专业照护、服务转介、资源链接等核心功能，构建“上下联动、供需对接”的区域养老服务枢纽。到2030年，乡镇（街道）区域养老服务中心总体服务覆盖率不低于80%。</w:t>
      </w:r>
    </w:p>
    <w:p w14:paraId="5A9AB600">
      <w:pPr>
        <w:pStyle w:val="7"/>
        <w:spacing w:before="156" w:beforeLines="50" w:after="0" w:line="360" w:lineRule="auto"/>
        <w:ind w:firstLine="643" w:firstLineChars="200"/>
        <w:rPr>
          <w:rFonts w:hint="eastAsia" w:eastAsia="仿宋_GB2312" w:cs="仿宋_GB2312" w:asciiTheme="minorEastAsia" w:hAnsiTheme="minorEastAsia"/>
          <w:color w:val="auto"/>
          <w:kern w:val="2"/>
          <w:sz w:val="32"/>
          <w:szCs w:val="32"/>
          <w:highlight w:val="none"/>
          <w:lang w:val="en-US" w:eastAsia="zh-CN" w:bidi="ar-SA"/>
        </w:rPr>
      </w:pPr>
      <w:r>
        <w:rPr>
          <w:rFonts w:hint="eastAsia" w:ascii="华文楷体" w:hAnsi="华文楷体" w:eastAsia="华文楷体" w:cs="华文楷体"/>
          <w:b/>
          <w:bCs/>
          <w:color w:val="auto"/>
          <w:kern w:val="2"/>
          <w:sz w:val="32"/>
          <w:szCs w:val="32"/>
          <w:highlight w:val="none"/>
          <w:lang w:val="en-US" w:eastAsia="zh-CN" w:bidi="ar-SA"/>
        </w:rPr>
        <w:t>完善村（社区）养老服务设施站点。</w:t>
      </w:r>
      <w:r>
        <w:rPr>
          <w:rFonts w:hint="eastAsia" w:eastAsia="仿宋_GB2312" w:cs="仿宋_GB2312" w:asciiTheme="minorEastAsia" w:hAnsiTheme="minorEastAsia"/>
          <w:color w:val="auto"/>
          <w:kern w:val="2"/>
          <w:sz w:val="32"/>
          <w:szCs w:val="32"/>
          <w:highlight w:val="none"/>
          <w:lang w:val="en-US" w:eastAsia="zh-CN" w:bidi="ar-SA"/>
        </w:rPr>
        <w:t>采取“中心+站点”模式，发展嵌入式社区设施与互助性服务站点，推动老旧小区适老改造，促进与教育、医疗、文化等设施综合利用，建设“一老一小”服务综合体，畅通家庭与社会服务连接。</w:t>
      </w:r>
    </w:p>
    <w:p w14:paraId="6AFFFE57">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157" w:beforeLines="50" w:after="157" w:afterLines="50" w:line="360" w:lineRule="auto"/>
        <w:ind w:firstLine="640" w:firstLineChars="200"/>
        <w:textAlignment w:val="auto"/>
        <w:outlineLvl w:val="2"/>
        <w:rPr>
          <w:rFonts w:hint="default" w:ascii="华文中宋" w:hAnsi="华文中宋" w:eastAsia="华文中宋" w:cs="华文中宋"/>
          <w:color w:val="auto"/>
          <w:kern w:val="2"/>
          <w:sz w:val="32"/>
          <w:szCs w:val="32"/>
          <w:highlight w:val="none"/>
          <w:lang w:val="en-US" w:eastAsia="zh-CN" w:bidi="ar-SA"/>
        </w:rPr>
      </w:pPr>
      <w:bookmarkStart w:id="35" w:name="_Toc16946"/>
      <w:bookmarkStart w:id="36" w:name="_Toc1588"/>
      <w:r>
        <w:rPr>
          <w:rFonts w:hint="eastAsia" w:ascii="华文中宋" w:hAnsi="华文中宋" w:eastAsia="华文中宋" w:cs="华文中宋"/>
          <w:color w:val="auto"/>
          <w:kern w:val="2"/>
          <w:sz w:val="32"/>
          <w:szCs w:val="32"/>
          <w:highlight w:val="none"/>
          <w:lang w:val="en-US" w:eastAsia="zh-CN" w:bidi="ar-SA"/>
        </w:rPr>
        <w:t>（三）完善机构养老发展格局</w:t>
      </w:r>
      <w:bookmarkEnd w:id="35"/>
      <w:bookmarkEnd w:id="36"/>
    </w:p>
    <w:p w14:paraId="5A087777">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157" w:beforeLines="50" w:line="360" w:lineRule="auto"/>
        <w:ind w:firstLine="643" w:firstLineChars="200"/>
        <w:textAlignment w:val="auto"/>
        <w:rPr>
          <w:rFonts w:hint="eastAsia" w:eastAsia="仿宋_GB2312" w:cs="仿宋_GB2312" w:asciiTheme="minorEastAsia" w:hAnsiTheme="minorEastAsia"/>
          <w:color w:val="auto"/>
          <w:kern w:val="2"/>
          <w:sz w:val="32"/>
          <w:szCs w:val="32"/>
          <w:highlight w:val="none"/>
          <w:lang w:val="en-US" w:eastAsia="zh-CN" w:bidi="ar-SA"/>
        </w:rPr>
      </w:pPr>
      <w:r>
        <w:rPr>
          <w:rFonts w:hint="eastAsia" w:ascii="华文楷体" w:hAnsi="华文楷体" w:eastAsia="华文楷体" w:cs="华文楷体"/>
          <w:b/>
          <w:bCs/>
          <w:color w:val="auto"/>
          <w:kern w:val="2"/>
          <w:sz w:val="32"/>
          <w:szCs w:val="32"/>
          <w:highlight w:val="none"/>
          <w:lang w:val="en-US" w:eastAsia="zh-CN" w:bidi="ar-SA"/>
        </w:rPr>
        <w:t>改造提升区域性兜底养老机构。</w:t>
      </w:r>
      <w:r>
        <w:rPr>
          <w:rFonts w:hint="eastAsia" w:eastAsia="仿宋_GB2312" w:cs="仿宋_GB2312" w:asciiTheme="minorEastAsia" w:hAnsiTheme="minorEastAsia"/>
          <w:color w:val="auto"/>
          <w:kern w:val="2"/>
          <w:sz w:val="32"/>
          <w:szCs w:val="32"/>
          <w:highlight w:val="none"/>
          <w:lang w:val="en-US" w:eastAsia="zh-CN" w:bidi="ar-SA"/>
        </w:rPr>
        <w:t>强化公办养老机构兜底保障作用，加强质量监管和能力提升，在满足特困人员集中供养需求的基础上，鼓励向社会老年人提供普惠型养老服务。推进农村福利院运营方式改革，提高集中供养能力。在市社会福利院探索开展机器人失能、失智照护、老年康复支持和群体生活照护等服务的机构场景应用。</w:t>
      </w:r>
    </w:p>
    <w:p w14:paraId="34121001">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157" w:beforeLines="50" w:line="360" w:lineRule="auto"/>
        <w:ind w:firstLine="643" w:firstLineChars="200"/>
        <w:textAlignment w:val="auto"/>
        <w:rPr>
          <w:rFonts w:hint="eastAsia" w:eastAsia="仿宋_GB2312" w:cs="仿宋_GB2312" w:asciiTheme="minorEastAsia" w:hAnsiTheme="minorEastAsia"/>
          <w:color w:val="auto"/>
          <w:kern w:val="2"/>
          <w:sz w:val="32"/>
          <w:szCs w:val="32"/>
          <w:highlight w:val="none"/>
          <w:lang w:val="en-US" w:eastAsia="zh-CN" w:bidi="ar-SA"/>
        </w:rPr>
      </w:pPr>
      <w:r>
        <w:rPr>
          <w:rFonts w:hint="eastAsia" w:ascii="华文楷体" w:hAnsi="华文楷体" w:eastAsia="华文楷体" w:cs="华文楷体"/>
          <w:b/>
          <w:bCs/>
          <w:color w:val="auto"/>
          <w:kern w:val="2"/>
          <w:sz w:val="32"/>
          <w:szCs w:val="32"/>
          <w:highlight w:val="none"/>
          <w:lang w:val="en-US" w:eastAsia="zh-CN" w:bidi="ar-SA"/>
        </w:rPr>
        <w:t>大力发展普惠支持型养老机构。</w:t>
      </w:r>
      <w:r>
        <w:rPr>
          <w:rFonts w:hint="eastAsia" w:eastAsia="仿宋_GB2312" w:cs="仿宋_GB2312" w:asciiTheme="minorEastAsia" w:hAnsiTheme="minorEastAsia"/>
          <w:color w:val="auto"/>
          <w:kern w:val="2"/>
          <w:sz w:val="32"/>
          <w:szCs w:val="32"/>
          <w:highlight w:val="none"/>
          <w:lang w:val="en-US" w:eastAsia="zh-CN" w:bidi="ar-SA"/>
        </w:rPr>
        <w:t>促进各类经营主体发展连锁化、公司化普惠支持型养老机构，对普惠支持型养老机构在用地、水电价格、建设运营补贴等方面按规定予以支持，减轻机构运营负担，确保价格能负担、质量有保障、运营可持续。</w:t>
      </w:r>
    </w:p>
    <w:p w14:paraId="7668C396">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157" w:beforeLines="50" w:line="360" w:lineRule="auto"/>
        <w:ind w:firstLine="643" w:firstLineChars="200"/>
        <w:textAlignment w:val="auto"/>
        <w:rPr>
          <w:rFonts w:hint="eastAsia" w:eastAsia="仿宋_GB2312" w:cs="仿宋_GB2312" w:asciiTheme="minorEastAsia" w:hAnsiTheme="minorEastAsia"/>
          <w:color w:val="auto"/>
          <w:kern w:val="2"/>
          <w:sz w:val="32"/>
          <w:szCs w:val="32"/>
          <w:highlight w:val="none"/>
          <w:lang w:val="en-US" w:eastAsia="zh-CN" w:bidi="ar-SA"/>
        </w:rPr>
      </w:pPr>
      <w:r>
        <w:rPr>
          <w:rFonts w:hint="eastAsia" w:ascii="华文楷体" w:hAnsi="华文楷体" w:eastAsia="华文楷体" w:cs="华文楷体"/>
          <w:b/>
          <w:bCs/>
          <w:color w:val="auto"/>
          <w:kern w:val="2"/>
          <w:sz w:val="32"/>
          <w:szCs w:val="32"/>
          <w:highlight w:val="none"/>
          <w:lang w:val="en-US" w:eastAsia="zh-CN" w:bidi="ar-SA"/>
        </w:rPr>
        <w:t>培育壮大完全市场型养老机构。</w:t>
      </w:r>
      <w:r>
        <w:rPr>
          <w:rFonts w:hint="eastAsia" w:eastAsia="仿宋_GB2312" w:cs="仿宋_GB2312" w:asciiTheme="minorEastAsia" w:hAnsiTheme="minorEastAsia"/>
          <w:color w:val="auto"/>
          <w:kern w:val="2"/>
          <w:sz w:val="32"/>
          <w:szCs w:val="32"/>
          <w:highlight w:val="none"/>
          <w:lang w:val="en-US" w:eastAsia="zh-CN" w:bidi="ar-SA"/>
        </w:rPr>
        <w:t>积极引导各类市场主体参与养老服务，规范金融、地产等企业进入养老市场，发展养老地产新业态，实行充分竞争、优质优价，满足老年人个性化、品质化养老需求。</w:t>
      </w:r>
    </w:p>
    <w:p w14:paraId="1A9EE07E">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157" w:beforeLines="50" w:beforeAutospacing="0" w:afterAutospacing="0" w:line="360" w:lineRule="auto"/>
        <w:ind w:left="0" w:right="0" w:firstLine="640" w:firstLineChars="200"/>
        <w:textAlignment w:val="auto"/>
        <w:rPr>
          <w:rFonts w:hint="eastAsia" w:ascii="华文中宋" w:hAnsi="华文中宋" w:eastAsia="华文中宋" w:cs="华文中宋"/>
          <w:b w:val="0"/>
          <w:bCs w:val="0"/>
          <w:color w:val="auto"/>
          <w:kern w:val="2"/>
          <w:sz w:val="32"/>
          <w:szCs w:val="32"/>
          <w:highlight w:val="none"/>
          <w:lang w:val="en-US" w:eastAsia="zh-CN" w:bidi="ar-SA"/>
        </w:rPr>
      </w:pPr>
      <w:bookmarkStart w:id="37" w:name="_Toc15874"/>
      <w:bookmarkStart w:id="38" w:name="_Toc1931"/>
      <w:r>
        <w:rPr>
          <w:rFonts w:hint="eastAsia" w:ascii="华文中宋" w:hAnsi="华文中宋" w:eastAsia="华文中宋" w:cs="华文中宋"/>
          <w:b w:val="0"/>
          <w:bCs w:val="0"/>
          <w:color w:val="auto"/>
          <w:kern w:val="2"/>
          <w:sz w:val="32"/>
          <w:szCs w:val="32"/>
          <w:highlight w:val="none"/>
          <w:lang w:val="en-US" w:eastAsia="zh-CN" w:bidi="ar-SA"/>
        </w:rPr>
        <w:t>（四）</w:t>
      </w:r>
      <w:r>
        <w:rPr>
          <w:rFonts w:hint="default" w:ascii="华文中宋" w:hAnsi="华文中宋" w:eastAsia="华文中宋" w:cs="华文中宋"/>
          <w:b w:val="0"/>
          <w:bCs w:val="0"/>
          <w:color w:val="auto"/>
          <w:kern w:val="2"/>
          <w:sz w:val="32"/>
          <w:szCs w:val="32"/>
          <w:highlight w:val="none"/>
          <w:lang w:val="en-US" w:eastAsia="zh-CN" w:bidi="ar-SA"/>
        </w:rPr>
        <w:t>优化社区养老服务供给</w:t>
      </w:r>
      <w:bookmarkEnd w:id="37"/>
      <w:bookmarkEnd w:id="38"/>
    </w:p>
    <w:p w14:paraId="55F762A3">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157" w:beforeLines="50" w:line="360" w:lineRule="auto"/>
        <w:ind w:firstLine="643" w:firstLineChars="200"/>
        <w:textAlignment w:val="auto"/>
        <w:rPr>
          <w:rFonts w:hint="eastAsia" w:eastAsia="仿宋_GB2312" w:cs="仿宋_GB2312" w:asciiTheme="minorEastAsia" w:hAnsiTheme="minorEastAsia"/>
          <w:color w:val="auto"/>
          <w:kern w:val="2"/>
          <w:sz w:val="32"/>
          <w:szCs w:val="32"/>
          <w:highlight w:val="none"/>
          <w:lang w:val="en-US" w:eastAsia="zh-CN" w:bidi="ar-SA"/>
        </w:rPr>
      </w:pPr>
      <w:r>
        <w:rPr>
          <w:rFonts w:hint="eastAsia" w:ascii="华文楷体" w:hAnsi="华文楷体" w:eastAsia="华文楷体" w:cs="华文楷体"/>
          <w:b/>
          <w:bCs/>
          <w:color w:val="auto"/>
          <w:kern w:val="2"/>
          <w:sz w:val="32"/>
          <w:szCs w:val="32"/>
          <w:highlight w:val="none"/>
          <w:lang w:val="en-US" w:eastAsia="zh-CN" w:bidi="ar-SA"/>
        </w:rPr>
        <w:t>优化社区养老服务设施布局。</w:t>
      </w:r>
      <w:r>
        <w:rPr>
          <w:rFonts w:hint="eastAsia" w:eastAsia="仿宋_GB2312" w:cs="仿宋_GB2312" w:asciiTheme="minorEastAsia" w:hAnsiTheme="minorEastAsia"/>
          <w:color w:val="auto"/>
          <w:kern w:val="2"/>
          <w:sz w:val="32"/>
          <w:szCs w:val="32"/>
          <w:highlight w:val="none"/>
          <w:lang w:val="en-US" w:eastAsia="zh-CN" w:bidi="ar-SA"/>
        </w:rPr>
        <w:t>开展配建养老服务设施专项清理与排查，按需布局助餐点并完善活动场地及设施。到2030年实现社区养老服务设施全覆盖。</w:t>
      </w:r>
    </w:p>
    <w:p w14:paraId="2ECB508F">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157" w:beforeLines="50" w:line="360" w:lineRule="auto"/>
        <w:ind w:firstLine="643" w:firstLineChars="200"/>
        <w:textAlignment w:val="auto"/>
        <w:rPr>
          <w:rFonts w:hint="eastAsia" w:eastAsia="仿宋_GB2312" w:cs="仿宋_GB2312" w:asciiTheme="minorEastAsia" w:hAnsiTheme="minorEastAsia"/>
          <w:color w:val="auto"/>
          <w:kern w:val="2"/>
          <w:sz w:val="32"/>
          <w:szCs w:val="32"/>
          <w:highlight w:val="none"/>
          <w:lang w:val="en-US" w:eastAsia="zh-CN" w:bidi="ar-SA"/>
        </w:rPr>
      </w:pPr>
      <w:r>
        <w:rPr>
          <w:rFonts w:hint="eastAsia" w:ascii="华文楷体" w:hAnsi="华文楷体" w:eastAsia="华文楷体" w:cs="华文楷体"/>
          <w:b/>
          <w:bCs/>
          <w:color w:val="auto"/>
          <w:kern w:val="2"/>
          <w:sz w:val="32"/>
          <w:szCs w:val="32"/>
          <w:highlight w:val="none"/>
          <w:lang w:val="en-US" w:eastAsia="zh-CN" w:bidi="ar-SA"/>
        </w:rPr>
        <w:t>推进社区养老等公共服务资源统筹。</w:t>
      </w:r>
      <w:r>
        <w:rPr>
          <w:rFonts w:hint="eastAsia" w:eastAsia="仿宋_GB2312" w:cs="仿宋_GB2312" w:asciiTheme="minorEastAsia" w:hAnsiTheme="minorEastAsia"/>
          <w:color w:val="auto"/>
          <w:kern w:val="2"/>
          <w:sz w:val="32"/>
          <w:szCs w:val="32"/>
          <w:highlight w:val="none"/>
          <w:lang w:val="en-US" w:eastAsia="zh-CN" w:bidi="ar-SA"/>
        </w:rPr>
        <w:t>推动养老、医疗、文体、教育等设施复合利用，建设区镇街道“一老一小”服务综合体。鼓励机关事业单位场所向老年人开放。发展康复辅具及老年用品社区租赁服务，推广机器人社区场景应用。</w:t>
      </w:r>
    </w:p>
    <w:p w14:paraId="0481FF82">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157" w:beforeLines="50" w:line="360" w:lineRule="auto"/>
        <w:ind w:firstLine="643" w:firstLineChars="200"/>
        <w:textAlignment w:val="auto"/>
        <w:rPr>
          <w:rFonts w:hint="eastAsia" w:eastAsia="仿宋_GB2312" w:cs="仿宋_GB2312" w:asciiTheme="minorEastAsia" w:hAnsiTheme="minorEastAsia"/>
          <w:color w:val="auto"/>
          <w:kern w:val="2"/>
          <w:sz w:val="32"/>
          <w:szCs w:val="32"/>
          <w:highlight w:val="none"/>
          <w:lang w:val="en-US" w:eastAsia="zh-CN" w:bidi="ar-SA"/>
        </w:rPr>
      </w:pPr>
      <w:r>
        <w:rPr>
          <w:rFonts w:hint="eastAsia" w:ascii="华文楷体" w:hAnsi="华文楷体" w:eastAsia="华文楷体" w:cs="华文楷体"/>
          <w:b/>
          <w:bCs/>
          <w:color w:val="auto"/>
          <w:kern w:val="2"/>
          <w:sz w:val="32"/>
          <w:szCs w:val="32"/>
          <w:highlight w:val="none"/>
          <w:lang w:val="en-US" w:eastAsia="zh-CN" w:bidi="ar-SA"/>
        </w:rPr>
        <w:t>提升社区服务专业化水平。</w:t>
      </w:r>
      <w:r>
        <w:rPr>
          <w:rFonts w:hint="eastAsia" w:eastAsia="仿宋_GB2312" w:cs="仿宋_GB2312" w:asciiTheme="minorEastAsia" w:hAnsiTheme="minorEastAsia"/>
          <w:color w:val="auto"/>
          <w:kern w:val="2"/>
          <w:sz w:val="32"/>
          <w:szCs w:val="32"/>
          <w:highlight w:val="none"/>
          <w:lang w:val="en-US" w:eastAsia="zh-CN" w:bidi="ar-SA"/>
        </w:rPr>
        <w:t>探索建立“养老顾问”制度，提供咨询与代办服务。支持专业机构开展日间照料和六助服务，实行连锁运营，提升服务品质与可持续性。</w:t>
      </w:r>
    </w:p>
    <w:p w14:paraId="7001D9C8">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157" w:beforeLines="50" w:after="157" w:afterLines="50" w:line="360" w:lineRule="auto"/>
        <w:ind w:firstLine="640" w:firstLineChars="200"/>
        <w:textAlignment w:val="auto"/>
        <w:outlineLvl w:val="2"/>
        <w:rPr>
          <w:rFonts w:hint="eastAsia" w:ascii="华文中宋" w:hAnsi="华文中宋" w:eastAsia="华文中宋" w:cs="华文中宋"/>
          <w:color w:val="auto"/>
          <w:kern w:val="2"/>
          <w:sz w:val="32"/>
          <w:szCs w:val="32"/>
          <w:highlight w:val="none"/>
          <w:lang w:val="en-US" w:eastAsia="zh-CN" w:bidi="ar-SA"/>
        </w:rPr>
      </w:pPr>
      <w:bookmarkStart w:id="39" w:name="_Toc11932"/>
      <w:bookmarkStart w:id="40" w:name="_Toc27695"/>
      <w:r>
        <w:rPr>
          <w:rFonts w:hint="eastAsia" w:ascii="华文中宋" w:hAnsi="华文中宋" w:eastAsia="华文中宋" w:cs="华文中宋"/>
          <w:color w:val="auto"/>
          <w:kern w:val="2"/>
          <w:sz w:val="32"/>
          <w:szCs w:val="32"/>
          <w:highlight w:val="none"/>
          <w:lang w:val="en-US" w:eastAsia="zh-CN" w:bidi="ar-SA"/>
        </w:rPr>
        <w:t>（五）提升居家养老服务水平</w:t>
      </w:r>
      <w:bookmarkEnd w:id="39"/>
      <w:bookmarkEnd w:id="40"/>
    </w:p>
    <w:p w14:paraId="45B80DE6">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157" w:beforeLines="50" w:after="157" w:afterLines="50" w:line="360" w:lineRule="auto"/>
        <w:ind w:firstLine="643" w:firstLineChars="200"/>
        <w:textAlignment w:val="auto"/>
        <w:rPr>
          <w:rFonts w:hint="eastAsia" w:eastAsia="仿宋_GB2312" w:cs="仿宋_GB2312" w:asciiTheme="minorEastAsia" w:hAnsiTheme="minorEastAsia"/>
          <w:color w:val="auto"/>
          <w:kern w:val="2"/>
          <w:sz w:val="32"/>
          <w:szCs w:val="32"/>
          <w:highlight w:val="none"/>
          <w:lang w:val="en-US" w:eastAsia="zh-CN" w:bidi="ar-SA"/>
        </w:rPr>
      </w:pPr>
      <w:r>
        <w:rPr>
          <w:rFonts w:hint="eastAsia" w:ascii="华文楷体" w:hAnsi="华文楷体" w:eastAsia="华文楷体" w:cs="华文楷体"/>
          <w:b/>
          <w:bCs/>
          <w:color w:val="auto"/>
          <w:kern w:val="2"/>
          <w:sz w:val="32"/>
          <w:szCs w:val="32"/>
          <w:highlight w:val="none"/>
          <w:lang w:val="en-US" w:eastAsia="zh-CN" w:bidi="ar-SA"/>
        </w:rPr>
        <w:t>夯实家庭养老基础。</w:t>
      </w:r>
      <w:r>
        <w:rPr>
          <w:rFonts w:hint="eastAsia" w:eastAsia="仿宋_GB2312" w:cs="仿宋_GB2312" w:asciiTheme="minorEastAsia" w:hAnsiTheme="minorEastAsia"/>
          <w:color w:val="auto"/>
          <w:kern w:val="2"/>
          <w:sz w:val="32"/>
          <w:szCs w:val="32"/>
          <w:highlight w:val="none"/>
          <w:lang w:val="en-US" w:eastAsia="zh-CN" w:bidi="ar-SA"/>
        </w:rPr>
        <w:t>出台家庭养老支持政策，</w:t>
      </w:r>
      <w:r>
        <w:rPr>
          <w:rFonts w:hint="default" w:eastAsia="仿宋_GB2312" w:cs="仿宋_GB2312" w:asciiTheme="minorEastAsia" w:hAnsiTheme="minorEastAsia"/>
          <w:color w:val="auto"/>
          <w:kern w:val="2"/>
          <w:sz w:val="32"/>
          <w:szCs w:val="32"/>
          <w:highlight w:val="none"/>
          <w:lang w:val="en-US" w:eastAsia="zh-CN" w:bidi="ar-SA"/>
        </w:rPr>
        <w:t>鼓励成年子女与父母就近居住或共同生活，促进家庭主动尽责、多主体共担</w:t>
      </w:r>
      <w:r>
        <w:rPr>
          <w:rFonts w:hint="eastAsia" w:eastAsia="仿宋_GB2312" w:cs="仿宋_GB2312" w:asciiTheme="minorEastAsia" w:hAnsiTheme="minorEastAsia"/>
          <w:color w:val="auto"/>
          <w:kern w:val="2"/>
          <w:sz w:val="32"/>
          <w:szCs w:val="32"/>
          <w:highlight w:val="none"/>
          <w:lang w:val="en-US" w:eastAsia="zh-CN" w:bidi="ar-SA"/>
        </w:rPr>
        <w:t>。</w:t>
      </w:r>
      <w:r>
        <w:rPr>
          <w:rFonts w:hint="default" w:eastAsia="仿宋_GB2312" w:cs="仿宋_GB2312" w:asciiTheme="minorEastAsia" w:hAnsiTheme="minorEastAsia"/>
          <w:color w:val="auto"/>
          <w:kern w:val="2"/>
          <w:sz w:val="32"/>
          <w:szCs w:val="32"/>
          <w:highlight w:val="none"/>
          <w:lang w:val="en-US" w:eastAsia="zh-CN" w:bidi="ar-SA"/>
        </w:rPr>
        <w:t>统筹家庭适老化改造与家庭养老床位建设，完成困难老年人家庭</w:t>
      </w:r>
      <w:r>
        <w:rPr>
          <w:rFonts w:hint="eastAsia" w:eastAsia="仿宋_GB2312" w:cs="仿宋_GB2312" w:asciiTheme="minorEastAsia" w:hAnsiTheme="minorEastAsia"/>
          <w:color w:val="auto"/>
          <w:kern w:val="2"/>
          <w:sz w:val="32"/>
          <w:szCs w:val="32"/>
          <w:highlight w:val="none"/>
          <w:lang w:val="en-US" w:eastAsia="zh-CN" w:bidi="ar-SA"/>
        </w:rPr>
        <w:t>居家适老化</w:t>
      </w:r>
      <w:r>
        <w:rPr>
          <w:rFonts w:hint="default" w:eastAsia="仿宋_GB2312" w:cs="仿宋_GB2312" w:asciiTheme="minorEastAsia" w:hAnsiTheme="minorEastAsia"/>
          <w:color w:val="auto"/>
          <w:kern w:val="2"/>
          <w:sz w:val="32"/>
          <w:szCs w:val="32"/>
          <w:highlight w:val="none"/>
          <w:lang w:val="en-US" w:eastAsia="zh-CN" w:bidi="ar-SA"/>
        </w:rPr>
        <w:t>改造</w:t>
      </w:r>
      <w:r>
        <w:rPr>
          <w:rFonts w:hint="eastAsia" w:eastAsia="仿宋_GB2312" w:cs="仿宋_GB2312" w:asciiTheme="minorEastAsia" w:hAnsiTheme="minorEastAsia"/>
          <w:color w:val="auto"/>
          <w:kern w:val="2"/>
          <w:sz w:val="32"/>
          <w:szCs w:val="32"/>
          <w:highlight w:val="none"/>
          <w:lang w:val="en-US" w:eastAsia="zh-CN" w:bidi="ar-SA"/>
        </w:rPr>
        <w:t>5</w:t>
      </w:r>
      <w:r>
        <w:rPr>
          <w:rFonts w:hint="default" w:eastAsia="仿宋_GB2312" w:cs="仿宋_GB2312" w:asciiTheme="minorEastAsia" w:hAnsiTheme="minorEastAsia"/>
          <w:color w:val="auto"/>
          <w:kern w:val="2"/>
          <w:sz w:val="32"/>
          <w:szCs w:val="32"/>
          <w:highlight w:val="none"/>
          <w:lang w:val="en-US" w:eastAsia="zh-CN" w:bidi="ar-SA"/>
        </w:rPr>
        <w:t>00户、</w:t>
      </w:r>
      <w:r>
        <w:rPr>
          <w:rFonts w:hint="eastAsia" w:eastAsia="仿宋_GB2312" w:cs="仿宋_GB2312" w:asciiTheme="minorEastAsia" w:hAnsiTheme="minorEastAsia"/>
          <w:color w:val="auto"/>
          <w:kern w:val="2"/>
          <w:sz w:val="32"/>
          <w:szCs w:val="32"/>
          <w:highlight w:val="none"/>
          <w:lang w:val="en-US" w:eastAsia="zh-CN" w:bidi="ar-SA"/>
        </w:rPr>
        <w:t>建设家庭照护</w:t>
      </w:r>
      <w:r>
        <w:rPr>
          <w:rFonts w:hint="default" w:eastAsia="仿宋_GB2312" w:cs="仿宋_GB2312" w:asciiTheme="minorEastAsia" w:hAnsiTheme="minorEastAsia"/>
          <w:color w:val="auto"/>
          <w:kern w:val="2"/>
          <w:sz w:val="32"/>
          <w:szCs w:val="32"/>
          <w:highlight w:val="none"/>
          <w:lang w:val="en-US" w:eastAsia="zh-CN" w:bidi="ar-SA"/>
        </w:rPr>
        <w:t>床位</w:t>
      </w:r>
      <w:r>
        <w:rPr>
          <w:rFonts w:hint="eastAsia" w:eastAsia="仿宋_GB2312" w:cs="仿宋_GB2312" w:asciiTheme="minorEastAsia" w:hAnsiTheme="minorEastAsia"/>
          <w:color w:val="auto"/>
          <w:kern w:val="2"/>
          <w:sz w:val="32"/>
          <w:szCs w:val="32"/>
          <w:highlight w:val="none"/>
          <w:lang w:val="en-US" w:eastAsia="zh-CN" w:bidi="ar-SA"/>
        </w:rPr>
        <w:t>5</w:t>
      </w:r>
      <w:r>
        <w:rPr>
          <w:rFonts w:hint="default" w:eastAsia="仿宋_GB2312" w:cs="仿宋_GB2312" w:asciiTheme="minorEastAsia" w:hAnsiTheme="minorEastAsia"/>
          <w:color w:val="auto"/>
          <w:kern w:val="2"/>
          <w:sz w:val="32"/>
          <w:szCs w:val="32"/>
          <w:highlight w:val="none"/>
          <w:lang w:val="en-US" w:eastAsia="zh-CN" w:bidi="ar-SA"/>
        </w:rPr>
        <w:t>00张</w:t>
      </w:r>
      <w:r>
        <w:rPr>
          <w:rFonts w:hint="eastAsia" w:eastAsia="仿宋_GB2312" w:cs="仿宋_GB2312" w:asciiTheme="minorEastAsia" w:hAnsiTheme="minorEastAsia"/>
          <w:color w:val="auto"/>
          <w:kern w:val="2"/>
          <w:sz w:val="32"/>
          <w:szCs w:val="32"/>
          <w:highlight w:val="none"/>
          <w:lang w:val="en-US" w:eastAsia="zh-CN" w:bidi="ar-SA"/>
        </w:rPr>
        <w:t>。</w:t>
      </w:r>
      <w:r>
        <w:rPr>
          <w:rFonts w:hint="default" w:eastAsia="仿宋_GB2312" w:cs="仿宋_GB2312" w:asciiTheme="minorEastAsia" w:hAnsiTheme="minorEastAsia"/>
          <w:color w:val="auto"/>
          <w:kern w:val="2"/>
          <w:sz w:val="32"/>
          <w:szCs w:val="32"/>
          <w:highlight w:val="none"/>
          <w:lang w:val="en-US" w:eastAsia="zh-CN" w:bidi="ar-SA"/>
        </w:rPr>
        <w:t>加强工会、妇联、共青团等组织联动，为特殊困难老年人提供常态化探访、结对帮扶等关爱服务</w:t>
      </w:r>
      <w:r>
        <w:rPr>
          <w:rFonts w:hint="eastAsia" w:eastAsia="仿宋_GB2312" w:cs="仿宋_GB2312" w:asciiTheme="minorEastAsia" w:hAnsiTheme="minorEastAsia"/>
          <w:color w:val="auto"/>
          <w:kern w:val="2"/>
          <w:sz w:val="32"/>
          <w:szCs w:val="32"/>
          <w:highlight w:val="none"/>
          <w:lang w:val="en-US" w:eastAsia="zh-CN" w:bidi="ar-SA"/>
        </w:rPr>
        <w:t>。</w:t>
      </w:r>
    </w:p>
    <w:p w14:paraId="263617EB">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157" w:beforeLines="50" w:after="157" w:afterLines="50" w:line="360" w:lineRule="auto"/>
        <w:ind w:firstLine="643" w:firstLineChars="200"/>
        <w:textAlignment w:val="auto"/>
        <w:rPr>
          <w:rFonts w:hint="eastAsia" w:eastAsia="仿宋_GB2312" w:cs="仿宋_GB2312" w:asciiTheme="minorEastAsia" w:hAnsiTheme="minorEastAsia"/>
          <w:color w:val="auto"/>
          <w:kern w:val="2"/>
          <w:sz w:val="32"/>
          <w:szCs w:val="32"/>
          <w:highlight w:val="none"/>
          <w:lang w:val="en-US" w:eastAsia="zh-CN" w:bidi="ar-SA"/>
        </w:rPr>
      </w:pPr>
      <w:r>
        <w:rPr>
          <w:rFonts w:hint="eastAsia" w:ascii="华文楷体" w:hAnsi="华文楷体" w:eastAsia="华文楷体" w:cs="华文楷体"/>
          <w:b/>
          <w:bCs/>
          <w:color w:val="auto"/>
          <w:kern w:val="2"/>
          <w:sz w:val="32"/>
          <w:szCs w:val="32"/>
          <w:highlight w:val="none"/>
          <w:lang w:val="en-US" w:eastAsia="zh-CN" w:bidi="ar-SA"/>
        </w:rPr>
        <w:t>激发居家养老服务市场化活力。</w:t>
      </w:r>
      <w:r>
        <w:rPr>
          <w:rFonts w:hint="eastAsia" w:eastAsia="仿宋_GB2312" w:cs="仿宋_GB2312" w:asciiTheme="minorEastAsia" w:hAnsiTheme="minorEastAsia"/>
          <w:color w:val="auto"/>
          <w:kern w:val="2"/>
          <w:sz w:val="32"/>
          <w:szCs w:val="32"/>
          <w:highlight w:val="none"/>
          <w:lang w:val="en-US" w:eastAsia="zh-CN" w:bidi="ar-SA"/>
        </w:rPr>
        <w:t>创新“互联网+居家养老”模式，</w:t>
      </w:r>
      <w:r>
        <w:rPr>
          <w:rFonts w:hint="default" w:eastAsia="仿宋_GB2312" w:cs="仿宋_GB2312" w:asciiTheme="minorEastAsia" w:hAnsiTheme="minorEastAsia"/>
          <w:color w:val="auto"/>
          <w:kern w:val="2"/>
          <w:sz w:val="32"/>
          <w:szCs w:val="32"/>
          <w:highlight w:val="none"/>
          <w:lang w:val="en-US" w:eastAsia="zh-CN" w:bidi="ar-SA"/>
        </w:rPr>
        <w:t>依托市级平台推行“线上下单、线下服务”，整合照护、家政、医疗、文教等资源，推进智能监测、紧急呼叫、适老化改造进家庭，实现“人机结合”快速响应</w:t>
      </w:r>
      <w:r>
        <w:rPr>
          <w:rFonts w:hint="eastAsia" w:eastAsia="仿宋_GB2312" w:cs="仿宋_GB2312" w:asciiTheme="minorEastAsia" w:hAnsiTheme="minorEastAsia"/>
          <w:color w:val="auto"/>
          <w:kern w:val="2"/>
          <w:sz w:val="32"/>
          <w:szCs w:val="32"/>
          <w:highlight w:val="none"/>
          <w:lang w:val="en-US" w:eastAsia="zh-CN" w:bidi="ar-SA"/>
        </w:rPr>
        <w:t>。</w:t>
      </w:r>
      <w:r>
        <w:rPr>
          <w:rFonts w:hint="default" w:eastAsia="仿宋_GB2312" w:cs="仿宋_GB2312" w:asciiTheme="minorEastAsia" w:hAnsiTheme="minorEastAsia"/>
          <w:color w:val="auto"/>
          <w:kern w:val="2"/>
          <w:sz w:val="32"/>
          <w:szCs w:val="32"/>
          <w:highlight w:val="none"/>
          <w:lang w:val="en-US" w:eastAsia="zh-CN" w:bidi="ar-SA"/>
        </w:rPr>
        <w:t>完善上门服务清单与价格机制，培育专业化、连锁化、品牌化服务企业，推动生活照料、基础照护、健康管理等服务延伸至家庭</w:t>
      </w:r>
      <w:r>
        <w:rPr>
          <w:rFonts w:hint="eastAsia" w:eastAsia="仿宋_GB2312" w:cs="仿宋_GB2312" w:asciiTheme="minorEastAsia" w:hAnsiTheme="minorEastAsia"/>
          <w:color w:val="auto"/>
          <w:kern w:val="2"/>
          <w:sz w:val="32"/>
          <w:szCs w:val="32"/>
          <w:highlight w:val="none"/>
          <w:lang w:val="en-US" w:eastAsia="zh-CN" w:bidi="ar-SA"/>
        </w:rPr>
        <w:t>。</w:t>
      </w:r>
      <w:r>
        <w:rPr>
          <w:rFonts w:hint="default" w:eastAsia="仿宋_GB2312" w:cs="仿宋_GB2312" w:asciiTheme="minorEastAsia" w:hAnsiTheme="minorEastAsia"/>
          <w:color w:val="auto"/>
          <w:kern w:val="2"/>
          <w:sz w:val="32"/>
          <w:szCs w:val="32"/>
          <w:highlight w:val="none"/>
          <w:lang w:val="en-US" w:eastAsia="zh-CN" w:bidi="ar-SA"/>
        </w:rPr>
        <w:t>通过“政府引导+保险介入+个人参与”多元资金投入，提升老年人购买服务的意愿与能力，营造可持续的市场环境</w:t>
      </w:r>
      <w:r>
        <w:rPr>
          <w:rFonts w:hint="eastAsia" w:eastAsia="仿宋_GB2312" w:cs="仿宋_GB2312" w:asciiTheme="minorEastAsia" w:hAnsiTheme="minorEastAsia"/>
          <w:color w:val="auto"/>
          <w:kern w:val="2"/>
          <w:sz w:val="32"/>
          <w:szCs w:val="32"/>
          <w:highlight w:val="none"/>
          <w:lang w:val="en-US" w:eastAsia="zh-CN" w:bidi="ar-SA"/>
        </w:rPr>
        <w:t>。</w:t>
      </w:r>
    </w:p>
    <w:p w14:paraId="72DA0046">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157" w:beforeLines="50" w:after="313" w:afterLines="100" w:line="360" w:lineRule="auto"/>
        <w:ind w:firstLine="643" w:firstLineChars="200"/>
        <w:textAlignment w:val="auto"/>
        <w:rPr>
          <w:rFonts w:hint="eastAsia" w:eastAsia="仿宋_GB2312" w:cs="仿宋_GB2312" w:asciiTheme="minorEastAsia" w:hAnsiTheme="minorEastAsia"/>
          <w:color w:val="auto"/>
          <w:kern w:val="2"/>
          <w:sz w:val="32"/>
          <w:szCs w:val="32"/>
          <w:highlight w:val="none"/>
          <w:lang w:val="en-US" w:eastAsia="zh-CN" w:bidi="ar-SA"/>
        </w:rPr>
      </w:pPr>
      <w:r>
        <w:rPr>
          <w:rFonts w:hint="eastAsia" w:ascii="华文楷体" w:hAnsi="华文楷体" w:eastAsia="华文楷体" w:cs="华文楷体"/>
          <w:b/>
          <w:bCs/>
          <w:color w:val="auto"/>
          <w:kern w:val="2"/>
          <w:sz w:val="32"/>
          <w:szCs w:val="32"/>
          <w:highlight w:val="none"/>
          <w:lang w:val="en-US" w:eastAsia="zh-CN" w:bidi="ar-SA"/>
        </w:rPr>
        <w:t>提升居家养老服务专业化水平。</w:t>
      </w:r>
      <w:r>
        <w:rPr>
          <w:rFonts w:hint="eastAsia" w:eastAsia="仿宋_GB2312" w:cs="仿宋_GB2312" w:asciiTheme="minorEastAsia" w:hAnsiTheme="minorEastAsia"/>
          <w:color w:val="auto"/>
          <w:kern w:val="2"/>
          <w:sz w:val="32"/>
          <w:szCs w:val="32"/>
          <w:highlight w:val="none"/>
          <w:lang w:val="en-US" w:eastAsia="zh-CN" w:bidi="ar-SA"/>
        </w:rPr>
        <w:t>实施向中度以上失能老年人养老服务消费补贴政策，应享尽享。</w:t>
      </w:r>
      <w:r>
        <w:rPr>
          <w:rFonts w:hint="default" w:eastAsia="仿宋_GB2312" w:cs="仿宋_GB2312" w:asciiTheme="minorEastAsia" w:hAnsiTheme="minorEastAsia"/>
          <w:color w:val="auto"/>
          <w:kern w:val="2"/>
          <w:sz w:val="32"/>
          <w:szCs w:val="32"/>
          <w:highlight w:val="none"/>
          <w:lang w:val="en-US" w:eastAsia="zh-CN" w:bidi="ar-SA"/>
        </w:rPr>
        <w:t>推进居家养老照护设施智能化升级，拓展健康监测、慢病管理、康复理疗等智慧化应用场景</w:t>
      </w:r>
      <w:r>
        <w:rPr>
          <w:rFonts w:hint="eastAsia" w:eastAsia="仿宋_GB2312" w:cs="仿宋_GB2312" w:asciiTheme="minorEastAsia" w:hAnsiTheme="minorEastAsia"/>
          <w:color w:val="auto"/>
          <w:kern w:val="2"/>
          <w:sz w:val="32"/>
          <w:szCs w:val="32"/>
          <w:highlight w:val="none"/>
          <w:lang w:val="en-US" w:eastAsia="zh-CN" w:bidi="ar-SA"/>
        </w:rPr>
        <w:t>。</w:t>
      </w:r>
      <w:r>
        <w:rPr>
          <w:rFonts w:hint="default" w:eastAsia="仿宋_GB2312" w:cs="仿宋_GB2312" w:asciiTheme="minorEastAsia" w:hAnsiTheme="minorEastAsia"/>
          <w:color w:val="auto"/>
          <w:kern w:val="2"/>
          <w:sz w:val="32"/>
          <w:szCs w:val="32"/>
          <w:highlight w:val="none"/>
          <w:lang w:val="en-US" w:eastAsia="zh-CN" w:bidi="ar-SA"/>
        </w:rPr>
        <w:t>推广华美社区“专业机构+社区养老+居家养老”</w:t>
      </w:r>
      <w:r>
        <w:rPr>
          <w:rFonts w:hint="eastAsia" w:eastAsia="仿宋_GB2312" w:cs="仿宋_GB2312" w:asciiTheme="minorEastAsia" w:hAnsiTheme="minorEastAsia"/>
          <w:color w:val="auto"/>
          <w:kern w:val="2"/>
          <w:sz w:val="32"/>
          <w:szCs w:val="32"/>
          <w:highlight w:val="none"/>
          <w:lang w:val="en-US" w:eastAsia="zh-CN" w:bidi="ar-SA"/>
        </w:rPr>
        <w:t>可持续养老服务</w:t>
      </w:r>
      <w:r>
        <w:rPr>
          <w:rFonts w:hint="default" w:eastAsia="仿宋_GB2312" w:cs="仿宋_GB2312" w:asciiTheme="minorEastAsia" w:hAnsiTheme="minorEastAsia"/>
          <w:color w:val="auto"/>
          <w:kern w:val="2"/>
          <w:sz w:val="32"/>
          <w:szCs w:val="32"/>
          <w:highlight w:val="none"/>
          <w:lang w:val="en-US" w:eastAsia="zh-CN" w:bidi="ar-SA"/>
        </w:rPr>
        <w:t>模式，强化专业机构向家庭的辐射带动作用</w:t>
      </w:r>
      <w:r>
        <w:rPr>
          <w:rFonts w:hint="eastAsia" w:eastAsia="仿宋_GB2312" w:cs="仿宋_GB2312" w:asciiTheme="minorEastAsia" w:hAnsiTheme="minorEastAsia"/>
          <w:color w:val="auto"/>
          <w:kern w:val="2"/>
          <w:sz w:val="32"/>
          <w:szCs w:val="32"/>
          <w:highlight w:val="none"/>
          <w:lang w:val="en-US" w:eastAsia="zh-CN" w:bidi="ar-SA"/>
        </w:rPr>
        <w:t>。</w:t>
      </w:r>
      <w:r>
        <w:rPr>
          <w:rFonts w:hint="default" w:eastAsia="仿宋_GB2312" w:cs="仿宋_GB2312" w:asciiTheme="minorEastAsia" w:hAnsiTheme="minorEastAsia"/>
          <w:color w:val="auto"/>
          <w:kern w:val="2"/>
          <w:sz w:val="32"/>
          <w:szCs w:val="32"/>
          <w:highlight w:val="none"/>
          <w:lang w:val="en-US" w:eastAsia="zh-CN" w:bidi="ar-SA"/>
        </w:rPr>
        <w:t>开展家庭照护技能公益培训，逐步提高居家养老服务补贴标准，健全居家养老服务质量标准体系</w:t>
      </w:r>
      <w:r>
        <w:rPr>
          <w:rFonts w:hint="eastAsia" w:eastAsia="仿宋_GB2312" w:cs="仿宋_GB2312" w:asciiTheme="minorEastAsia" w:hAnsiTheme="minorEastAsia"/>
          <w:color w:val="auto"/>
          <w:kern w:val="2"/>
          <w:sz w:val="32"/>
          <w:szCs w:val="32"/>
          <w:highlight w:val="none"/>
          <w:lang w:val="en-US" w:eastAsia="zh-CN" w:bidi="ar-SA"/>
        </w:rPr>
        <w:t>。</w:t>
      </w:r>
    </w:p>
    <w:tbl>
      <w:tblPr>
        <w:tblStyle w:val="19"/>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autofit"/>
        <w:tblCellMar>
          <w:top w:w="0" w:type="dxa"/>
          <w:left w:w="0" w:type="dxa"/>
          <w:bottom w:w="0" w:type="dxa"/>
          <w:right w:w="0" w:type="dxa"/>
        </w:tblCellMar>
      </w:tblPr>
      <w:tblGrid>
        <w:gridCol w:w="9360"/>
      </w:tblGrid>
      <w:tr w14:paraId="6474A83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72" w:hRule="atLeast"/>
          <w:jc w:val="center"/>
        </w:trPr>
        <w:tc>
          <w:tcPr>
            <w:tcW w:w="0" w:type="auto"/>
            <w:tcBorders>
              <w:bottom w:val="single" w:color="000000" w:sz="8" w:space="0"/>
            </w:tcBorders>
            <w:shd w:val="clear" w:color="auto" w:fill="FFFFFF" w:themeFill="background1"/>
            <w:tcMar>
              <w:top w:w="72" w:type="dxa"/>
              <w:left w:w="144" w:type="dxa"/>
              <w:bottom w:w="72" w:type="dxa"/>
              <w:right w:w="144" w:type="dxa"/>
            </w:tcMar>
            <w:vAlign w:val="top"/>
          </w:tcPr>
          <w:p w14:paraId="4781B8FD">
            <w:pPr>
              <w:widowControl/>
              <w:spacing w:after="0" w:line="360" w:lineRule="auto"/>
              <w:jc w:val="center"/>
              <w:rPr>
                <w:rFonts w:hint="eastAsia" w:ascii="宋体" w:hAnsi="宋体" w:eastAsia="宋体" w:cs="宋体"/>
                <w:color w:val="auto"/>
                <w:kern w:val="0"/>
                <w:sz w:val="24"/>
                <w:szCs w:val="24"/>
                <w:highlight w:val="none"/>
                <w14:ligatures w14:val="none"/>
              </w:rPr>
            </w:pPr>
            <w:r>
              <w:rPr>
                <w:rFonts w:hint="eastAsia" w:ascii="黑体" w:hAnsi="黑体" w:eastAsia="黑体" w:cs="黑体"/>
                <w:b w:val="0"/>
                <w:bCs w:val="0"/>
                <w:color w:val="auto"/>
                <w:kern w:val="24"/>
                <w:sz w:val="28"/>
                <w:szCs w:val="28"/>
                <w:highlight w:val="none"/>
                <w14:ligatures w14:val="none"/>
              </w:rPr>
              <w:t>专栏</w:t>
            </w:r>
            <w:r>
              <w:rPr>
                <w:rFonts w:hint="eastAsia" w:ascii="黑体" w:hAnsi="黑体" w:eastAsia="黑体" w:cs="黑体"/>
                <w:b w:val="0"/>
                <w:bCs w:val="0"/>
                <w:color w:val="auto"/>
                <w:kern w:val="24"/>
                <w:sz w:val="28"/>
                <w:szCs w:val="28"/>
                <w:highlight w:val="none"/>
                <w:lang w:val="en-US" w:eastAsia="zh-CN"/>
                <w14:ligatures w14:val="none"/>
              </w:rPr>
              <w:t>一  养老服务设施</w:t>
            </w:r>
            <w:r>
              <w:rPr>
                <w:rFonts w:hint="eastAsia" w:ascii="黑体" w:hAnsi="黑体" w:eastAsia="黑体" w:cs="黑体"/>
                <w:b w:val="0"/>
                <w:bCs w:val="0"/>
                <w:color w:val="auto"/>
                <w:kern w:val="24"/>
                <w:sz w:val="28"/>
                <w:szCs w:val="28"/>
                <w:highlight w:val="none"/>
                <w14:ligatures w14:val="none"/>
              </w:rPr>
              <w:t>建设项目</w:t>
            </w:r>
          </w:p>
        </w:tc>
      </w:tr>
      <w:tr w14:paraId="591BD2C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0" w:hRule="atLeast"/>
          <w:jc w:val="center"/>
        </w:trPr>
        <w:tc>
          <w:tcPr>
            <w:tcW w:w="0" w:type="auto"/>
            <w:shd w:val="clear" w:color="auto" w:fill="FFFFFF" w:themeFill="background1"/>
            <w:tcMar>
              <w:top w:w="72" w:type="dxa"/>
              <w:left w:w="144" w:type="dxa"/>
              <w:bottom w:w="72" w:type="dxa"/>
              <w:right w:w="144" w:type="dxa"/>
            </w:tcMar>
            <w:vAlign w:val="top"/>
          </w:tcPr>
          <w:p w14:paraId="2AF1F3C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黑体" w:hAnsi="黑体" w:eastAsia="黑体" w:cs="黑体"/>
                <w:color w:val="auto"/>
                <w:sz w:val="24"/>
                <w:szCs w:val="24"/>
                <w:highlight w:val="none"/>
              </w:rPr>
            </w:pPr>
            <w:r>
              <w:rPr>
                <w:rFonts w:hint="eastAsia" w:ascii="黑体" w:hAnsi="黑体" w:eastAsia="黑体" w:cs="黑体"/>
                <w:color w:val="auto"/>
                <w:sz w:val="24"/>
                <w:szCs w:val="24"/>
                <w:highlight w:val="none"/>
                <w:lang w:val="en-US" w:eastAsia="zh-CN"/>
              </w:rPr>
              <w:t>1.</w:t>
            </w:r>
            <w:r>
              <w:rPr>
                <w:rFonts w:hint="eastAsia" w:ascii="黑体" w:hAnsi="黑体" w:eastAsia="黑体" w:cs="黑体"/>
                <w:color w:val="auto"/>
                <w:sz w:val="24"/>
                <w:szCs w:val="24"/>
                <w:highlight w:val="none"/>
              </w:rPr>
              <w:t>潜江市区域性特困供养机构改造项目</w:t>
            </w:r>
          </w:p>
          <w:p w14:paraId="011D021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i w:val="0"/>
                <w:iCs w:val="0"/>
                <w:caps w:val="0"/>
                <w:color w:val="auto"/>
                <w:spacing w:val="0"/>
                <w:sz w:val="24"/>
                <w:szCs w:val="24"/>
                <w:highlight w:val="none"/>
                <w:shd w:val="clear" w:fill="FFFFFF"/>
                <w:lang w:eastAsia="zh-CN"/>
              </w:rPr>
            </w:pPr>
            <w:r>
              <w:rPr>
                <w:rFonts w:hint="eastAsia" w:ascii="宋体" w:hAnsi="宋体" w:eastAsia="宋体" w:cs="宋体"/>
                <w:i w:val="0"/>
                <w:iCs w:val="0"/>
                <w:caps w:val="0"/>
                <w:color w:val="0F1115"/>
                <w:spacing w:val="0"/>
                <w:sz w:val="24"/>
                <w:szCs w:val="24"/>
                <w:highlight w:val="none"/>
                <w:shd w:val="clear" w:fill="FFFFFF"/>
              </w:rPr>
              <w:t>计划总投资</w:t>
            </w:r>
            <w:r>
              <w:rPr>
                <w:rFonts w:hint="eastAsia" w:ascii="宋体" w:hAnsi="宋体" w:eastAsia="宋体" w:cs="宋体"/>
                <w:i w:val="0"/>
                <w:iCs w:val="0"/>
                <w:caps w:val="0"/>
                <w:color w:val="0F1115"/>
                <w:spacing w:val="0"/>
                <w:sz w:val="24"/>
                <w:szCs w:val="24"/>
                <w:highlight w:val="none"/>
                <w:shd w:val="clear" w:fill="FFFFFF"/>
                <w:lang w:val="en-US" w:eastAsia="zh-CN"/>
              </w:rPr>
              <w:t>1600</w:t>
            </w:r>
            <w:r>
              <w:rPr>
                <w:rFonts w:hint="eastAsia" w:ascii="宋体" w:hAnsi="宋体" w:eastAsia="宋体" w:cs="宋体"/>
                <w:i w:val="0"/>
                <w:iCs w:val="0"/>
                <w:caps w:val="0"/>
                <w:color w:val="0F1115"/>
                <w:spacing w:val="0"/>
                <w:sz w:val="24"/>
                <w:szCs w:val="24"/>
                <w:highlight w:val="none"/>
                <w:shd w:val="clear" w:fill="FFFFFF"/>
              </w:rPr>
              <w:t>万元</w:t>
            </w:r>
            <w:r>
              <w:rPr>
                <w:rFonts w:hint="eastAsia" w:ascii="宋体" w:hAnsi="宋体" w:eastAsia="宋体" w:cs="宋体"/>
                <w:i w:val="0"/>
                <w:iCs w:val="0"/>
                <w:caps w:val="0"/>
                <w:color w:val="0F1115"/>
                <w:spacing w:val="0"/>
                <w:sz w:val="24"/>
                <w:szCs w:val="24"/>
                <w:highlight w:val="none"/>
                <w:shd w:val="clear" w:fill="FFFFFF"/>
                <w:lang w:eastAsia="zh-CN"/>
              </w:rPr>
              <w:t>，</w:t>
            </w:r>
            <w:r>
              <w:rPr>
                <w:rFonts w:hint="eastAsia" w:ascii="宋体" w:hAnsi="宋体" w:eastAsia="宋体" w:cs="宋体"/>
                <w:i w:val="0"/>
                <w:iCs w:val="0"/>
                <w:caps w:val="0"/>
                <w:color w:val="0F1115"/>
                <w:spacing w:val="0"/>
                <w:sz w:val="24"/>
                <w:szCs w:val="24"/>
                <w:highlight w:val="none"/>
                <w:shd w:val="clear" w:fill="FFFFFF"/>
              </w:rPr>
              <w:t>其中</w:t>
            </w:r>
            <w:r>
              <w:rPr>
                <w:rFonts w:hint="eastAsia" w:ascii="宋体" w:hAnsi="宋体" w:eastAsia="宋体" w:cs="宋体"/>
                <w:i w:val="0"/>
                <w:iCs w:val="0"/>
                <w:caps w:val="0"/>
                <w:color w:val="0F1115"/>
                <w:spacing w:val="0"/>
                <w:sz w:val="24"/>
                <w:szCs w:val="24"/>
                <w:highlight w:val="none"/>
                <w:shd w:val="clear" w:fill="FFFFFF"/>
                <w:lang w:eastAsia="zh-CN"/>
              </w:rPr>
              <w:t>，</w:t>
            </w:r>
            <w:r>
              <w:rPr>
                <w:rFonts w:hint="eastAsia" w:ascii="宋体" w:hAnsi="宋体" w:eastAsia="宋体" w:cs="宋体"/>
                <w:i w:val="0"/>
                <w:iCs w:val="0"/>
                <w:caps w:val="0"/>
                <w:color w:val="0F1115"/>
                <w:spacing w:val="0"/>
                <w:sz w:val="24"/>
                <w:szCs w:val="24"/>
                <w:highlight w:val="none"/>
                <w:shd w:val="clear" w:fill="FFFFFF"/>
              </w:rPr>
              <w:t>申请中央预算内投资1</w:t>
            </w:r>
            <w:r>
              <w:rPr>
                <w:rFonts w:hint="eastAsia" w:ascii="宋体" w:hAnsi="宋体" w:eastAsia="宋体" w:cs="宋体"/>
                <w:i w:val="0"/>
                <w:iCs w:val="0"/>
                <w:caps w:val="0"/>
                <w:color w:val="0F1115"/>
                <w:spacing w:val="0"/>
                <w:sz w:val="24"/>
                <w:szCs w:val="24"/>
                <w:highlight w:val="none"/>
                <w:shd w:val="clear" w:fill="FFFFFF"/>
                <w:lang w:val="en-US" w:eastAsia="zh-CN"/>
              </w:rPr>
              <w:t>120</w:t>
            </w:r>
            <w:r>
              <w:rPr>
                <w:rFonts w:hint="eastAsia" w:ascii="宋体" w:hAnsi="宋体" w:eastAsia="宋体" w:cs="宋体"/>
                <w:i w:val="0"/>
                <w:iCs w:val="0"/>
                <w:caps w:val="0"/>
                <w:color w:val="0F1115"/>
                <w:spacing w:val="0"/>
                <w:sz w:val="24"/>
                <w:szCs w:val="24"/>
                <w:highlight w:val="none"/>
                <w:shd w:val="clear" w:fill="FFFFFF"/>
              </w:rPr>
              <w:t>万元。拟对现有特困供养机构进行综合改造提升，规划改造及新增养老床位200张，总改造建筑面积9300平方米。主要建设内容</w:t>
            </w:r>
            <w:r>
              <w:rPr>
                <w:rFonts w:hint="eastAsia" w:ascii="宋体" w:hAnsi="宋体" w:eastAsia="宋体" w:cs="宋体"/>
                <w:i w:val="0"/>
                <w:iCs w:val="0"/>
                <w:caps w:val="0"/>
                <w:color w:val="0F1115"/>
                <w:spacing w:val="0"/>
                <w:sz w:val="24"/>
                <w:szCs w:val="24"/>
                <w:highlight w:val="none"/>
                <w:shd w:val="clear" w:fill="FFFFFF"/>
                <w:lang w:eastAsia="zh-CN"/>
              </w:rPr>
              <w:t>：</w:t>
            </w:r>
            <w:r>
              <w:rPr>
                <w:rFonts w:hint="eastAsia" w:ascii="宋体" w:hAnsi="宋体" w:eastAsia="宋体" w:cs="宋体"/>
                <w:i w:val="0"/>
                <w:iCs w:val="0"/>
                <w:caps w:val="0"/>
                <w:color w:val="0F1115"/>
                <w:spacing w:val="0"/>
                <w:sz w:val="24"/>
                <w:szCs w:val="24"/>
                <w:highlight w:val="none"/>
                <w:shd w:val="clear" w:fill="FFFFFF"/>
              </w:rPr>
              <w:t>机构内部适老化改造与设施设备添置，以及室外道路、给排水及消防管网、供配电系统和绿化等配套工程的系统性完善，全面提升机构的硬件设施与服务承载能力</w:t>
            </w:r>
            <w:r>
              <w:rPr>
                <w:rFonts w:hint="eastAsia" w:ascii="宋体" w:hAnsi="宋体" w:eastAsia="宋体" w:cs="宋体"/>
                <w:i w:val="0"/>
                <w:iCs w:val="0"/>
                <w:caps w:val="0"/>
                <w:color w:val="0F1115"/>
                <w:spacing w:val="0"/>
                <w:sz w:val="24"/>
                <w:szCs w:val="24"/>
                <w:highlight w:val="none"/>
                <w:shd w:val="clear" w:fill="FFFFFF"/>
                <w:lang w:eastAsia="zh-CN"/>
              </w:rPr>
              <w:t>。</w:t>
            </w:r>
          </w:p>
        </w:tc>
      </w:tr>
      <w:tr w14:paraId="6EE21A7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0" w:hRule="atLeast"/>
          <w:jc w:val="center"/>
        </w:trPr>
        <w:tc>
          <w:tcPr>
            <w:tcW w:w="0" w:type="auto"/>
            <w:shd w:val="clear" w:color="auto" w:fill="FFFFFF" w:themeFill="background1"/>
            <w:tcMar>
              <w:top w:w="72" w:type="dxa"/>
              <w:left w:w="144" w:type="dxa"/>
              <w:bottom w:w="72" w:type="dxa"/>
              <w:right w:w="144" w:type="dxa"/>
            </w:tcMar>
            <w:vAlign w:val="top"/>
          </w:tcPr>
          <w:p w14:paraId="0D9D53C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黑体" w:hAnsi="黑体" w:eastAsia="黑体" w:cs="黑体"/>
                <w:b w:val="0"/>
                <w:bCs w:val="0"/>
                <w:color w:val="auto"/>
                <w:sz w:val="24"/>
                <w:szCs w:val="24"/>
                <w:highlight w:val="none"/>
                <w:lang w:val="en-US" w:eastAsia="zh-CN"/>
              </w:rPr>
              <w:t>2.潜江市失智失能老人养护院建设项目</w:t>
            </w:r>
          </w:p>
          <w:p w14:paraId="1112F7B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i w:val="0"/>
                <w:iCs w:val="0"/>
                <w:caps w:val="0"/>
                <w:color w:val="auto"/>
                <w:spacing w:val="0"/>
                <w:sz w:val="24"/>
                <w:szCs w:val="24"/>
                <w:highlight w:val="none"/>
                <w:shd w:val="clear" w:fill="FFFFFF"/>
              </w:rPr>
              <w:t>计划总投资</w:t>
            </w:r>
            <w:r>
              <w:rPr>
                <w:rFonts w:hint="eastAsia" w:ascii="宋体" w:hAnsi="宋体" w:eastAsia="宋体" w:cs="宋体"/>
                <w:i w:val="0"/>
                <w:iCs w:val="0"/>
                <w:caps w:val="0"/>
                <w:color w:val="auto"/>
                <w:spacing w:val="0"/>
                <w:sz w:val="24"/>
                <w:szCs w:val="24"/>
                <w:highlight w:val="none"/>
                <w:shd w:val="clear" w:fill="FFFFFF"/>
                <w:lang w:val="en-US" w:eastAsia="zh-CN"/>
              </w:rPr>
              <w:t>360</w:t>
            </w:r>
            <w:r>
              <w:rPr>
                <w:rFonts w:hint="eastAsia" w:ascii="宋体" w:hAnsi="宋体" w:eastAsia="宋体" w:cs="宋体"/>
                <w:i w:val="0"/>
                <w:iCs w:val="0"/>
                <w:caps w:val="0"/>
                <w:color w:val="auto"/>
                <w:spacing w:val="0"/>
                <w:sz w:val="24"/>
                <w:szCs w:val="24"/>
                <w:highlight w:val="none"/>
                <w:shd w:val="clear" w:fill="FFFFFF"/>
              </w:rPr>
              <w:t>万元，其中</w:t>
            </w:r>
            <w:r>
              <w:rPr>
                <w:rFonts w:hint="eastAsia" w:ascii="宋体" w:hAnsi="宋体" w:eastAsia="宋体" w:cs="宋体"/>
                <w:i w:val="0"/>
                <w:iCs w:val="0"/>
                <w:caps w:val="0"/>
                <w:color w:val="auto"/>
                <w:spacing w:val="0"/>
                <w:sz w:val="24"/>
                <w:szCs w:val="24"/>
                <w:highlight w:val="none"/>
                <w:shd w:val="clear" w:fill="FFFFFF"/>
                <w:lang w:eastAsia="zh-CN"/>
              </w:rPr>
              <w:t>，</w:t>
            </w:r>
            <w:r>
              <w:rPr>
                <w:rFonts w:hint="eastAsia" w:ascii="宋体" w:hAnsi="宋体" w:eastAsia="宋体" w:cs="宋体"/>
                <w:i w:val="0"/>
                <w:iCs w:val="0"/>
                <w:caps w:val="0"/>
                <w:color w:val="auto"/>
                <w:spacing w:val="0"/>
                <w:sz w:val="24"/>
                <w:szCs w:val="24"/>
                <w:highlight w:val="none"/>
                <w:shd w:val="clear" w:fill="FFFFFF"/>
              </w:rPr>
              <w:t>申请中央预算内投资</w:t>
            </w:r>
            <w:r>
              <w:rPr>
                <w:rFonts w:hint="eastAsia" w:ascii="宋体" w:hAnsi="宋体" w:eastAsia="宋体" w:cs="宋体"/>
                <w:i w:val="0"/>
                <w:iCs w:val="0"/>
                <w:caps w:val="0"/>
                <w:color w:val="auto"/>
                <w:spacing w:val="0"/>
                <w:sz w:val="24"/>
                <w:szCs w:val="24"/>
                <w:highlight w:val="none"/>
                <w:shd w:val="clear" w:fill="FFFFFF"/>
                <w:lang w:val="en-US" w:eastAsia="zh-CN"/>
              </w:rPr>
              <w:t>250</w:t>
            </w:r>
            <w:r>
              <w:rPr>
                <w:rFonts w:hint="eastAsia" w:ascii="宋体" w:hAnsi="宋体" w:eastAsia="宋体" w:cs="宋体"/>
                <w:i w:val="0"/>
                <w:iCs w:val="0"/>
                <w:caps w:val="0"/>
                <w:color w:val="auto"/>
                <w:spacing w:val="0"/>
                <w:sz w:val="24"/>
                <w:szCs w:val="24"/>
                <w:highlight w:val="none"/>
                <w:shd w:val="clear" w:fill="FFFFFF"/>
              </w:rPr>
              <w:t>万元</w:t>
            </w:r>
            <w:r>
              <w:rPr>
                <w:rFonts w:hint="eastAsia" w:ascii="宋体" w:hAnsi="宋体" w:eastAsia="宋体" w:cs="宋体"/>
                <w:i w:val="0"/>
                <w:iCs w:val="0"/>
                <w:caps w:val="0"/>
                <w:color w:val="auto"/>
                <w:spacing w:val="0"/>
                <w:sz w:val="24"/>
                <w:szCs w:val="24"/>
                <w:highlight w:val="none"/>
                <w:shd w:val="clear" w:fill="FFFFFF"/>
                <w:lang w:eastAsia="zh-CN"/>
              </w:rPr>
              <w:t>，</w:t>
            </w:r>
            <w:r>
              <w:rPr>
                <w:rFonts w:hint="eastAsia" w:ascii="宋体" w:hAnsi="宋体" w:eastAsia="宋体" w:cs="宋体"/>
                <w:i w:val="0"/>
                <w:iCs w:val="0"/>
                <w:caps w:val="0"/>
                <w:color w:val="auto"/>
                <w:spacing w:val="0"/>
                <w:sz w:val="24"/>
                <w:szCs w:val="24"/>
                <w:highlight w:val="none"/>
                <w:shd w:val="clear" w:fill="FFFFFF"/>
                <w:lang w:val="en-US" w:eastAsia="zh-CN"/>
              </w:rPr>
              <w:t>拟将社会福利院部分区域改扩</w:t>
            </w:r>
            <w:r>
              <w:rPr>
                <w:rFonts w:hint="eastAsia" w:ascii="宋体" w:hAnsi="宋体" w:eastAsia="宋体" w:cs="宋体"/>
                <w:i w:val="0"/>
                <w:iCs w:val="0"/>
                <w:caps w:val="0"/>
                <w:color w:val="auto"/>
                <w:spacing w:val="0"/>
                <w:sz w:val="24"/>
                <w:szCs w:val="24"/>
                <w:highlight w:val="none"/>
                <w:shd w:val="clear" w:fill="FFFFFF"/>
              </w:rPr>
              <w:t>建</w:t>
            </w:r>
            <w:r>
              <w:rPr>
                <w:rFonts w:hint="eastAsia" w:ascii="宋体" w:hAnsi="宋体" w:eastAsia="宋体" w:cs="宋体"/>
                <w:i w:val="0"/>
                <w:iCs w:val="0"/>
                <w:caps w:val="0"/>
                <w:color w:val="auto"/>
                <w:spacing w:val="0"/>
                <w:sz w:val="24"/>
                <w:szCs w:val="24"/>
                <w:highlight w:val="none"/>
                <w:shd w:val="clear" w:fill="FFFFFF"/>
                <w:lang w:val="en-US" w:eastAsia="zh-CN"/>
              </w:rPr>
              <w:t>为</w:t>
            </w:r>
            <w:r>
              <w:rPr>
                <w:rFonts w:hint="eastAsia" w:ascii="宋体" w:hAnsi="宋体" w:eastAsia="宋体" w:cs="宋体"/>
                <w:i w:val="0"/>
                <w:iCs w:val="0"/>
                <w:caps w:val="0"/>
                <w:color w:val="auto"/>
                <w:spacing w:val="0"/>
                <w:sz w:val="24"/>
                <w:szCs w:val="24"/>
                <w:highlight w:val="none"/>
                <w:shd w:val="clear" w:fill="FFFFFF"/>
              </w:rPr>
              <w:t>面向全市失智失能老年人的</w:t>
            </w:r>
            <w:r>
              <w:rPr>
                <w:rFonts w:hint="eastAsia" w:ascii="宋体" w:hAnsi="宋体" w:eastAsia="宋体" w:cs="宋体"/>
                <w:i w:val="0"/>
                <w:iCs w:val="0"/>
                <w:caps w:val="0"/>
                <w:color w:val="auto"/>
                <w:spacing w:val="0"/>
                <w:sz w:val="24"/>
                <w:szCs w:val="24"/>
                <w:highlight w:val="none"/>
                <w:shd w:val="clear" w:fill="FFFFFF"/>
                <w:lang w:val="en-US" w:eastAsia="zh-CN"/>
              </w:rPr>
              <w:t>养护专区</w:t>
            </w:r>
            <w:r>
              <w:rPr>
                <w:rFonts w:hint="eastAsia" w:ascii="宋体" w:hAnsi="宋体" w:eastAsia="宋体" w:cs="宋体"/>
                <w:i w:val="0"/>
                <w:iCs w:val="0"/>
                <w:caps w:val="0"/>
                <w:color w:val="auto"/>
                <w:spacing w:val="0"/>
                <w:sz w:val="24"/>
                <w:szCs w:val="24"/>
                <w:highlight w:val="none"/>
                <w:shd w:val="clear" w:fill="FFFFFF"/>
              </w:rPr>
              <w:t>。项目规划总建筑面积</w:t>
            </w:r>
            <w:r>
              <w:rPr>
                <w:rFonts w:hint="eastAsia" w:ascii="宋体" w:hAnsi="宋体" w:eastAsia="宋体" w:cs="宋体"/>
                <w:i w:val="0"/>
                <w:iCs w:val="0"/>
                <w:caps w:val="0"/>
                <w:color w:val="auto"/>
                <w:spacing w:val="0"/>
                <w:sz w:val="24"/>
                <w:szCs w:val="24"/>
                <w:highlight w:val="none"/>
                <w:shd w:val="clear" w:fill="FFFFFF"/>
                <w:lang w:val="en-US" w:eastAsia="zh-CN"/>
              </w:rPr>
              <w:t>2250</w:t>
            </w:r>
            <w:r>
              <w:rPr>
                <w:rFonts w:hint="eastAsia" w:ascii="宋体" w:hAnsi="宋体" w:eastAsia="宋体" w:cs="宋体"/>
                <w:i w:val="0"/>
                <w:iCs w:val="0"/>
                <w:caps w:val="0"/>
                <w:color w:val="auto"/>
                <w:spacing w:val="0"/>
                <w:sz w:val="24"/>
                <w:szCs w:val="24"/>
                <w:highlight w:val="none"/>
                <w:shd w:val="clear" w:fill="FFFFFF"/>
              </w:rPr>
              <w:t>平方米，各功能分区包括：照护服务区1250平方米、医疗康复区600平方米、生活服务区300平方米、管理后勤区100平方米，并按建筑面积100%配建室外活动与康复场地。</w:t>
            </w:r>
          </w:p>
        </w:tc>
      </w:tr>
      <w:tr w14:paraId="6417CAE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64" w:hRule="atLeast"/>
          <w:jc w:val="center"/>
        </w:trPr>
        <w:tc>
          <w:tcPr>
            <w:tcW w:w="0" w:type="auto"/>
            <w:shd w:val="clear" w:color="auto" w:fill="FFFFFF" w:themeFill="background1"/>
            <w:tcMar>
              <w:top w:w="72" w:type="dxa"/>
              <w:left w:w="144" w:type="dxa"/>
              <w:bottom w:w="72" w:type="dxa"/>
              <w:right w:w="144" w:type="dxa"/>
            </w:tcMar>
            <w:vAlign w:val="top"/>
          </w:tcPr>
          <w:p w14:paraId="5CF2831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黑体" w:hAnsi="黑体" w:eastAsia="黑体" w:cs="黑体"/>
                <w:b w:val="0"/>
                <w:bCs w:val="0"/>
                <w:color w:val="auto"/>
                <w:sz w:val="24"/>
                <w:szCs w:val="24"/>
                <w:highlight w:val="none"/>
                <w:lang w:val="en-US" w:eastAsia="zh-CN"/>
              </w:rPr>
              <w:t>3.潜江市社会福利院医养一体化示范中心项目</w:t>
            </w:r>
          </w:p>
          <w:p w14:paraId="6BA2884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i w:val="0"/>
                <w:iCs w:val="0"/>
                <w:caps w:val="0"/>
                <w:color w:val="auto"/>
                <w:spacing w:val="0"/>
                <w:sz w:val="24"/>
                <w:szCs w:val="24"/>
                <w:highlight w:val="none"/>
                <w:shd w:val="clear" w:fill="FFFFFF"/>
              </w:rPr>
              <w:t>计划总投资1500万元，其中</w:t>
            </w:r>
            <w:r>
              <w:rPr>
                <w:rFonts w:hint="eastAsia" w:ascii="宋体" w:hAnsi="宋体" w:eastAsia="宋体" w:cs="宋体"/>
                <w:i w:val="0"/>
                <w:iCs w:val="0"/>
                <w:caps w:val="0"/>
                <w:color w:val="auto"/>
                <w:spacing w:val="0"/>
                <w:sz w:val="24"/>
                <w:szCs w:val="24"/>
                <w:highlight w:val="none"/>
                <w:shd w:val="clear" w:fill="FFFFFF"/>
                <w:lang w:eastAsia="zh-CN"/>
              </w:rPr>
              <w:t>，</w:t>
            </w:r>
            <w:r>
              <w:rPr>
                <w:rFonts w:hint="eastAsia" w:ascii="宋体" w:hAnsi="宋体" w:eastAsia="宋体" w:cs="宋体"/>
                <w:i w:val="0"/>
                <w:iCs w:val="0"/>
                <w:caps w:val="0"/>
                <w:color w:val="auto"/>
                <w:spacing w:val="0"/>
                <w:sz w:val="24"/>
                <w:szCs w:val="24"/>
                <w:highlight w:val="none"/>
                <w:shd w:val="clear" w:fill="FFFFFF"/>
              </w:rPr>
              <w:t>中央预算内投资</w:t>
            </w:r>
            <w:r>
              <w:rPr>
                <w:rFonts w:hint="eastAsia" w:ascii="宋体" w:hAnsi="宋体" w:eastAsia="宋体" w:cs="宋体"/>
                <w:i w:val="0"/>
                <w:iCs w:val="0"/>
                <w:caps w:val="0"/>
                <w:color w:val="auto"/>
                <w:spacing w:val="0"/>
                <w:sz w:val="24"/>
                <w:szCs w:val="24"/>
                <w:highlight w:val="none"/>
                <w:shd w:val="clear" w:fill="FFFFFF"/>
                <w:lang w:val="en-US" w:eastAsia="zh-CN"/>
              </w:rPr>
              <w:t>500</w:t>
            </w:r>
            <w:r>
              <w:rPr>
                <w:rFonts w:hint="eastAsia" w:ascii="宋体" w:hAnsi="宋体" w:eastAsia="宋体" w:cs="宋体"/>
                <w:i w:val="0"/>
                <w:iCs w:val="0"/>
                <w:caps w:val="0"/>
                <w:color w:val="auto"/>
                <w:spacing w:val="0"/>
                <w:sz w:val="24"/>
                <w:szCs w:val="24"/>
                <w:highlight w:val="none"/>
                <w:shd w:val="clear" w:fill="FFFFFF"/>
              </w:rPr>
              <w:t>万元，拟建设一座集医养功能于一体的综合服务中心。项目总建筑面积11543平方米，主要包括以下两部分</w:t>
            </w:r>
            <w:r>
              <w:rPr>
                <w:rFonts w:hint="eastAsia" w:ascii="宋体" w:hAnsi="宋体" w:eastAsia="宋体" w:cs="宋体"/>
                <w:i w:val="0"/>
                <w:iCs w:val="0"/>
                <w:caps w:val="0"/>
                <w:color w:val="auto"/>
                <w:spacing w:val="0"/>
                <w:sz w:val="24"/>
                <w:szCs w:val="24"/>
                <w:highlight w:val="none"/>
                <w:shd w:val="clear" w:fill="FFFFFF"/>
                <w:lang w:eastAsia="zh-CN"/>
              </w:rPr>
              <w:t>：</w:t>
            </w:r>
            <w:r>
              <w:rPr>
                <w:rFonts w:hint="eastAsia" w:ascii="宋体" w:hAnsi="宋体" w:eastAsia="宋体" w:cs="宋体"/>
                <w:i w:val="0"/>
                <w:iCs w:val="0"/>
                <w:caps w:val="0"/>
                <w:color w:val="auto"/>
                <w:spacing w:val="0"/>
                <w:sz w:val="24"/>
                <w:szCs w:val="24"/>
                <w:highlight w:val="none"/>
                <w:shd w:val="clear" w:fill="FFFFFF"/>
              </w:rPr>
              <w:t>医疗服务中心（位于1-2层，建筑面积2619.73平方米），可设置医疗床位50张；养老服务中心（位于1、3-8层，建筑面积8923.27平方米），涵盖入住服务、生活照护、康复训练、文娱活动、社会工作室及相关附属用房，可设置养老床位200张</w:t>
            </w:r>
            <w:r>
              <w:rPr>
                <w:rFonts w:hint="eastAsia" w:ascii="宋体" w:hAnsi="宋体" w:eastAsia="宋体" w:cs="宋体"/>
                <w:i w:val="0"/>
                <w:iCs w:val="0"/>
                <w:caps w:val="0"/>
                <w:color w:val="auto"/>
                <w:spacing w:val="0"/>
                <w:sz w:val="24"/>
                <w:szCs w:val="24"/>
                <w:highlight w:val="none"/>
                <w:shd w:val="clear" w:fill="FFFFFF"/>
                <w:lang w:eastAsia="zh-CN"/>
              </w:rPr>
              <w:t>。</w:t>
            </w:r>
          </w:p>
        </w:tc>
      </w:tr>
      <w:tr w14:paraId="6C48382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57" w:hRule="atLeast"/>
          <w:jc w:val="center"/>
        </w:trPr>
        <w:tc>
          <w:tcPr>
            <w:tcW w:w="0" w:type="auto"/>
            <w:shd w:val="clear" w:color="auto" w:fill="FFFFFF" w:themeFill="background1"/>
            <w:tcMar>
              <w:top w:w="72" w:type="dxa"/>
              <w:left w:w="144" w:type="dxa"/>
              <w:bottom w:w="72" w:type="dxa"/>
              <w:right w:w="144" w:type="dxa"/>
            </w:tcMar>
            <w:vAlign w:val="top"/>
          </w:tcPr>
          <w:p w14:paraId="4C181EC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黑体" w:hAnsi="黑体" w:eastAsia="黑体" w:cs="黑体"/>
                <w:b w:val="0"/>
                <w:bCs w:val="0"/>
                <w:color w:val="auto"/>
                <w:sz w:val="24"/>
                <w:szCs w:val="24"/>
                <w:highlight w:val="none"/>
                <w:lang w:val="en-US" w:eastAsia="zh-CN"/>
              </w:rPr>
              <w:t>4.潜江市乡镇（街道）区域养老服务中心建设项目</w:t>
            </w:r>
          </w:p>
          <w:p w14:paraId="3AE1FC5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i w:val="0"/>
                <w:iCs w:val="0"/>
                <w:caps w:val="0"/>
                <w:color w:val="auto"/>
                <w:spacing w:val="0"/>
                <w:sz w:val="24"/>
                <w:szCs w:val="24"/>
                <w:highlight w:val="none"/>
                <w:shd w:val="clear" w:fill="FFFFFF"/>
              </w:rPr>
              <w:t>计划总投资</w:t>
            </w:r>
            <w:r>
              <w:rPr>
                <w:rFonts w:hint="eastAsia" w:ascii="宋体" w:hAnsi="宋体" w:eastAsia="宋体" w:cs="宋体"/>
                <w:i w:val="0"/>
                <w:iCs w:val="0"/>
                <w:caps w:val="0"/>
                <w:color w:val="auto"/>
                <w:spacing w:val="0"/>
                <w:sz w:val="24"/>
                <w:szCs w:val="24"/>
                <w:highlight w:val="none"/>
                <w:shd w:val="clear" w:fill="FFFFFF"/>
                <w:lang w:val="en-US" w:eastAsia="zh-CN"/>
              </w:rPr>
              <w:t>3000</w:t>
            </w:r>
            <w:r>
              <w:rPr>
                <w:rFonts w:hint="eastAsia" w:ascii="宋体" w:hAnsi="宋体" w:eastAsia="宋体" w:cs="宋体"/>
                <w:i w:val="0"/>
                <w:iCs w:val="0"/>
                <w:caps w:val="0"/>
                <w:color w:val="auto"/>
                <w:spacing w:val="0"/>
                <w:sz w:val="24"/>
                <w:szCs w:val="24"/>
                <w:highlight w:val="none"/>
                <w:shd w:val="clear" w:fill="FFFFFF"/>
              </w:rPr>
              <w:t>万元，其中</w:t>
            </w:r>
            <w:r>
              <w:rPr>
                <w:rFonts w:hint="eastAsia" w:ascii="宋体" w:hAnsi="宋体" w:eastAsia="宋体" w:cs="宋体"/>
                <w:i w:val="0"/>
                <w:iCs w:val="0"/>
                <w:caps w:val="0"/>
                <w:color w:val="auto"/>
                <w:spacing w:val="0"/>
                <w:sz w:val="24"/>
                <w:szCs w:val="24"/>
                <w:highlight w:val="none"/>
                <w:shd w:val="clear" w:fill="FFFFFF"/>
                <w:lang w:eastAsia="zh-CN"/>
              </w:rPr>
              <w:t>，</w:t>
            </w:r>
            <w:r>
              <w:rPr>
                <w:rFonts w:hint="eastAsia" w:ascii="宋体" w:hAnsi="宋体" w:eastAsia="宋体" w:cs="宋体"/>
                <w:i w:val="0"/>
                <w:iCs w:val="0"/>
                <w:caps w:val="0"/>
                <w:color w:val="auto"/>
                <w:spacing w:val="0"/>
                <w:sz w:val="24"/>
                <w:szCs w:val="24"/>
                <w:highlight w:val="none"/>
                <w:shd w:val="clear" w:fill="FFFFFF"/>
              </w:rPr>
              <w:t>中央预算内投资</w:t>
            </w:r>
            <w:r>
              <w:rPr>
                <w:rFonts w:hint="eastAsia" w:ascii="宋体" w:hAnsi="宋体" w:eastAsia="宋体" w:cs="宋体"/>
                <w:i w:val="0"/>
                <w:iCs w:val="0"/>
                <w:caps w:val="0"/>
                <w:color w:val="auto"/>
                <w:spacing w:val="0"/>
                <w:sz w:val="24"/>
                <w:szCs w:val="24"/>
                <w:highlight w:val="none"/>
                <w:shd w:val="clear" w:fill="FFFFFF"/>
                <w:lang w:val="en-US" w:eastAsia="zh-CN"/>
              </w:rPr>
              <w:t>2100</w:t>
            </w:r>
            <w:r>
              <w:rPr>
                <w:rFonts w:hint="eastAsia" w:ascii="宋体" w:hAnsi="宋体" w:eastAsia="宋体" w:cs="宋体"/>
                <w:i w:val="0"/>
                <w:iCs w:val="0"/>
                <w:caps w:val="0"/>
                <w:color w:val="auto"/>
                <w:spacing w:val="0"/>
                <w:sz w:val="24"/>
                <w:szCs w:val="24"/>
                <w:highlight w:val="none"/>
                <w:shd w:val="clear" w:fill="FFFFFF"/>
              </w:rPr>
              <w:t>万元</w:t>
            </w:r>
            <w:r>
              <w:rPr>
                <w:rFonts w:hint="eastAsia" w:ascii="宋体" w:hAnsi="宋体" w:eastAsia="宋体" w:cs="宋体"/>
                <w:i w:val="0"/>
                <w:iCs w:val="0"/>
                <w:caps w:val="0"/>
                <w:color w:val="auto"/>
                <w:spacing w:val="0"/>
                <w:sz w:val="24"/>
                <w:szCs w:val="24"/>
                <w:highlight w:val="none"/>
                <w:shd w:val="clear" w:fill="FFFFFF"/>
                <w:lang w:eastAsia="zh-CN"/>
              </w:rPr>
              <w:t>。</w:t>
            </w:r>
            <w:r>
              <w:rPr>
                <w:rFonts w:hint="eastAsia" w:ascii="宋体" w:hAnsi="宋体" w:eastAsia="宋体" w:cs="宋体"/>
                <w:i w:val="0"/>
                <w:iCs w:val="0"/>
                <w:caps w:val="0"/>
                <w:color w:val="auto"/>
                <w:spacing w:val="0"/>
                <w:sz w:val="24"/>
                <w:szCs w:val="24"/>
                <w:highlight w:val="none"/>
                <w:shd w:val="clear" w:fill="FFFFFF"/>
              </w:rPr>
              <w:t>通过整合利用区镇街道闲置的校舍、卫生院、社区用房等公共资源，改造扩建为区域性养老服务</w:t>
            </w:r>
            <w:r>
              <w:rPr>
                <w:rFonts w:hint="eastAsia" w:ascii="宋体" w:hAnsi="宋体" w:eastAsia="宋体" w:cs="宋体"/>
                <w:i w:val="0"/>
                <w:iCs w:val="0"/>
                <w:caps w:val="0"/>
                <w:color w:val="auto"/>
                <w:spacing w:val="0"/>
                <w:sz w:val="24"/>
                <w:szCs w:val="24"/>
                <w:highlight w:val="none"/>
                <w:shd w:val="clear" w:fill="FFFFFF"/>
                <w:lang w:val="en-US" w:eastAsia="zh-CN"/>
              </w:rPr>
              <w:t>中心</w:t>
            </w:r>
            <w:r>
              <w:rPr>
                <w:rFonts w:hint="eastAsia" w:ascii="宋体" w:hAnsi="宋体" w:eastAsia="宋体" w:cs="宋体"/>
                <w:i w:val="0"/>
                <w:iCs w:val="0"/>
                <w:caps w:val="0"/>
                <w:color w:val="auto"/>
                <w:spacing w:val="0"/>
                <w:sz w:val="24"/>
                <w:szCs w:val="24"/>
                <w:highlight w:val="none"/>
                <w:shd w:val="clear" w:fill="FFFFFF"/>
              </w:rPr>
              <w:t>。项目计划建设此类</w:t>
            </w:r>
            <w:r>
              <w:rPr>
                <w:rFonts w:hint="eastAsia" w:ascii="宋体" w:hAnsi="宋体" w:eastAsia="宋体" w:cs="宋体"/>
                <w:i w:val="0"/>
                <w:iCs w:val="0"/>
                <w:caps w:val="0"/>
                <w:color w:val="auto"/>
                <w:spacing w:val="0"/>
                <w:sz w:val="24"/>
                <w:szCs w:val="24"/>
                <w:highlight w:val="none"/>
                <w:shd w:val="clear" w:fill="FFFFFF"/>
                <w:lang w:val="en-US" w:eastAsia="zh-CN"/>
              </w:rPr>
              <w:t>服务中心6</w:t>
            </w:r>
            <w:r>
              <w:rPr>
                <w:rFonts w:hint="eastAsia" w:ascii="宋体" w:hAnsi="宋体" w:eastAsia="宋体" w:cs="宋体"/>
                <w:i w:val="0"/>
                <w:iCs w:val="0"/>
                <w:caps w:val="0"/>
                <w:color w:val="auto"/>
                <w:spacing w:val="0"/>
                <w:sz w:val="24"/>
                <w:szCs w:val="24"/>
                <w:highlight w:val="none"/>
                <w:shd w:val="clear" w:fill="FFFFFF"/>
              </w:rPr>
              <w:t>个，总建筑面积约</w:t>
            </w:r>
            <w:r>
              <w:rPr>
                <w:rFonts w:hint="eastAsia" w:ascii="宋体" w:hAnsi="宋体" w:eastAsia="宋体" w:cs="宋体"/>
                <w:i w:val="0"/>
                <w:iCs w:val="0"/>
                <w:caps w:val="0"/>
                <w:color w:val="auto"/>
                <w:spacing w:val="0"/>
                <w:sz w:val="24"/>
                <w:szCs w:val="24"/>
                <w:highlight w:val="none"/>
                <w:shd w:val="clear" w:fill="FFFFFF"/>
                <w:lang w:val="en-US" w:eastAsia="zh-CN"/>
              </w:rPr>
              <w:t>6000</w:t>
            </w:r>
            <w:r>
              <w:rPr>
                <w:rFonts w:hint="eastAsia" w:ascii="宋体" w:hAnsi="宋体" w:eastAsia="宋体" w:cs="宋体"/>
                <w:i w:val="0"/>
                <w:iCs w:val="0"/>
                <w:caps w:val="0"/>
                <w:color w:val="auto"/>
                <w:spacing w:val="0"/>
                <w:sz w:val="24"/>
                <w:szCs w:val="24"/>
                <w:highlight w:val="none"/>
                <w:shd w:val="clear" w:fill="FFFFFF"/>
              </w:rPr>
              <w:t>平方米，单个面积不低于1000平方米，平均单个投资约500万元。</w:t>
            </w:r>
          </w:p>
        </w:tc>
      </w:tr>
    </w:tbl>
    <w:p w14:paraId="11E83F2A">
      <w:pPr>
        <w:keepNext/>
        <w:keepLines/>
        <w:pageBreakBefore w:val="0"/>
        <w:widowControl w:val="0"/>
        <w:kinsoku/>
        <w:wordWrap/>
        <w:overflowPunct/>
        <w:topLinePunct w:val="0"/>
        <w:autoSpaceDE/>
        <w:autoSpaceDN/>
        <w:bidi w:val="0"/>
        <w:adjustRightInd/>
        <w:snapToGrid/>
        <w:spacing w:before="313" w:beforeLines="100" w:line="360" w:lineRule="auto"/>
        <w:ind w:firstLine="640" w:firstLineChars="200"/>
        <w:textAlignment w:val="auto"/>
        <w:outlineLvl w:val="2"/>
        <w:rPr>
          <w:rFonts w:hint="eastAsia" w:ascii="华文中宋" w:hAnsi="华文中宋" w:eastAsia="华文中宋" w:cs="华文中宋"/>
          <w:color w:val="auto"/>
          <w:sz w:val="32"/>
          <w:szCs w:val="32"/>
          <w:highlight w:val="none"/>
          <w:lang w:val="en-US" w:eastAsia="zh-CN"/>
        </w:rPr>
      </w:pPr>
      <w:bookmarkStart w:id="41" w:name="_Toc20785"/>
      <w:bookmarkStart w:id="42" w:name="_Toc4523"/>
      <w:bookmarkStart w:id="43" w:name="_Toc24398"/>
      <w:r>
        <w:rPr>
          <w:rFonts w:hint="eastAsia" w:ascii="华文中宋" w:hAnsi="华文中宋" w:eastAsia="华文中宋" w:cs="华文中宋"/>
          <w:color w:val="auto"/>
          <w:sz w:val="32"/>
          <w:szCs w:val="32"/>
          <w:highlight w:val="none"/>
          <w:lang w:val="en-US" w:eastAsia="zh-CN"/>
        </w:rPr>
        <w:t>（六）加快补齐农村养老服务短板</w:t>
      </w:r>
      <w:bookmarkEnd w:id="41"/>
      <w:bookmarkEnd w:id="42"/>
    </w:p>
    <w:p w14:paraId="413800B3">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157" w:beforeLines="50" w:after="157" w:afterLines="50" w:line="360" w:lineRule="auto"/>
        <w:ind w:firstLine="640" w:firstLineChars="200"/>
        <w:textAlignment w:val="auto"/>
        <w:rPr>
          <w:rFonts w:hint="eastAsia" w:ascii="宋体" w:hAnsi="宋体" w:eastAsia="宋体" w:cs="宋体"/>
          <w:i w:val="0"/>
          <w:iCs w:val="0"/>
          <w:caps w:val="0"/>
          <w:color w:val="auto"/>
          <w:spacing w:val="0"/>
          <w:sz w:val="30"/>
          <w:szCs w:val="30"/>
          <w:highlight w:val="none"/>
          <w:shd w:val="clear" w:fill="FFFFFF"/>
          <w:lang w:eastAsia="zh-CN"/>
        </w:rPr>
      </w:pPr>
      <w:r>
        <w:rPr>
          <w:rFonts w:hint="eastAsia" w:ascii="仿宋_GB2312" w:hAnsi="仿宋_GB2312" w:eastAsia="仿宋_GB2312" w:cs="仿宋_GB2312"/>
          <w:bCs w:val="0"/>
          <w:color w:val="auto"/>
          <w:kern w:val="2"/>
          <w:sz w:val="32"/>
          <w:szCs w:val="32"/>
          <w:highlight w:val="none"/>
          <w:lang w:val="en-US" w:eastAsia="zh-CN" w:bidi="ar-SA"/>
        </w:rPr>
        <w:t>将农村养老服务发展纳入乡村振兴战略，推动养老服务设施纳入乡镇级国土空间规划或村庄规划。大力推进互助性养老服务，健全</w:t>
      </w:r>
      <w:r>
        <w:rPr>
          <w:rFonts w:hint="eastAsia" w:ascii="仿宋_GB2312" w:hAnsi="仿宋_GB2312" w:eastAsia="仿宋_GB2312" w:cs="仿宋_GB2312"/>
          <w:sz w:val="32"/>
          <w:szCs w:val="32"/>
          <w:highlight w:val="none"/>
          <w:lang w:val="en-US" w:eastAsia="zh-CN"/>
        </w:rPr>
        <w:t>因赡养人不在身边且居家生活困难需要关爱的独居、空巢、留守、失能、重残、计划生育特殊家庭等特殊困难老年人</w:t>
      </w:r>
      <w:r>
        <w:rPr>
          <w:rFonts w:hint="eastAsia" w:ascii="仿宋_GB2312" w:hAnsi="仿宋_GB2312" w:eastAsia="仿宋_GB2312" w:cs="仿宋_GB2312"/>
          <w:bCs w:val="0"/>
          <w:color w:val="auto"/>
          <w:kern w:val="2"/>
          <w:sz w:val="32"/>
          <w:szCs w:val="32"/>
          <w:highlight w:val="none"/>
          <w:lang w:val="en-US" w:eastAsia="zh-CN" w:bidi="ar-SA"/>
        </w:rPr>
        <w:t>的探访关爱与应急救援机制，鼓励农村集体经济组织发展养老服务和开发助老岗位，引导社会力量及城市养老机构参与运营，促进城乡均衡发展。充分发挥村党组织、老年协会和群众自治组织的作用，利用集体收益改造闲置设施、开展照护技能培训。积极探索邻里互助、“中心户”、多户搭伙等灵活模式，化解农村独居老人的生存困境。支持公益慈善组织落地农村养老服务项目，通过基层党组织引领与社会力量协同，织密农村养老服务网络。</w:t>
      </w:r>
    </w:p>
    <w:p w14:paraId="5A36807D">
      <w:pPr>
        <w:keepNext/>
        <w:keepLines/>
        <w:pageBreakBefore w:val="0"/>
        <w:widowControl w:val="0"/>
        <w:kinsoku/>
        <w:wordWrap/>
        <w:overflowPunct/>
        <w:topLinePunct w:val="0"/>
        <w:autoSpaceDE/>
        <w:autoSpaceDN/>
        <w:bidi w:val="0"/>
        <w:adjustRightInd/>
        <w:snapToGrid/>
        <w:spacing w:before="157" w:beforeLines="50" w:line="360" w:lineRule="auto"/>
        <w:ind w:firstLine="640" w:firstLineChars="200"/>
        <w:textAlignment w:val="auto"/>
        <w:outlineLvl w:val="2"/>
        <w:rPr>
          <w:rFonts w:hint="default" w:ascii="华文中宋" w:hAnsi="华文中宋" w:eastAsia="华文中宋" w:cs="华文中宋"/>
          <w:color w:val="auto"/>
          <w:sz w:val="32"/>
          <w:szCs w:val="32"/>
          <w:highlight w:val="none"/>
          <w:lang w:val="en-US" w:eastAsia="zh-CN"/>
        </w:rPr>
      </w:pPr>
      <w:bookmarkStart w:id="44" w:name="_Toc4784"/>
      <w:bookmarkStart w:id="45" w:name="_Toc5881"/>
      <w:r>
        <w:rPr>
          <w:rFonts w:hint="eastAsia" w:ascii="华文中宋" w:hAnsi="华文中宋" w:eastAsia="华文中宋" w:cs="华文中宋"/>
          <w:color w:val="auto"/>
          <w:sz w:val="32"/>
          <w:szCs w:val="32"/>
          <w:highlight w:val="none"/>
          <w:lang w:val="en-US" w:eastAsia="zh-CN"/>
        </w:rPr>
        <w:t>（七）促进医养融合发展</w:t>
      </w:r>
      <w:bookmarkEnd w:id="44"/>
      <w:bookmarkEnd w:id="45"/>
    </w:p>
    <w:p w14:paraId="37FEC62D">
      <w:pPr>
        <w:pStyle w:val="7"/>
        <w:spacing w:before="156" w:beforeLines="50" w:after="0" w:line="360" w:lineRule="auto"/>
        <w:ind w:firstLine="636" w:firstLineChars="200"/>
        <w:rPr>
          <w:rFonts w:hint="eastAsia" w:ascii="仿宋_GB2312" w:hAnsi="仿宋_GB2312" w:eastAsia="仿宋_GB2312" w:cs="仿宋_GB2312"/>
          <w:color w:val="auto"/>
          <w:spacing w:val="-1"/>
          <w:kern w:val="2"/>
          <w:sz w:val="32"/>
          <w:szCs w:val="32"/>
          <w:highlight w:val="none"/>
          <w:lang w:val="en-US" w:eastAsia="zh-CN" w:bidi="ar-SA"/>
        </w:rPr>
      </w:pPr>
      <w:r>
        <w:rPr>
          <w:rFonts w:hint="eastAsia" w:ascii="仿宋_GB2312" w:hAnsi="仿宋_GB2312" w:eastAsia="仿宋_GB2312" w:cs="仿宋_GB2312"/>
          <w:color w:val="auto"/>
          <w:spacing w:val="-1"/>
          <w:kern w:val="2"/>
          <w:sz w:val="32"/>
          <w:szCs w:val="32"/>
          <w:highlight w:val="none"/>
          <w:lang w:val="en-US" w:eastAsia="zh-CN" w:bidi="ar-SA"/>
        </w:rPr>
        <w:t>促进医养结合发展，深化医疗与养老服务在政策、制度及业务流程上的有机衔接，建设医养联合体，健全双向转诊绿色通道，简化转诊程序，根据养老机构内设医疗机构需要依法赋予相应处方权，鼓励具备条件的机构开展安宁疗护服务，加强对失能高危人群的早期识别与综合干预。落实医养结合支持政策，支持医疗机构发展老年病科、康复科等相关科室，协同推进“养老就医一张床”建设，并推动中医药服务进机构、进社区、进家庭。提升农村医养结合服务能力，推广乡镇卫生院与福利院“一院两区”、“两院一体”及村卫生室与日间照料中心“两室联建”等模式，推动基层医疗机构开展安宁疗护服务，加快病房适老化改造，深化老年友善医疗机构建设。</w:t>
      </w:r>
    </w:p>
    <w:p w14:paraId="2F3491C0">
      <w:pPr>
        <w:keepNext w:val="0"/>
        <w:keepLines w:val="0"/>
        <w:pageBreakBefore w:val="0"/>
        <w:widowControl/>
        <w:numPr>
          <w:ilvl w:val="0"/>
          <w:numId w:val="0"/>
        </w:numPr>
        <w:suppressLineNumbers w:val="0"/>
        <w:kinsoku/>
        <w:wordWrap/>
        <w:overflowPunct/>
        <w:topLinePunct w:val="0"/>
        <w:autoSpaceDE/>
        <w:autoSpaceDN/>
        <w:bidi w:val="0"/>
        <w:adjustRightInd/>
        <w:snapToGrid/>
        <w:spacing w:before="313" w:beforeLines="100" w:line="360" w:lineRule="auto"/>
        <w:ind w:firstLine="640" w:firstLineChars="200"/>
        <w:jc w:val="left"/>
        <w:textAlignment w:val="auto"/>
        <w:outlineLvl w:val="2"/>
        <w:rPr>
          <w:rFonts w:hint="default" w:ascii="华文中宋" w:hAnsi="华文中宋" w:eastAsia="华文中宋" w:cs="华文中宋"/>
          <w:b w:val="0"/>
          <w:bCs w:val="0"/>
          <w:color w:val="auto"/>
          <w:kern w:val="2"/>
          <w:sz w:val="32"/>
          <w:szCs w:val="32"/>
          <w:highlight w:val="none"/>
          <w:lang w:val="en-US" w:eastAsia="zh-CN" w:bidi="ar-SA"/>
        </w:rPr>
      </w:pPr>
      <w:bookmarkStart w:id="46" w:name="_Toc23802"/>
      <w:bookmarkStart w:id="47" w:name="_Toc14372"/>
      <w:r>
        <w:rPr>
          <w:rFonts w:hint="eastAsia" w:ascii="华文中宋" w:hAnsi="华文中宋" w:eastAsia="华文中宋" w:cs="华文中宋"/>
          <w:b w:val="0"/>
          <w:bCs w:val="0"/>
          <w:color w:val="auto"/>
          <w:kern w:val="2"/>
          <w:sz w:val="32"/>
          <w:szCs w:val="32"/>
          <w:highlight w:val="none"/>
          <w:lang w:val="en-US" w:eastAsia="zh-CN" w:bidi="ar-SA"/>
        </w:rPr>
        <w:t>（八）强化养老服务要素支持</w:t>
      </w:r>
      <w:bookmarkEnd w:id="46"/>
      <w:bookmarkEnd w:id="47"/>
    </w:p>
    <w:p w14:paraId="2C2089AA">
      <w:pPr>
        <w:keepNext w:val="0"/>
        <w:keepLines w:val="0"/>
        <w:pageBreakBefore w:val="0"/>
        <w:widowControl w:val="0"/>
        <w:kinsoku/>
        <w:wordWrap/>
        <w:overflowPunct w:val="0"/>
        <w:topLinePunct w:val="0"/>
        <w:autoSpaceDE/>
        <w:autoSpaceDN/>
        <w:bidi w:val="0"/>
        <w:adjustRightInd w:val="0"/>
        <w:snapToGrid w:val="0"/>
        <w:spacing w:before="156" w:beforeLines="50" w:line="360" w:lineRule="auto"/>
        <w:ind w:firstLine="720"/>
        <w:textAlignment w:val="auto"/>
        <w:rPr>
          <w:rFonts w:hint="eastAsia" w:eastAsia="仿宋_GB2312" w:cs="仿宋_GB2312" w:asciiTheme="minorEastAsia" w:hAnsiTheme="minorEastAsia"/>
          <w:b w:val="0"/>
          <w:bCs w:val="0"/>
          <w:color w:val="auto"/>
          <w:kern w:val="2"/>
          <w:sz w:val="32"/>
          <w:szCs w:val="32"/>
          <w:highlight w:val="none"/>
          <w:lang w:val="en-US" w:eastAsia="zh-CN" w:bidi="ar-SA"/>
        </w:rPr>
      </w:pPr>
      <w:r>
        <w:rPr>
          <w:rFonts w:hint="eastAsia" w:ascii="华文楷体" w:hAnsi="华文楷体" w:eastAsia="华文楷体" w:cs="华文楷体"/>
          <w:b/>
          <w:bCs/>
          <w:color w:val="auto"/>
          <w:kern w:val="2"/>
          <w:sz w:val="32"/>
          <w:szCs w:val="32"/>
          <w:highlight w:val="none"/>
          <w:lang w:val="en-US" w:eastAsia="zh-CN" w:bidi="ar-SA"/>
        </w:rPr>
        <w:t>强化智慧赋能。</w:t>
      </w:r>
      <w:r>
        <w:rPr>
          <w:rFonts w:hint="eastAsia" w:eastAsia="仿宋_GB2312" w:cs="仿宋_GB2312" w:asciiTheme="minorEastAsia" w:hAnsiTheme="minorEastAsia"/>
          <w:b w:val="0"/>
          <w:bCs w:val="0"/>
          <w:color w:val="auto"/>
          <w:kern w:val="2"/>
          <w:sz w:val="32"/>
          <w:szCs w:val="32"/>
          <w:highlight w:val="none"/>
          <w:lang w:val="en-US" w:eastAsia="zh-CN" w:bidi="ar-SA"/>
        </w:rPr>
        <w:t>建立老年人能力与健康评估衔接机制，完善全市失能老年人数据库。推动养老服务“两项补贴”、高龄津贴“一网通办”。推广应用照护机器人、人工智能等智能产品，开发“养老服务电子地图”，</w:t>
      </w:r>
      <w:r>
        <w:rPr>
          <w:rFonts w:hint="default" w:eastAsia="仿宋_GB2312" w:cs="仿宋_GB2312" w:asciiTheme="minorEastAsia" w:hAnsiTheme="minorEastAsia"/>
          <w:b w:val="0"/>
          <w:bCs w:val="0"/>
          <w:color w:val="auto"/>
          <w:kern w:val="2"/>
          <w:sz w:val="32"/>
          <w:szCs w:val="32"/>
          <w:highlight w:val="none"/>
          <w:lang w:val="en-US" w:eastAsia="zh-CN" w:bidi="ar-SA"/>
        </w:rPr>
        <w:t>以科技手段精准对接服务需求，提升养老服务智能化水平</w:t>
      </w:r>
      <w:r>
        <w:rPr>
          <w:rFonts w:hint="eastAsia" w:eastAsia="仿宋_GB2312" w:cs="仿宋_GB2312" w:asciiTheme="minorEastAsia" w:hAnsiTheme="minorEastAsia"/>
          <w:b w:val="0"/>
          <w:bCs w:val="0"/>
          <w:color w:val="auto"/>
          <w:kern w:val="2"/>
          <w:sz w:val="32"/>
          <w:szCs w:val="32"/>
          <w:highlight w:val="none"/>
          <w:lang w:val="en-US" w:eastAsia="zh-CN" w:bidi="ar-SA"/>
        </w:rPr>
        <w:t>。</w:t>
      </w:r>
    </w:p>
    <w:p w14:paraId="76C0D2B0">
      <w:pPr>
        <w:keepNext w:val="0"/>
        <w:keepLines w:val="0"/>
        <w:pageBreakBefore w:val="0"/>
        <w:widowControl w:val="0"/>
        <w:kinsoku/>
        <w:wordWrap/>
        <w:overflowPunct w:val="0"/>
        <w:topLinePunct w:val="0"/>
        <w:autoSpaceDE/>
        <w:autoSpaceDN/>
        <w:bidi w:val="0"/>
        <w:adjustRightInd w:val="0"/>
        <w:snapToGrid w:val="0"/>
        <w:spacing w:before="156" w:beforeLines="50" w:line="360" w:lineRule="auto"/>
        <w:ind w:firstLine="720"/>
        <w:textAlignment w:val="auto"/>
        <w:rPr>
          <w:rFonts w:hint="eastAsia" w:eastAsia="仿宋_GB2312" w:cs="仿宋_GB2312" w:asciiTheme="minorEastAsia" w:hAnsiTheme="minorEastAsia"/>
          <w:b w:val="0"/>
          <w:bCs w:val="0"/>
          <w:color w:val="auto"/>
          <w:kern w:val="2"/>
          <w:sz w:val="32"/>
          <w:szCs w:val="32"/>
          <w:highlight w:val="none"/>
          <w:lang w:val="en-US" w:eastAsia="zh-CN" w:bidi="ar-SA"/>
        </w:rPr>
      </w:pPr>
      <w:r>
        <w:rPr>
          <w:rFonts w:hint="eastAsia" w:ascii="华文楷体" w:hAnsi="华文楷体" w:eastAsia="华文楷体" w:cs="华文楷体"/>
          <w:b/>
          <w:bCs/>
          <w:color w:val="auto"/>
          <w:kern w:val="2"/>
          <w:sz w:val="32"/>
          <w:szCs w:val="32"/>
          <w:highlight w:val="none"/>
          <w:lang w:val="en-US" w:eastAsia="zh-CN" w:bidi="ar-SA"/>
        </w:rPr>
        <w:t>健全养老服务综合监管体系。</w:t>
      </w:r>
      <w:r>
        <w:rPr>
          <w:rFonts w:hint="default" w:eastAsia="仿宋_GB2312" w:cs="仿宋_GB2312" w:asciiTheme="minorEastAsia" w:hAnsiTheme="minorEastAsia"/>
          <w:b w:val="0"/>
          <w:bCs w:val="0"/>
          <w:color w:val="auto"/>
          <w:kern w:val="2"/>
          <w:sz w:val="32"/>
          <w:szCs w:val="32"/>
          <w:highlight w:val="none"/>
          <w:lang w:val="en-US" w:eastAsia="zh-CN" w:bidi="ar-SA"/>
        </w:rPr>
        <w:t>构建政府主导、部门协同、行业自律、机构主责、社会监督的多方共治格局，重点强化对用地、运营、质量、安全及资金使用的监管。全面推行“双随机、一公开”及部门联合执法，依托统一的养老服务信息平台和大数据手段，建立严重失信主体“黑名单”制度及市场退出机制，形成“一处失信、处处受限”的信用惩戒格局。明确安全标准与应急预案，对因历史遗留问题影响消防审验的机构按“一事一议”原则妥善处置，确保所有养老机构安全达标</w:t>
      </w:r>
      <w:r>
        <w:rPr>
          <w:rFonts w:hint="eastAsia" w:eastAsia="仿宋_GB2312" w:cs="仿宋_GB2312" w:asciiTheme="minorEastAsia" w:hAnsiTheme="minorEastAsia"/>
          <w:b w:val="0"/>
          <w:bCs w:val="0"/>
          <w:color w:val="auto"/>
          <w:kern w:val="2"/>
          <w:sz w:val="32"/>
          <w:szCs w:val="32"/>
          <w:highlight w:val="none"/>
          <w:lang w:val="en-US" w:eastAsia="zh-CN" w:bidi="ar-SA"/>
        </w:rPr>
        <w:t>。</w:t>
      </w:r>
    </w:p>
    <w:p w14:paraId="77B74B76">
      <w:pPr>
        <w:keepNext w:val="0"/>
        <w:keepLines w:val="0"/>
        <w:pageBreakBefore w:val="0"/>
        <w:widowControl w:val="0"/>
        <w:numPr>
          <w:ilvl w:val="0"/>
          <w:numId w:val="0"/>
        </w:numPr>
        <w:tabs>
          <w:tab w:val="left" w:pos="720"/>
        </w:tabs>
        <w:kinsoku/>
        <w:wordWrap/>
        <w:overflowPunct/>
        <w:topLinePunct w:val="0"/>
        <w:autoSpaceDE/>
        <w:autoSpaceDN/>
        <w:bidi w:val="0"/>
        <w:adjustRightInd/>
        <w:snapToGrid/>
        <w:spacing w:before="156" w:beforeLines="50" w:line="360" w:lineRule="auto"/>
        <w:ind w:leftChars="0" w:firstLine="643" w:firstLineChars="200"/>
        <w:textAlignment w:val="auto"/>
        <w:rPr>
          <w:rFonts w:hint="eastAsia" w:eastAsia="仿宋_GB2312" w:cs="仿宋_GB2312" w:asciiTheme="minorEastAsia" w:hAnsiTheme="minorEastAsia"/>
          <w:b w:val="0"/>
          <w:bCs w:val="0"/>
          <w:color w:val="auto"/>
          <w:kern w:val="2"/>
          <w:sz w:val="32"/>
          <w:szCs w:val="32"/>
          <w:highlight w:val="none"/>
          <w:lang w:val="en-US" w:eastAsia="zh-CN" w:bidi="ar-SA"/>
        </w:rPr>
      </w:pPr>
      <w:bookmarkStart w:id="48" w:name="_Toc9497"/>
      <w:r>
        <w:rPr>
          <w:rFonts w:hint="eastAsia" w:ascii="华文楷体" w:hAnsi="华文楷体" w:eastAsia="华文楷体" w:cs="华文楷体"/>
          <w:b/>
          <w:bCs/>
          <w:color w:val="auto"/>
          <w:kern w:val="2"/>
          <w:sz w:val="32"/>
          <w:szCs w:val="32"/>
          <w:highlight w:val="none"/>
          <w:lang w:val="en-US" w:eastAsia="zh-CN" w:bidi="ar-SA"/>
        </w:rPr>
        <w:t>打造高素质养老服务人才队伍。</w:t>
      </w:r>
      <w:r>
        <w:rPr>
          <w:rFonts w:hint="default" w:eastAsia="仿宋_GB2312" w:cs="仿宋_GB2312" w:asciiTheme="minorEastAsia" w:hAnsiTheme="minorEastAsia"/>
          <w:b w:val="0"/>
          <w:bCs w:val="0"/>
          <w:color w:val="auto"/>
          <w:kern w:val="2"/>
          <w:sz w:val="32"/>
          <w:szCs w:val="32"/>
          <w:highlight w:val="none"/>
          <w:lang w:val="en-US" w:eastAsia="zh-CN" w:bidi="ar-SA"/>
        </w:rPr>
        <w:t>建立从业人员资格与能力标准体系，打通技能人才与专业技术人才的双向职业发展通道。支持职业院校增设养老服务相关专业，市级每年组织专项技能等级培训，加大对养老护理员、老年人能力评估师等关键岗位的培训力度，确保护理员持证上岗率</w:t>
      </w:r>
      <w:r>
        <w:rPr>
          <w:rFonts w:hint="eastAsia" w:eastAsia="仿宋_GB2312" w:cs="仿宋_GB2312" w:asciiTheme="minorEastAsia" w:hAnsiTheme="minorEastAsia"/>
          <w:b w:val="0"/>
          <w:bCs w:val="0"/>
          <w:color w:val="auto"/>
          <w:kern w:val="2"/>
          <w:sz w:val="32"/>
          <w:szCs w:val="32"/>
          <w:highlight w:val="none"/>
          <w:lang w:val="en-US" w:eastAsia="zh-CN" w:bidi="ar-SA"/>
        </w:rPr>
        <w:t>达到80</w:t>
      </w:r>
      <w:r>
        <w:rPr>
          <w:rFonts w:hint="default" w:eastAsia="仿宋_GB2312" w:cs="仿宋_GB2312" w:asciiTheme="minorEastAsia" w:hAnsiTheme="minorEastAsia"/>
          <w:b w:val="0"/>
          <w:bCs w:val="0"/>
          <w:color w:val="auto"/>
          <w:kern w:val="2"/>
          <w:sz w:val="32"/>
          <w:szCs w:val="32"/>
          <w:highlight w:val="none"/>
          <w:lang w:val="en-US" w:eastAsia="zh-CN" w:bidi="ar-SA"/>
        </w:rPr>
        <w:t>%。同时，完善入职补贴、岗位津贴及薪酬增长机制，定期开展“优秀院长”“最美养老护理员”等评选表彰活动，增强职业吸引力。推动养老机构配齐多学科专业人才，建立全市统一的人才信息库与专家库，为养老服务高质量发展提供坚实人才保障</w:t>
      </w:r>
      <w:r>
        <w:rPr>
          <w:rFonts w:hint="eastAsia" w:eastAsia="仿宋_GB2312" w:cs="仿宋_GB2312" w:asciiTheme="minorEastAsia" w:hAnsiTheme="minorEastAsia"/>
          <w:b w:val="0"/>
          <w:bCs w:val="0"/>
          <w:color w:val="auto"/>
          <w:kern w:val="2"/>
          <w:sz w:val="32"/>
          <w:szCs w:val="32"/>
          <w:highlight w:val="none"/>
          <w:lang w:val="en-US" w:eastAsia="zh-CN" w:bidi="ar-SA"/>
        </w:rPr>
        <w:t>。</w:t>
      </w:r>
    </w:p>
    <w:p w14:paraId="3C8A1BA2">
      <w:pPr>
        <w:keepNext/>
        <w:keepLines/>
        <w:pageBreakBefore w:val="0"/>
        <w:widowControl w:val="0"/>
        <w:kinsoku/>
        <w:wordWrap/>
        <w:overflowPunct/>
        <w:topLinePunct w:val="0"/>
        <w:autoSpaceDE/>
        <w:autoSpaceDN/>
        <w:bidi w:val="0"/>
        <w:adjustRightInd/>
        <w:snapToGrid/>
        <w:spacing w:before="157" w:beforeLines="50" w:line="360" w:lineRule="auto"/>
        <w:ind w:firstLine="640" w:firstLineChars="200"/>
        <w:textAlignment w:val="auto"/>
        <w:outlineLvl w:val="2"/>
        <w:rPr>
          <w:rFonts w:hint="default" w:ascii="华文中宋" w:hAnsi="华文中宋" w:eastAsia="华文中宋" w:cs="华文中宋"/>
          <w:color w:val="auto"/>
          <w:sz w:val="32"/>
          <w:szCs w:val="32"/>
          <w:highlight w:val="none"/>
          <w:lang w:val="en-US" w:eastAsia="zh-CN"/>
        </w:rPr>
      </w:pPr>
      <w:bookmarkStart w:id="49" w:name="_Toc6006"/>
      <w:r>
        <w:rPr>
          <w:rFonts w:hint="eastAsia" w:ascii="华文中宋" w:hAnsi="华文中宋" w:eastAsia="华文中宋" w:cs="华文中宋"/>
          <w:color w:val="auto"/>
          <w:sz w:val="32"/>
          <w:szCs w:val="32"/>
          <w:highlight w:val="none"/>
          <w:lang w:val="en-US" w:eastAsia="zh-CN"/>
        </w:rPr>
        <w:t>（九）打造银发经济发展新动能</w:t>
      </w:r>
      <w:bookmarkEnd w:id="48"/>
      <w:bookmarkEnd w:id="49"/>
    </w:p>
    <w:p w14:paraId="54CE71D8">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157" w:beforeLines="50" w:after="157" w:afterLines="50" w:line="360" w:lineRule="auto"/>
        <w:ind w:firstLine="643" w:firstLineChars="200"/>
        <w:textAlignment w:val="auto"/>
        <w:rPr>
          <w:rFonts w:hint="eastAsia" w:ascii="仿宋_GB2312" w:hAnsi="仿宋_GB2312" w:eastAsia="仿宋_GB2312" w:cs="仿宋_GB2312"/>
          <w:color w:val="auto"/>
          <w:spacing w:val="-1"/>
          <w:kern w:val="2"/>
          <w:sz w:val="32"/>
          <w:szCs w:val="32"/>
          <w:highlight w:val="none"/>
          <w:lang w:val="en-US" w:eastAsia="zh-CN" w:bidi="ar-SA"/>
        </w:rPr>
      </w:pPr>
      <w:r>
        <w:rPr>
          <w:rFonts w:hint="eastAsia" w:ascii="楷体" w:hAnsi="楷体" w:eastAsia="楷体" w:cs="楷体"/>
          <w:b/>
          <w:bCs/>
          <w:color w:val="auto"/>
          <w:kern w:val="2"/>
          <w:sz w:val="32"/>
          <w:szCs w:val="32"/>
          <w:highlight w:val="none"/>
          <w:lang w:val="en-US" w:eastAsia="zh-CN" w:bidi="ar-SA"/>
        </w:rPr>
        <w:t>培育市场主体。</w:t>
      </w:r>
      <w:r>
        <w:rPr>
          <w:rFonts w:hint="eastAsia" w:ascii="仿宋_GB2312" w:hAnsi="仿宋_GB2312" w:eastAsia="仿宋_GB2312" w:cs="仿宋_GB2312"/>
          <w:color w:val="auto"/>
          <w:spacing w:val="-1"/>
          <w:kern w:val="2"/>
          <w:sz w:val="32"/>
          <w:szCs w:val="32"/>
          <w:highlight w:val="none"/>
          <w:lang w:val="en-US" w:eastAsia="zh-CN" w:bidi="ar-SA"/>
        </w:rPr>
        <w:t>鼓励和引导国有企业、事业单位盘活闲置资产，布局银发经济相关产业。发挥民营经济作用，支持民营企业按市场化原则参与养老服务，完善政企沟通机制。依托市级养老服务平台，将乡镇（街道）综合体、社区日间照料中心、农村互助养老阵地纳入统一管理，建立股份制养老企业，推进社会化运营。</w:t>
      </w:r>
      <w:r>
        <w:rPr>
          <w:rFonts w:hint="default" w:ascii="仿宋_GB2312" w:hAnsi="仿宋_GB2312" w:eastAsia="仿宋_GB2312" w:cs="仿宋_GB2312"/>
          <w:color w:val="auto"/>
          <w:spacing w:val="-1"/>
          <w:kern w:val="2"/>
          <w:sz w:val="32"/>
          <w:szCs w:val="32"/>
          <w:highlight w:val="none"/>
          <w:lang w:val="en-US" w:eastAsia="zh-CN" w:bidi="ar-SA"/>
        </w:rPr>
        <w:t>培育一批老年用品专精特新研发制造企业，重点布局智能机器人、智能穿戴设备、居家养老监护等智能养老设备研发，在智慧健康、智慧养老领域培育一批示范企业</w:t>
      </w:r>
      <w:r>
        <w:rPr>
          <w:rFonts w:hint="eastAsia" w:ascii="仿宋_GB2312" w:hAnsi="仿宋_GB2312" w:eastAsia="仿宋_GB2312" w:cs="仿宋_GB2312"/>
          <w:color w:val="auto"/>
          <w:spacing w:val="-1"/>
          <w:kern w:val="2"/>
          <w:sz w:val="32"/>
          <w:szCs w:val="32"/>
          <w:highlight w:val="none"/>
          <w:lang w:val="en-US" w:eastAsia="zh-CN" w:bidi="ar-SA"/>
        </w:rPr>
        <w:t>。</w:t>
      </w:r>
    </w:p>
    <w:p w14:paraId="65E5A402">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157" w:beforeLines="50" w:after="157" w:afterLines="50" w:line="360" w:lineRule="auto"/>
        <w:ind w:firstLine="643" w:firstLineChars="200"/>
        <w:textAlignment w:val="auto"/>
        <w:rPr>
          <w:rFonts w:hint="eastAsia" w:ascii="仿宋_GB2312" w:hAnsi="仿宋_GB2312" w:eastAsia="仿宋_GB2312" w:cs="仿宋_GB2312"/>
          <w:color w:val="auto"/>
          <w:spacing w:val="-1"/>
          <w:kern w:val="2"/>
          <w:sz w:val="32"/>
          <w:szCs w:val="32"/>
          <w:highlight w:val="none"/>
          <w:lang w:val="en-US" w:eastAsia="zh-CN" w:bidi="ar-SA"/>
        </w:rPr>
      </w:pPr>
      <w:r>
        <w:rPr>
          <w:rFonts w:hint="eastAsia" w:ascii="楷体" w:hAnsi="楷体" w:eastAsia="楷体" w:cs="楷体"/>
          <w:b/>
          <w:bCs/>
          <w:color w:val="auto"/>
          <w:kern w:val="2"/>
          <w:sz w:val="32"/>
          <w:szCs w:val="32"/>
          <w:highlight w:val="none"/>
          <w:lang w:val="en-US" w:eastAsia="zh-CN" w:bidi="ar-SA"/>
        </w:rPr>
        <w:t>推动产业融合发展。</w:t>
      </w:r>
      <w:r>
        <w:rPr>
          <w:rFonts w:hint="eastAsia" w:ascii="仿宋_GB2312" w:hAnsi="仿宋_GB2312" w:eastAsia="仿宋_GB2312" w:cs="仿宋_GB2312"/>
          <w:color w:val="auto"/>
          <w:spacing w:val="-1"/>
          <w:kern w:val="2"/>
          <w:sz w:val="32"/>
          <w:szCs w:val="32"/>
          <w:highlight w:val="none"/>
          <w:lang w:val="en-US" w:eastAsia="zh-CN" w:bidi="ar-SA"/>
        </w:rPr>
        <w:t>促进养老服务与健康、养生、旅游、文化、体育、休闲、家政等产业深度融合，加快培育壮大银发经济。大力发展适老化产品及服务支撑体系，推动适老家具、专用易耗品等养老设施设备的标准化与产业化发展，完善涵盖人才培训、劳务派遣的护理服务供给网络。拓展面向老年人的旅居康养、医疗保健、心理慰藉等延伸服务业态，通过多业态集聚与联动，构建全方位、全周期的养老服务生态，满足老年人多样化、多层次的消费需求。充分发挥现有资金渠道的引导作用，鼓励老年用品技术研发、成果转化与市场推广，推动产业实现品牌化跃升、绿色化转型和智能化发展。</w:t>
      </w:r>
    </w:p>
    <w:p w14:paraId="1A6F0D2C">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157" w:beforeLines="50" w:after="157" w:afterLines="50" w:line="360" w:lineRule="auto"/>
        <w:ind w:firstLine="643" w:firstLineChars="200"/>
        <w:textAlignment w:val="auto"/>
        <w:rPr>
          <w:rFonts w:hint="eastAsia" w:ascii="仿宋_GB2312" w:hAnsi="仿宋_GB2312" w:eastAsia="仿宋_GB2312" w:cs="仿宋_GB2312"/>
          <w:color w:val="auto"/>
          <w:spacing w:val="-1"/>
          <w:kern w:val="2"/>
          <w:sz w:val="32"/>
          <w:szCs w:val="32"/>
          <w:highlight w:val="none"/>
          <w:lang w:val="en-US" w:eastAsia="zh-CN" w:bidi="ar-SA"/>
        </w:rPr>
      </w:pPr>
      <w:r>
        <w:rPr>
          <w:rFonts w:hint="eastAsia" w:ascii="楷体" w:hAnsi="楷体" w:eastAsia="楷体" w:cs="楷体"/>
          <w:b/>
          <w:bCs/>
          <w:color w:val="auto"/>
          <w:kern w:val="2"/>
          <w:sz w:val="32"/>
          <w:szCs w:val="32"/>
          <w:highlight w:val="none"/>
          <w:lang w:val="en-US" w:eastAsia="zh-CN" w:bidi="ar-SA"/>
        </w:rPr>
        <w:t>完善产业发展保障体系。</w:t>
      </w:r>
      <w:r>
        <w:rPr>
          <w:rFonts w:hint="eastAsia" w:ascii="仿宋_GB2312" w:hAnsi="仿宋_GB2312" w:eastAsia="仿宋_GB2312" w:cs="仿宋_GB2312"/>
          <w:color w:val="auto"/>
          <w:spacing w:val="-1"/>
          <w:kern w:val="2"/>
          <w:sz w:val="32"/>
          <w:szCs w:val="32"/>
          <w:highlight w:val="none"/>
          <w:lang w:val="en-US" w:eastAsia="zh-CN" w:bidi="ar-SA"/>
        </w:rPr>
        <w:t>采用“政府引导、市场运作”模式，通过公建民营、招商引资等途径，吸引龙头企业与创新型企业带资、带技术、带市场入驻，集中发展高端医疗器械、生物制药、智慧康养技术及适老化产品研发制造。 </w:t>
      </w:r>
      <w:r>
        <w:rPr>
          <w:rFonts w:hint="default" w:ascii="仿宋_GB2312" w:hAnsi="仿宋_GB2312" w:eastAsia="仿宋_GB2312" w:cs="仿宋_GB2312"/>
          <w:color w:val="auto"/>
          <w:spacing w:val="-1"/>
          <w:kern w:val="2"/>
          <w:sz w:val="32"/>
          <w:szCs w:val="32"/>
          <w:highlight w:val="none"/>
          <w:lang w:val="en-US" w:eastAsia="zh-CN" w:bidi="ar-SA"/>
        </w:rPr>
        <w:t>建设老年用品创新平台，定期发布产品推广目录，促进优质产品推广应用</w:t>
      </w:r>
      <w:r>
        <w:rPr>
          <w:rFonts w:hint="eastAsia" w:ascii="仿宋_GB2312" w:hAnsi="仿宋_GB2312" w:eastAsia="仿宋_GB2312" w:cs="仿宋_GB2312"/>
          <w:color w:val="auto"/>
          <w:spacing w:val="-1"/>
          <w:kern w:val="2"/>
          <w:sz w:val="32"/>
          <w:szCs w:val="32"/>
          <w:highlight w:val="none"/>
          <w:lang w:val="en-US" w:eastAsia="zh-CN" w:bidi="ar-SA"/>
        </w:rPr>
        <w:t>。</w:t>
      </w:r>
    </w:p>
    <w:tbl>
      <w:tblPr>
        <w:tblStyle w:val="19"/>
        <w:tblW w:w="9214" w:type="dxa"/>
        <w:tblInd w:w="0"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9214"/>
      </w:tblGrid>
      <w:tr w14:paraId="10F59AD7">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90" w:hRule="atLeast"/>
        </w:trPr>
        <w:tc>
          <w:tcPr>
            <w:tcW w:w="9214"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tcPr>
          <w:p w14:paraId="19D87FE2">
            <w:pPr>
              <w:pStyle w:val="17"/>
              <w:keepNext w:val="0"/>
              <w:keepLines w:val="0"/>
              <w:pageBreakBefore w:val="0"/>
              <w:widowControl/>
              <w:suppressLineNumbers w:val="0"/>
              <w:kinsoku/>
              <w:wordWrap/>
              <w:overflowPunct/>
              <w:topLinePunct w:val="0"/>
              <w:autoSpaceDE/>
              <w:autoSpaceDN/>
              <w:bidi w:val="0"/>
              <w:adjustRightInd/>
              <w:snapToGrid/>
              <w:spacing w:before="0" w:beforeAutospacing="0" w:after="157" w:afterLines="50" w:afterAutospacing="0" w:line="560" w:lineRule="exact"/>
              <w:ind w:left="0" w:right="0" w:firstLine="561"/>
              <w:jc w:val="center"/>
              <w:textAlignment w:val="auto"/>
              <w:rPr>
                <w:rFonts w:hint="default"/>
                <w:color w:val="auto"/>
                <w:highlight w:val="none"/>
                <w:lang w:val="en-US"/>
              </w:rPr>
            </w:pPr>
            <w:r>
              <w:rPr>
                <w:rFonts w:hint="eastAsia" w:ascii="黑体" w:hAnsi="黑体" w:eastAsia="黑体" w:cs="黑体"/>
                <w:b w:val="0"/>
                <w:bCs w:val="0"/>
                <w:color w:val="auto"/>
                <w:kern w:val="24"/>
                <w:sz w:val="28"/>
                <w:szCs w:val="28"/>
                <w:highlight w:val="none"/>
                <w:lang w:val="en-US" w:eastAsia="zh-CN" w:bidi="ar-SA"/>
                <w14:ligatures w14:val="none"/>
              </w:rPr>
              <w:t>专栏二  培育发展养老产业</w:t>
            </w:r>
          </w:p>
        </w:tc>
      </w:tr>
      <w:tr w14:paraId="447752B5">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1648" w:hRule="atLeast"/>
        </w:trPr>
        <w:tc>
          <w:tcPr>
            <w:tcW w:w="9214" w:type="dxa"/>
            <w:tcBorders>
              <w:top w:val="single" w:color="auto" w:sz="4" w:space="0"/>
              <w:left w:val="single" w:color="auto" w:sz="4" w:space="0"/>
              <w:bottom w:val="single" w:color="auto" w:sz="4" w:space="0"/>
              <w:right w:val="single" w:color="auto" w:sz="4" w:space="0"/>
            </w:tcBorders>
            <w:shd w:val="clear" w:color="auto" w:fill="auto"/>
            <w:tcMar>
              <w:left w:w="105" w:type="dxa"/>
              <w:right w:w="105" w:type="dxa"/>
            </w:tcMar>
          </w:tcPr>
          <w:p w14:paraId="40C91AC4">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157" w:beforeLines="50" w:line="360" w:lineRule="auto"/>
              <w:ind w:firstLine="480" w:firstLineChars="200"/>
              <w:textAlignment w:val="auto"/>
              <w:rPr>
                <w:rStyle w:val="22"/>
                <w:rFonts w:hint="eastAsia" w:ascii="黑体" w:hAnsi="黑体" w:eastAsia="黑体" w:cs="黑体"/>
                <w:b w:val="0"/>
                <w:bCs w:val="0"/>
                <w:i w:val="0"/>
                <w:iCs w:val="0"/>
                <w:caps w:val="0"/>
                <w:color w:val="auto"/>
                <w:spacing w:val="0"/>
                <w:sz w:val="24"/>
                <w:szCs w:val="24"/>
                <w:highlight w:val="none"/>
                <w:shd w:val="clear" w:fill="FFFFFF"/>
                <w:lang w:val="en-US" w:eastAsia="zh-CN"/>
              </w:rPr>
            </w:pPr>
            <w:r>
              <w:rPr>
                <w:rStyle w:val="22"/>
                <w:rFonts w:hint="eastAsia" w:ascii="黑体" w:hAnsi="黑体" w:eastAsia="黑体" w:cs="黑体"/>
                <w:b w:val="0"/>
                <w:bCs w:val="0"/>
                <w:i w:val="0"/>
                <w:iCs w:val="0"/>
                <w:caps w:val="0"/>
                <w:color w:val="auto"/>
                <w:spacing w:val="0"/>
                <w:sz w:val="24"/>
                <w:szCs w:val="24"/>
                <w:highlight w:val="none"/>
                <w:shd w:val="clear" w:fill="FFFFFF"/>
                <w:lang w:val="en-US" w:eastAsia="zh-CN"/>
              </w:rPr>
              <w:t>1.发展社区型银发产业</w:t>
            </w:r>
          </w:p>
          <w:p w14:paraId="482BE750">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i w:val="0"/>
                <w:iCs w:val="0"/>
                <w:caps w:val="0"/>
                <w:color w:val="auto"/>
                <w:spacing w:val="0"/>
                <w:sz w:val="24"/>
                <w:szCs w:val="24"/>
                <w:highlight w:val="none"/>
                <w:shd w:val="clear" w:fill="FFFFFF"/>
              </w:rPr>
              <w:t>立足本地现有资源，分层级、有重点地激活银发产业发展潜能。在集镇，以现有养老机构、区域性养老服务中心、社区日间照料中心等设施为依托，鼓励引导本地企业开发老年服饰、适老食品、康复辅具及健康管理项目。在农村，依托有条件的村湾，培育发展“小而美、小而精”的养老服务合作社，为本地老年人提供普惠型、互助式养老服务。力争通过上述措施，实现银发本位产业年产值达1亿元，带动就业岗位300个以上</w:t>
            </w:r>
            <w:r>
              <w:rPr>
                <w:rFonts w:hint="eastAsia" w:ascii="宋体" w:hAnsi="宋体" w:eastAsia="宋体" w:cs="宋体"/>
                <w:i w:val="0"/>
                <w:iCs w:val="0"/>
                <w:caps w:val="0"/>
                <w:color w:val="auto"/>
                <w:spacing w:val="0"/>
                <w:sz w:val="24"/>
                <w:szCs w:val="24"/>
                <w:highlight w:val="none"/>
                <w:shd w:val="clear" w:fill="FFFFFF"/>
                <w:lang w:eastAsia="zh-CN"/>
              </w:rPr>
              <w:t>。</w:t>
            </w:r>
          </w:p>
        </w:tc>
      </w:tr>
      <w:tr w14:paraId="14C21082">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092" w:hRule="atLeast"/>
        </w:trPr>
        <w:tc>
          <w:tcPr>
            <w:tcW w:w="9214" w:type="dxa"/>
            <w:tcBorders>
              <w:top w:val="single" w:color="auto" w:sz="4" w:space="0"/>
              <w:left w:val="single" w:color="auto" w:sz="4" w:space="0"/>
              <w:bottom w:val="single" w:color="auto" w:sz="4" w:space="0"/>
              <w:right w:val="single" w:color="auto" w:sz="4" w:space="0"/>
            </w:tcBorders>
            <w:shd w:val="clear" w:color="auto" w:fill="auto"/>
            <w:tcMar>
              <w:left w:w="105" w:type="dxa"/>
              <w:right w:w="105" w:type="dxa"/>
            </w:tcMar>
          </w:tcPr>
          <w:p w14:paraId="16E4285E">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157" w:beforeLines="50" w:line="360" w:lineRule="auto"/>
              <w:ind w:firstLine="480" w:firstLineChars="200"/>
              <w:textAlignment w:val="auto"/>
              <w:rPr>
                <w:rStyle w:val="22"/>
                <w:rFonts w:hint="eastAsia" w:ascii="黑体" w:hAnsi="黑体" w:eastAsia="黑体" w:cs="黑体"/>
                <w:b w:val="0"/>
                <w:bCs w:val="0"/>
                <w:i w:val="0"/>
                <w:iCs w:val="0"/>
                <w:caps w:val="0"/>
                <w:color w:val="auto"/>
                <w:spacing w:val="0"/>
                <w:sz w:val="24"/>
                <w:szCs w:val="24"/>
                <w:highlight w:val="none"/>
                <w:shd w:val="clear" w:fill="FFFFFF"/>
                <w:lang w:val="en-US" w:eastAsia="zh-CN"/>
              </w:rPr>
            </w:pPr>
            <w:r>
              <w:rPr>
                <w:rStyle w:val="22"/>
                <w:rFonts w:hint="eastAsia" w:ascii="黑体" w:hAnsi="黑体" w:eastAsia="黑体" w:cs="黑体"/>
                <w:b w:val="0"/>
                <w:bCs w:val="0"/>
                <w:i w:val="0"/>
                <w:iCs w:val="0"/>
                <w:caps w:val="0"/>
                <w:color w:val="auto"/>
                <w:spacing w:val="0"/>
                <w:sz w:val="24"/>
                <w:szCs w:val="24"/>
                <w:highlight w:val="none"/>
                <w:shd w:val="clear" w:fill="FFFFFF"/>
                <w:lang w:val="en-US" w:eastAsia="zh-CN"/>
              </w:rPr>
              <w:t>2.做强银发经济关键环节供应链</w:t>
            </w:r>
          </w:p>
          <w:p w14:paraId="32BD12D3">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i w:val="0"/>
                <w:iCs w:val="0"/>
                <w:caps w:val="0"/>
                <w:color w:val="auto"/>
                <w:spacing w:val="0"/>
                <w:sz w:val="24"/>
                <w:szCs w:val="24"/>
                <w:highlight w:val="none"/>
                <w:shd w:val="clear" w:fill="FFFFFF"/>
              </w:rPr>
              <w:t>围绕银发经济发展需求，着力补齐相关产业供应链条，重点发展三类配套服务体系：一是养老设施与机构所需的专业家具、适老设施及专用易耗品等配套产业；二是涵盖护理人员培训、专业化劳务派遣、老年护理专用产品及康复器械在内的护理服务支撑体系；三是面向老年人深层需求的娱乐、学习、旅居、医疗保健、营养膳食、心理咨询等延伸服务业态。</w:t>
            </w:r>
          </w:p>
        </w:tc>
      </w:tr>
      <w:tr w14:paraId="08C7A99C">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3496" w:hRule="atLeast"/>
        </w:trPr>
        <w:tc>
          <w:tcPr>
            <w:tcW w:w="9214" w:type="dxa"/>
            <w:tcBorders>
              <w:top w:val="single" w:color="auto" w:sz="4" w:space="0"/>
              <w:left w:val="single" w:color="auto" w:sz="4" w:space="0"/>
              <w:bottom w:val="single" w:color="auto" w:sz="4" w:space="0"/>
              <w:right w:val="single" w:color="auto" w:sz="4" w:space="0"/>
            </w:tcBorders>
            <w:shd w:val="clear" w:color="auto" w:fill="auto"/>
            <w:tcMar>
              <w:left w:w="105" w:type="dxa"/>
              <w:right w:w="105" w:type="dxa"/>
            </w:tcMar>
          </w:tcPr>
          <w:p w14:paraId="370D200E">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157" w:beforeLines="50" w:line="360" w:lineRule="auto"/>
              <w:ind w:firstLine="480" w:firstLineChars="200"/>
              <w:textAlignment w:val="auto"/>
              <w:rPr>
                <w:rStyle w:val="22"/>
                <w:rFonts w:hint="eastAsia" w:ascii="黑体" w:hAnsi="黑体" w:eastAsia="黑体" w:cs="黑体"/>
                <w:b w:val="0"/>
                <w:bCs w:val="0"/>
                <w:i w:val="0"/>
                <w:iCs w:val="0"/>
                <w:caps w:val="0"/>
                <w:color w:val="auto"/>
                <w:spacing w:val="0"/>
                <w:sz w:val="24"/>
                <w:szCs w:val="24"/>
                <w:highlight w:val="none"/>
                <w:shd w:val="clear" w:fill="FFFFFF"/>
                <w:lang w:val="en-US" w:eastAsia="zh-CN"/>
              </w:rPr>
            </w:pPr>
            <w:r>
              <w:rPr>
                <w:rStyle w:val="22"/>
                <w:rFonts w:hint="eastAsia" w:ascii="黑体" w:hAnsi="黑体" w:eastAsia="黑体" w:cs="黑体"/>
                <w:b w:val="0"/>
                <w:bCs w:val="0"/>
                <w:i w:val="0"/>
                <w:iCs w:val="0"/>
                <w:caps w:val="0"/>
                <w:color w:val="auto"/>
                <w:spacing w:val="0"/>
                <w:sz w:val="24"/>
                <w:szCs w:val="24"/>
                <w:highlight w:val="none"/>
                <w:shd w:val="clear" w:fill="FFFFFF"/>
                <w:lang w:val="en-US" w:eastAsia="zh-CN"/>
              </w:rPr>
              <w:t>3.建设市级养老服务平台，培育社会化养老服务主力军</w:t>
            </w:r>
          </w:p>
          <w:p w14:paraId="080EA82C">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建设市级养老服务平台，着力培育普惠性、连锁性养老服务市场主体。将乡镇/街道综合体、社区日间照料中心、农村互助养老阵地纳入平台统一管理，通过加盟、招商引资，吸引当地店铺、农村闲置房产和外地养老资源，建立股份制养老企业，全力推进社会化养老服务。</w:t>
            </w:r>
          </w:p>
        </w:tc>
      </w:tr>
    </w:tbl>
    <w:p w14:paraId="587D805D">
      <w:pPr>
        <w:keepNext w:val="0"/>
        <w:keepLines w:val="0"/>
        <w:pageBreakBefore w:val="0"/>
        <w:widowControl w:val="0"/>
        <w:kinsoku/>
        <w:wordWrap/>
        <w:overflowPunct/>
        <w:topLinePunct w:val="0"/>
        <w:autoSpaceDE/>
        <w:autoSpaceDN/>
        <w:bidi w:val="0"/>
        <w:adjustRightInd/>
        <w:snapToGrid w:val="0"/>
        <w:spacing w:before="313" w:beforeLines="100" w:line="360" w:lineRule="auto"/>
        <w:ind w:firstLine="640" w:firstLineChars="200"/>
        <w:textAlignment w:val="auto"/>
        <w:outlineLvl w:val="1"/>
        <w:rPr>
          <w:rFonts w:hint="eastAsia" w:ascii="黑体" w:hAnsi="黑体" w:eastAsia="黑体" w:cs="黑体"/>
          <w:color w:val="auto"/>
          <w:sz w:val="32"/>
          <w:szCs w:val="32"/>
          <w:highlight w:val="none"/>
          <w:lang w:eastAsia="zh-CN"/>
        </w:rPr>
      </w:pPr>
      <w:bookmarkStart w:id="50" w:name="_Toc28388"/>
      <w:r>
        <w:rPr>
          <w:rFonts w:hint="eastAsia" w:ascii="黑体" w:hAnsi="黑体" w:eastAsia="黑体" w:cs="黑体"/>
          <w:color w:val="auto"/>
          <w:sz w:val="32"/>
          <w:szCs w:val="32"/>
          <w:highlight w:val="none"/>
          <w:lang w:val="en-US" w:eastAsia="zh-CN"/>
        </w:rPr>
        <w:t>二</w:t>
      </w:r>
      <w:r>
        <w:rPr>
          <w:rFonts w:hint="eastAsia" w:ascii="黑体" w:hAnsi="黑体" w:eastAsia="黑体" w:cs="黑体"/>
          <w:color w:val="auto"/>
          <w:sz w:val="32"/>
          <w:szCs w:val="32"/>
          <w:highlight w:val="none"/>
        </w:rPr>
        <w:t>、聚焦扶弱济困，织牢民生兜底保障网</w:t>
      </w:r>
      <w:bookmarkEnd w:id="50"/>
    </w:p>
    <w:p w14:paraId="6BAD195F">
      <w:pPr>
        <w:keepNext/>
        <w:keepLines/>
        <w:pageBreakBefore w:val="0"/>
        <w:widowControl w:val="0"/>
        <w:kinsoku/>
        <w:wordWrap/>
        <w:overflowPunct/>
        <w:topLinePunct w:val="0"/>
        <w:autoSpaceDE/>
        <w:autoSpaceDN/>
        <w:bidi w:val="0"/>
        <w:adjustRightInd/>
        <w:snapToGrid/>
        <w:spacing w:line="360" w:lineRule="auto"/>
        <w:ind w:firstLine="640" w:firstLineChars="200"/>
        <w:textAlignment w:val="auto"/>
        <w:outlineLvl w:val="2"/>
        <w:rPr>
          <w:rFonts w:ascii="华文中宋" w:hAnsi="华文中宋" w:eastAsia="华文中宋" w:cs="华文中宋"/>
          <w:color w:val="auto"/>
          <w:sz w:val="32"/>
          <w:szCs w:val="32"/>
          <w:highlight w:val="none"/>
        </w:rPr>
      </w:pPr>
      <w:bookmarkStart w:id="51" w:name="_Toc6939"/>
      <w:r>
        <w:rPr>
          <w:rFonts w:hint="eastAsia" w:ascii="华文中宋" w:hAnsi="华文中宋" w:eastAsia="华文中宋" w:cs="华文中宋"/>
          <w:color w:val="auto"/>
          <w:sz w:val="32"/>
          <w:szCs w:val="32"/>
          <w:highlight w:val="none"/>
        </w:rPr>
        <w:t>（一）打造精准高效的“大救助”体系</w:t>
      </w:r>
      <w:bookmarkEnd w:id="51"/>
    </w:p>
    <w:p w14:paraId="50776A3F">
      <w:pPr>
        <w:keepNext w:val="0"/>
        <w:keepLines w:val="0"/>
        <w:pageBreakBefore w:val="0"/>
        <w:numPr>
          <w:ilvl w:val="0"/>
          <w:numId w:val="0"/>
        </w:numPr>
        <w:kinsoku/>
        <w:wordWrap/>
        <w:overflowPunct/>
        <w:topLinePunct w:val="0"/>
        <w:autoSpaceDE/>
        <w:autoSpaceDN/>
        <w:bidi w:val="0"/>
        <w:adjustRightInd/>
        <w:snapToGrid/>
        <w:spacing w:before="157" w:beforeLines="50" w:line="360" w:lineRule="auto"/>
        <w:ind w:firstLine="643" w:firstLineChars="200"/>
        <w:textAlignment w:val="auto"/>
        <w:outlineLvl w:val="9"/>
        <w:rPr>
          <w:rFonts w:hint="eastAsia" w:eastAsia="仿宋_GB2312" w:cs="仿宋_GB2312" w:asciiTheme="minorEastAsia" w:hAnsiTheme="minorEastAsia"/>
          <w:b w:val="0"/>
          <w:bCs w:val="0"/>
          <w:color w:val="auto"/>
          <w:kern w:val="2"/>
          <w:sz w:val="32"/>
          <w:szCs w:val="32"/>
          <w:highlight w:val="none"/>
          <w:lang w:val="en-US" w:eastAsia="zh-CN" w:bidi="ar-SA"/>
        </w:rPr>
      </w:pPr>
      <w:r>
        <w:rPr>
          <w:rFonts w:hint="default" w:ascii="华文楷体" w:hAnsi="华文楷体" w:eastAsia="华文楷体" w:cs="华文楷体"/>
          <w:b/>
          <w:bCs/>
          <w:color w:val="auto"/>
          <w:kern w:val="2"/>
          <w:sz w:val="32"/>
          <w:szCs w:val="32"/>
          <w:highlight w:val="none"/>
          <w:lang w:val="en-US" w:eastAsia="zh-CN" w:bidi="ar-SA"/>
        </w:rPr>
        <w:t>完善分层分类救助格局</w:t>
      </w:r>
      <w:r>
        <w:rPr>
          <w:rFonts w:hint="eastAsia" w:ascii="华文楷体" w:hAnsi="华文楷体" w:eastAsia="华文楷体" w:cs="华文楷体"/>
          <w:b/>
          <w:bCs/>
          <w:color w:val="auto"/>
          <w:kern w:val="2"/>
          <w:sz w:val="32"/>
          <w:szCs w:val="32"/>
          <w:highlight w:val="none"/>
          <w:lang w:val="en-US" w:eastAsia="zh-CN" w:bidi="ar-SA"/>
        </w:rPr>
        <w:t>。</w:t>
      </w:r>
      <w:r>
        <w:rPr>
          <w:rFonts w:hint="default" w:eastAsia="仿宋_GB2312" w:cs="仿宋_GB2312" w:asciiTheme="minorEastAsia" w:hAnsiTheme="minorEastAsia"/>
          <w:b w:val="0"/>
          <w:bCs w:val="0"/>
          <w:color w:val="auto"/>
          <w:kern w:val="2"/>
          <w:sz w:val="32"/>
          <w:szCs w:val="32"/>
          <w:highlight w:val="none"/>
          <w:lang w:val="en-US" w:eastAsia="zh-CN" w:bidi="ar-SA"/>
        </w:rPr>
        <w:t>健全以基本生活救助、专项社会救助、急难社会救助为主体，社会力量参与为补充的分层分类社会救助体系。全面开展低保边缘家庭</w:t>
      </w:r>
      <w:r>
        <w:rPr>
          <w:rFonts w:hint="eastAsia" w:eastAsia="仿宋_GB2312" w:cs="仿宋_GB2312" w:asciiTheme="minorEastAsia" w:hAnsiTheme="minorEastAsia"/>
          <w:b w:val="0"/>
          <w:bCs w:val="0"/>
          <w:color w:val="auto"/>
          <w:kern w:val="2"/>
          <w:sz w:val="32"/>
          <w:szCs w:val="32"/>
          <w:highlight w:val="none"/>
          <w:lang w:val="en-US" w:eastAsia="zh-CN" w:bidi="ar-SA"/>
        </w:rPr>
        <w:t>、刚性支出困难家庭认定，</w:t>
      </w:r>
      <w:r>
        <w:rPr>
          <w:rFonts w:hint="default" w:eastAsia="仿宋_GB2312" w:cs="仿宋_GB2312" w:asciiTheme="minorEastAsia" w:hAnsiTheme="minorEastAsia"/>
          <w:b w:val="0"/>
          <w:bCs w:val="0"/>
          <w:color w:val="auto"/>
          <w:kern w:val="2"/>
          <w:sz w:val="32"/>
          <w:szCs w:val="32"/>
          <w:highlight w:val="none"/>
          <w:lang w:val="en-US" w:eastAsia="zh-CN" w:bidi="ar-SA"/>
        </w:rPr>
        <w:t>将专项救助范围有序拓展至低保边缘家庭成员和刚性支出困难家庭成员，形成衔接有序、梯度施助的救助格局。</w:t>
      </w:r>
      <w:r>
        <w:rPr>
          <w:rFonts w:hint="eastAsia" w:eastAsia="仿宋_GB2312" w:cs="仿宋_GB2312" w:asciiTheme="minorEastAsia" w:hAnsiTheme="minorEastAsia"/>
          <w:b w:val="0"/>
          <w:bCs w:val="0"/>
          <w:color w:val="auto"/>
          <w:kern w:val="2"/>
          <w:sz w:val="32"/>
          <w:szCs w:val="32"/>
          <w:highlight w:val="none"/>
          <w:lang w:val="en-US" w:eastAsia="zh-CN" w:bidi="ar-SA"/>
        </w:rPr>
        <w:t>对低保边缘家庭</w:t>
      </w:r>
      <w:r>
        <w:rPr>
          <w:rFonts w:hint="default" w:eastAsia="仿宋_GB2312" w:cs="仿宋_GB2312" w:asciiTheme="minorEastAsia" w:hAnsiTheme="minorEastAsia"/>
          <w:b w:val="0"/>
          <w:bCs w:val="0"/>
          <w:color w:val="auto"/>
          <w:kern w:val="2"/>
          <w:sz w:val="32"/>
          <w:szCs w:val="32"/>
          <w:highlight w:val="none"/>
          <w:lang w:val="en-US" w:eastAsia="zh-CN" w:bidi="ar-SA"/>
        </w:rPr>
        <w:t>中重病、重残人员按规定单独纳入低保，做到“应保尽保、应救尽救”。完善与人均消费支出挂钩的社会救助标准动态调整机制，稳步提</w:t>
      </w:r>
      <w:r>
        <w:rPr>
          <w:rFonts w:hint="eastAsia" w:eastAsia="仿宋_GB2312" w:cs="仿宋_GB2312" w:asciiTheme="minorEastAsia" w:hAnsiTheme="minorEastAsia"/>
          <w:b w:val="0"/>
          <w:bCs w:val="0"/>
          <w:color w:val="auto"/>
          <w:kern w:val="2"/>
          <w:sz w:val="32"/>
          <w:szCs w:val="32"/>
          <w:highlight w:val="none"/>
          <w:lang w:val="en-US" w:eastAsia="zh-CN" w:bidi="ar-SA"/>
        </w:rPr>
        <w:t>高</w:t>
      </w:r>
      <w:r>
        <w:rPr>
          <w:rFonts w:hint="default" w:eastAsia="仿宋_GB2312" w:cs="仿宋_GB2312" w:asciiTheme="minorEastAsia" w:hAnsiTheme="minorEastAsia"/>
          <w:b w:val="0"/>
          <w:bCs w:val="0"/>
          <w:color w:val="auto"/>
          <w:kern w:val="2"/>
          <w:sz w:val="32"/>
          <w:szCs w:val="32"/>
          <w:highlight w:val="none"/>
          <w:lang w:val="en-US" w:eastAsia="zh-CN" w:bidi="ar-SA"/>
        </w:rPr>
        <w:t>救助保障水平</w:t>
      </w:r>
      <w:r>
        <w:rPr>
          <w:rFonts w:hint="eastAsia" w:eastAsia="仿宋_GB2312" w:cs="仿宋_GB2312" w:asciiTheme="minorEastAsia" w:hAnsiTheme="minorEastAsia"/>
          <w:b w:val="0"/>
          <w:bCs w:val="0"/>
          <w:color w:val="auto"/>
          <w:kern w:val="2"/>
          <w:sz w:val="32"/>
          <w:szCs w:val="32"/>
          <w:highlight w:val="none"/>
          <w:lang w:val="en-US" w:eastAsia="zh-CN" w:bidi="ar-SA"/>
        </w:rPr>
        <w:t>。</w:t>
      </w:r>
      <w:r>
        <w:rPr>
          <w:rFonts w:hint="default" w:eastAsia="仿宋_GB2312" w:cs="仿宋_GB2312" w:asciiTheme="minorEastAsia" w:hAnsiTheme="minorEastAsia"/>
          <w:b w:val="0"/>
          <w:bCs w:val="0"/>
          <w:color w:val="auto"/>
          <w:kern w:val="2"/>
          <w:sz w:val="32"/>
          <w:szCs w:val="32"/>
          <w:highlight w:val="none"/>
          <w:lang w:val="en-US" w:eastAsia="zh-CN" w:bidi="ar-SA"/>
        </w:rPr>
        <w:t>通过提升分散供养特困人员照料服务质量、</w:t>
      </w:r>
      <w:r>
        <w:rPr>
          <w:rFonts w:hint="eastAsia" w:eastAsia="仿宋_GB2312" w:cs="仿宋_GB2312" w:asciiTheme="minorEastAsia" w:hAnsiTheme="minorEastAsia"/>
          <w:b w:val="0"/>
          <w:bCs w:val="0"/>
          <w:color w:val="auto"/>
          <w:kern w:val="2"/>
          <w:sz w:val="32"/>
          <w:szCs w:val="32"/>
          <w:highlight w:val="none"/>
          <w:lang w:val="en-US" w:eastAsia="zh-CN" w:bidi="ar-SA"/>
        </w:rPr>
        <w:t>强化临时救助救急难功能、</w:t>
      </w:r>
      <w:r>
        <w:rPr>
          <w:rFonts w:hint="default" w:eastAsia="仿宋_GB2312" w:cs="仿宋_GB2312" w:asciiTheme="minorEastAsia" w:hAnsiTheme="minorEastAsia"/>
          <w:b w:val="0"/>
          <w:bCs w:val="0"/>
          <w:color w:val="auto"/>
          <w:kern w:val="2"/>
          <w:sz w:val="32"/>
          <w:szCs w:val="32"/>
          <w:highlight w:val="none"/>
          <w:lang w:val="en-US" w:eastAsia="zh-CN" w:bidi="ar-SA"/>
        </w:rPr>
        <w:t>充分发挥临时救助备用金制度</w:t>
      </w:r>
      <w:r>
        <w:rPr>
          <w:rFonts w:hint="eastAsia" w:eastAsia="仿宋_GB2312" w:cs="仿宋_GB2312" w:asciiTheme="minorEastAsia" w:hAnsiTheme="minorEastAsia"/>
          <w:b w:val="0"/>
          <w:bCs w:val="0"/>
          <w:color w:val="auto"/>
          <w:kern w:val="2"/>
          <w:sz w:val="32"/>
          <w:szCs w:val="32"/>
          <w:highlight w:val="none"/>
          <w:lang w:val="en-US" w:eastAsia="zh-CN" w:bidi="ar-SA"/>
        </w:rPr>
        <w:t>效能</w:t>
      </w:r>
      <w:r>
        <w:rPr>
          <w:rFonts w:hint="default" w:eastAsia="仿宋_GB2312" w:cs="仿宋_GB2312" w:asciiTheme="minorEastAsia" w:hAnsiTheme="minorEastAsia"/>
          <w:b w:val="0"/>
          <w:bCs w:val="0"/>
          <w:color w:val="auto"/>
          <w:kern w:val="2"/>
          <w:sz w:val="32"/>
          <w:szCs w:val="32"/>
          <w:highlight w:val="none"/>
          <w:lang w:val="en-US" w:eastAsia="zh-CN" w:bidi="ar-SA"/>
        </w:rPr>
        <w:t>等具体</w:t>
      </w:r>
      <w:r>
        <w:rPr>
          <w:rFonts w:hint="eastAsia" w:eastAsia="仿宋_GB2312" w:cs="仿宋_GB2312" w:asciiTheme="minorEastAsia" w:hAnsiTheme="minorEastAsia"/>
          <w:b w:val="0"/>
          <w:bCs w:val="0"/>
          <w:color w:val="auto"/>
          <w:kern w:val="2"/>
          <w:sz w:val="32"/>
          <w:szCs w:val="32"/>
          <w:highlight w:val="none"/>
          <w:lang w:val="en-US" w:eastAsia="zh-CN" w:bidi="ar-SA"/>
        </w:rPr>
        <w:t>举措</w:t>
      </w:r>
      <w:r>
        <w:rPr>
          <w:rFonts w:hint="default" w:eastAsia="仿宋_GB2312" w:cs="仿宋_GB2312" w:asciiTheme="minorEastAsia" w:hAnsiTheme="minorEastAsia"/>
          <w:b w:val="0"/>
          <w:bCs w:val="0"/>
          <w:color w:val="auto"/>
          <w:kern w:val="2"/>
          <w:sz w:val="32"/>
          <w:szCs w:val="32"/>
          <w:highlight w:val="none"/>
          <w:lang w:val="en-US" w:eastAsia="zh-CN" w:bidi="ar-SA"/>
        </w:rPr>
        <w:t>，进一步织密扎牢民生保障安全网，持续巩固和优化分层分类、综合高效的救助体系</w:t>
      </w:r>
      <w:r>
        <w:rPr>
          <w:rFonts w:hint="eastAsia" w:eastAsia="仿宋_GB2312" w:cs="仿宋_GB2312" w:asciiTheme="minorEastAsia" w:hAnsiTheme="minorEastAsia"/>
          <w:b w:val="0"/>
          <w:bCs w:val="0"/>
          <w:color w:val="auto"/>
          <w:kern w:val="2"/>
          <w:sz w:val="32"/>
          <w:szCs w:val="32"/>
          <w:highlight w:val="none"/>
          <w:lang w:val="en-US" w:eastAsia="zh-CN" w:bidi="ar-SA"/>
        </w:rPr>
        <w:t>。</w:t>
      </w:r>
    </w:p>
    <w:p w14:paraId="29C65F6E">
      <w:pPr>
        <w:keepNext w:val="0"/>
        <w:keepLines w:val="0"/>
        <w:pageBreakBefore w:val="0"/>
        <w:numPr>
          <w:ilvl w:val="0"/>
          <w:numId w:val="0"/>
        </w:numPr>
        <w:kinsoku/>
        <w:wordWrap/>
        <w:overflowPunct/>
        <w:topLinePunct w:val="0"/>
        <w:autoSpaceDE/>
        <w:autoSpaceDN/>
        <w:bidi w:val="0"/>
        <w:adjustRightInd/>
        <w:snapToGrid/>
        <w:spacing w:before="157" w:beforeLines="50" w:line="360" w:lineRule="auto"/>
        <w:ind w:firstLine="643" w:firstLineChars="200"/>
        <w:textAlignment w:val="auto"/>
        <w:outlineLvl w:val="9"/>
        <w:rPr>
          <w:rFonts w:hint="eastAsia" w:eastAsia="仿宋_GB2312" w:cs="仿宋_GB2312" w:asciiTheme="minorEastAsia" w:hAnsiTheme="minorEastAsia"/>
          <w:b w:val="0"/>
          <w:bCs w:val="0"/>
          <w:color w:val="auto"/>
          <w:kern w:val="2"/>
          <w:sz w:val="32"/>
          <w:szCs w:val="32"/>
          <w:highlight w:val="none"/>
          <w:lang w:val="en-US" w:eastAsia="zh-CN" w:bidi="ar-SA"/>
        </w:rPr>
      </w:pPr>
      <w:r>
        <w:rPr>
          <w:rFonts w:hint="default" w:ascii="华文楷体" w:hAnsi="华文楷体" w:eastAsia="华文楷体" w:cs="华文楷体"/>
          <w:b/>
          <w:bCs/>
          <w:color w:val="auto"/>
          <w:kern w:val="2"/>
          <w:sz w:val="32"/>
          <w:szCs w:val="32"/>
          <w:highlight w:val="none"/>
          <w:lang w:val="en-US" w:eastAsia="zh-CN" w:bidi="ar-SA"/>
        </w:rPr>
        <w:t>健全</w:t>
      </w:r>
      <w:r>
        <w:rPr>
          <w:rFonts w:hint="eastAsia" w:ascii="华文楷体" w:hAnsi="华文楷体" w:eastAsia="华文楷体" w:cs="华文楷体"/>
          <w:b/>
          <w:bCs/>
          <w:color w:val="auto"/>
          <w:kern w:val="2"/>
          <w:sz w:val="32"/>
          <w:szCs w:val="32"/>
          <w:highlight w:val="none"/>
          <w:lang w:val="en-US" w:eastAsia="zh-CN" w:bidi="ar-SA"/>
        </w:rPr>
        <w:t>社会救助</w:t>
      </w:r>
      <w:r>
        <w:rPr>
          <w:rFonts w:hint="default" w:ascii="华文楷体" w:hAnsi="华文楷体" w:eastAsia="华文楷体" w:cs="华文楷体"/>
          <w:b/>
          <w:bCs/>
          <w:color w:val="auto"/>
          <w:kern w:val="2"/>
          <w:sz w:val="32"/>
          <w:szCs w:val="32"/>
          <w:highlight w:val="none"/>
          <w:lang w:val="en-US" w:eastAsia="zh-CN" w:bidi="ar-SA"/>
        </w:rPr>
        <w:t>工作机制</w:t>
      </w:r>
      <w:r>
        <w:rPr>
          <w:rFonts w:hint="eastAsia" w:ascii="华文楷体" w:hAnsi="华文楷体" w:eastAsia="华文楷体" w:cs="华文楷体"/>
          <w:b/>
          <w:bCs/>
          <w:color w:val="auto"/>
          <w:kern w:val="2"/>
          <w:sz w:val="32"/>
          <w:szCs w:val="32"/>
          <w:highlight w:val="none"/>
          <w:lang w:val="en-US" w:eastAsia="zh-CN" w:bidi="ar-SA"/>
        </w:rPr>
        <w:t>。</w:t>
      </w:r>
      <w:r>
        <w:rPr>
          <w:rFonts w:hint="default" w:eastAsia="仿宋_GB2312" w:cs="仿宋_GB2312" w:asciiTheme="minorEastAsia" w:hAnsiTheme="minorEastAsia"/>
          <w:b w:val="0"/>
          <w:bCs w:val="0"/>
          <w:color w:val="auto"/>
          <w:kern w:val="2"/>
          <w:sz w:val="32"/>
          <w:szCs w:val="32"/>
          <w:highlight w:val="none"/>
          <w:lang w:val="en-US" w:eastAsia="zh-CN" w:bidi="ar-SA"/>
        </w:rPr>
        <w:t>坚持党委领导、政府负责、民政牵头、部门协同、社会参与的原则，健全社会救助工作</w:t>
      </w:r>
      <w:r>
        <w:rPr>
          <w:rFonts w:hint="eastAsia" w:eastAsia="仿宋_GB2312" w:cs="仿宋_GB2312" w:asciiTheme="minorEastAsia" w:hAnsiTheme="minorEastAsia"/>
          <w:b w:val="0"/>
          <w:bCs w:val="0"/>
          <w:color w:val="auto"/>
          <w:kern w:val="2"/>
          <w:sz w:val="32"/>
          <w:szCs w:val="32"/>
          <w:highlight w:val="none"/>
          <w:lang w:val="en-US" w:eastAsia="zh-CN" w:bidi="ar-SA"/>
        </w:rPr>
        <w:t>运行</w:t>
      </w:r>
      <w:r>
        <w:rPr>
          <w:rFonts w:hint="default" w:eastAsia="仿宋_GB2312" w:cs="仿宋_GB2312" w:asciiTheme="minorEastAsia" w:hAnsiTheme="minorEastAsia"/>
          <w:b w:val="0"/>
          <w:bCs w:val="0"/>
          <w:color w:val="auto"/>
          <w:kern w:val="2"/>
          <w:sz w:val="32"/>
          <w:szCs w:val="32"/>
          <w:highlight w:val="none"/>
          <w:lang w:val="en-US" w:eastAsia="zh-CN" w:bidi="ar-SA"/>
        </w:rPr>
        <w:t>机制。建立困难群众基本生活保障联席会议</w:t>
      </w:r>
      <w:r>
        <w:rPr>
          <w:rFonts w:hint="eastAsia" w:eastAsia="仿宋_GB2312" w:cs="仿宋_GB2312" w:asciiTheme="minorEastAsia" w:hAnsiTheme="minorEastAsia"/>
          <w:b w:val="0"/>
          <w:bCs w:val="0"/>
          <w:color w:val="auto"/>
          <w:kern w:val="2"/>
          <w:sz w:val="32"/>
          <w:szCs w:val="32"/>
          <w:highlight w:val="none"/>
          <w:lang w:val="en-US" w:eastAsia="zh-CN" w:bidi="ar-SA"/>
        </w:rPr>
        <w:t>制度</w:t>
      </w:r>
      <w:r>
        <w:rPr>
          <w:rFonts w:hint="default" w:eastAsia="仿宋_GB2312" w:cs="仿宋_GB2312" w:asciiTheme="minorEastAsia" w:hAnsiTheme="minorEastAsia"/>
          <w:b w:val="0"/>
          <w:bCs w:val="0"/>
          <w:color w:val="auto"/>
          <w:kern w:val="2"/>
          <w:sz w:val="32"/>
          <w:szCs w:val="32"/>
          <w:highlight w:val="none"/>
          <w:lang w:val="en-US" w:eastAsia="zh-CN" w:bidi="ar-SA"/>
        </w:rPr>
        <w:t>，加强部门间数据信息共享与救助资源整合，完善联动响应机制，协同</w:t>
      </w:r>
      <w:r>
        <w:rPr>
          <w:rFonts w:hint="eastAsia" w:eastAsia="仿宋_GB2312" w:cs="仿宋_GB2312" w:asciiTheme="minorEastAsia" w:hAnsiTheme="minorEastAsia"/>
          <w:b w:val="0"/>
          <w:bCs w:val="0"/>
          <w:color w:val="auto"/>
          <w:kern w:val="2"/>
          <w:sz w:val="32"/>
          <w:szCs w:val="32"/>
          <w:highlight w:val="none"/>
          <w:lang w:val="en-US" w:eastAsia="zh-CN" w:bidi="ar-SA"/>
        </w:rPr>
        <w:t>破解</w:t>
      </w:r>
      <w:r>
        <w:rPr>
          <w:rFonts w:hint="default" w:eastAsia="仿宋_GB2312" w:cs="仿宋_GB2312" w:asciiTheme="minorEastAsia" w:hAnsiTheme="minorEastAsia"/>
          <w:b w:val="0"/>
          <w:bCs w:val="0"/>
          <w:color w:val="auto"/>
          <w:kern w:val="2"/>
          <w:sz w:val="32"/>
          <w:szCs w:val="32"/>
          <w:highlight w:val="none"/>
          <w:lang w:val="en-US" w:eastAsia="zh-CN" w:bidi="ar-SA"/>
        </w:rPr>
        <w:t>各类困难群众的基本生活保障问题及特殊个案难题</w:t>
      </w:r>
      <w:r>
        <w:rPr>
          <w:rFonts w:hint="eastAsia" w:eastAsia="仿宋_GB2312" w:cs="仿宋_GB2312" w:asciiTheme="minorEastAsia" w:hAnsiTheme="minorEastAsia"/>
          <w:b w:val="0"/>
          <w:bCs w:val="0"/>
          <w:color w:val="auto"/>
          <w:kern w:val="2"/>
          <w:sz w:val="32"/>
          <w:szCs w:val="32"/>
          <w:highlight w:val="none"/>
          <w:lang w:val="en-US" w:eastAsia="zh-CN" w:bidi="ar-SA"/>
        </w:rPr>
        <w:t>。完善社会救助家庭核对机制，持续扩大核对信息跨部门联动共享，加强与金融、房产、税务、人社等部门的沟通交流，推动数据治理，完善分析模型，提升核对精准度。</w:t>
      </w:r>
    </w:p>
    <w:p w14:paraId="513F15DD">
      <w:pPr>
        <w:keepNext w:val="0"/>
        <w:keepLines w:val="0"/>
        <w:pageBreakBefore w:val="0"/>
        <w:numPr>
          <w:ilvl w:val="0"/>
          <w:numId w:val="0"/>
        </w:numPr>
        <w:kinsoku/>
        <w:wordWrap/>
        <w:overflowPunct/>
        <w:topLinePunct w:val="0"/>
        <w:autoSpaceDE/>
        <w:autoSpaceDN/>
        <w:bidi w:val="0"/>
        <w:adjustRightInd/>
        <w:snapToGrid/>
        <w:spacing w:before="157" w:beforeLines="50" w:line="360" w:lineRule="auto"/>
        <w:ind w:firstLine="643" w:firstLineChars="200"/>
        <w:textAlignment w:val="auto"/>
        <w:outlineLvl w:val="9"/>
        <w:rPr>
          <w:rFonts w:hint="default" w:eastAsia="仿宋_GB2312" w:cs="仿宋_GB2312" w:asciiTheme="minorEastAsia" w:hAnsiTheme="minorEastAsia"/>
          <w:b w:val="0"/>
          <w:bCs w:val="0"/>
          <w:color w:val="auto"/>
          <w:kern w:val="2"/>
          <w:sz w:val="32"/>
          <w:szCs w:val="32"/>
          <w:highlight w:val="none"/>
          <w:lang w:val="en-US" w:eastAsia="zh-CN" w:bidi="ar-SA"/>
        </w:rPr>
      </w:pPr>
      <w:r>
        <w:rPr>
          <w:rFonts w:hint="default" w:ascii="华文楷体" w:hAnsi="华文楷体" w:eastAsia="华文楷体" w:cs="华文楷体"/>
          <w:b/>
          <w:bCs/>
          <w:color w:val="auto"/>
          <w:kern w:val="2"/>
          <w:sz w:val="32"/>
          <w:szCs w:val="32"/>
          <w:highlight w:val="none"/>
          <w:lang w:val="en-US" w:eastAsia="zh-CN" w:bidi="ar-SA"/>
        </w:rPr>
        <w:t>强化监督管理</w:t>
      </w:r>
      <w:r>
        <w:rPr>
          <w:rFonts w:hint="eastAsia" w:ascii="华文楷体" w:hAnsi="华文楷体" w:eastAsia="华文楷体" w:cs="华文楷体"/>
          <w:b/>
          <w:bCs/>
          <w:color w:val="auto"/>
          <w:kern w:val="2"/>
          <w:sz w:val="32"/>
          <w:szCs w:val="32"/>
          <w:highlight w:val="none"/>
          <w:lang w:val="en-US" w:eastAsia="zh-CN" w:bidi="ar-SA"/>
        </w:rPr>
        <w:t>。</w:t>
      </w:r>
      <w:r>
        <w:rPr>
          <w:rFonts w:hint="default" w:eastAsia="仿宋_GB2312" w:cs="仿宋_GB2312" w:asciiTheme="minorEastAsia" w:hAnsiTheme="minorEastAsia"/>
          <w:b w:val="0"/>
          <w:bCs w:val="0"/>
          <w:color w:val="auto"/>
          <w:kern w:val="2"/>
          <w:sz w:val="32"/>
          <w:szCs w:val="32"/>
          <w:highlight w:val="none"/>
          <w:lang w:val="en-US" w:eastAsia="zh-CN" w:bidi="ar-SA"/>
        </w:rPr>
        <w:t>围绕审批权限下放、流程优化、时限压缩等开展规范化建设，明确各环节职责</w:t>
      </w:r>
      <w:r>
        <w:rPr>
          <w:rFonts w:hint="eastAsia" w:eastAsia="仿宋_GB2312" w:cs="仿宋_GB2312" w:asciiTheme="minorEastAsia" w:hAnsiTheme="minorEastAsia"/>
          <w:b w:val="0"/>
          <w:bCs w:val="0"/>
          <w:color w:val="auto"/>
          <w:kern w:val="2"/>
          <w:sz w:val="32"/>
          <w:szCs w:val="32"/>
          <w:highlight w:val="none"/>
          <w:lang w:val="en-US" w:eastAsia="zh-CN" w:bidi="ar-SA"/>
        </w:rPr>
        <w:t>清单</w:t>
      </w:r>
      <w:r>
        <w:rPr>
          <w:rFonts w:hint="default" w:eastAsia="仿宋_GB2312" w:cs="仿宋_GB2312" w:asciiTheme="minorEastAsia" w:hAnsiTheme="minorEastAsia"/>
          <w:b w:val="0"/>
          <w:bCs w:val="0"/>
          <w:color w:val="auto"/>
          <w:kern w:val="2"/>
          <w:sz w:val="32"/>
          <w:szCs w:val="32"/>
          <w:highlight w:val="none"/>
          <w:lang w:val="en-US" w:eastAsia="zh-CN" w:bidi="ar-SA"/>
        </w:rPr>
        <w:t>，强化全流程</w:t>
      </w:r>
      <w:r>
        <w:rPr>
          <w:rFonts w:hint="eastAsia" w:eastAsia="仿宋_GB2312" w:cs="仿宋_GB2312" w:asciiTheme="minorEastAsia" w:hAnsiTheme="minorEastAsia"/>
          <w:b w:val="0"/>
          <w:bCs w:val="0"/>
          <w:color w:val="auto"/>
          <w:kern w:val="2"/>
          <w:sz w:val="32"/>
          <w:szCs w:val="32"/>
          <w:highlight w:val="none"/>
          <w:lang w:val="en-US" w:eastAsia="zh-CN" w:bidi="ar-SA"/>
        </w:rPr>
        <w:t>闭环</w:t>
      </w:r>
      <w:r>
        <w:rPr>
          <w:rFonts w:hint="default" w:eastAsia="仿宋_GB2312" w:cs="仿宋_GB2312" w:asciiTheme="minorEastAsia" w:hAnsiTheme="minorEastAsia"/>
          <w:b w:val="0"/>
          <w:bCs w:val="0"/>
          <w:color w:val="auto"/>
          <w:kern w:val="2"/>
          <w:sz w:val="32"/>
          <w:szCs w:val="32"/>
          <w:highlight w:val="none"/>
          <w:lang w:val="en-US" w:eastAsia="zh-CN" w:bidi="ar-SA"/>
        </w:rPr>
        <w:t>监管。完善救助资金管理制度，健全</w:t>
      </w:r>
      <w:r>
        <w:rPr>
          <w:rFonts w:hint="eastAsia" w:eastAsia="仿宋_GB2312" w:cs="仿宋_GB2312" w:asciiTheme="minorEastAsia" w:hAnsiTheme="minorEastAsia"/>
          <w:b w:val="0"/>
          <w:bCs w:val="0"/>
          <w:color w:val="auto"/>
          <w:kern w:val="2"/>
          <w:sz w:val="32"/>
          <w:szCs w:val="32"/>
          <w:highlight w:val="none"/>
          <w:lang w:val="en-US" w:eastAsia="zh-CN" w:bidi="ar-SA"/>
        </w:rPr>
        <w:t>常态化</w:t>
      </w:r>
      <w:r>
        <w:rPr>
          <w:rFonts w:hint="default" w:eastAsia="仿宋_GB2312" w:cs="仿宋_GB2312" w:asciiTheme="minorEastAsia" w:hAnsiTheme="minorEastAsia"/>
          <w:b w:val="0"/>
          <w:bCs w:val="0"/>
          <w:color w:val="auto"/>
          <w:kern w:val="2"/>
          <w:sz w:val="32"/>
          <w:szCs w:val="32"/>
          <w:highlight w:val="none"/>
          <w:lang w:val="en-US" w:eastAsia="zh-CN" w:bidi="ar-SA"/>
        </w:rPr>
        <w:t>监管机制，加强资金下达、发放、使用全过程管理，确保</w:t>
      </w:r>
      <w:r>
        <w:rPr>
          <w:rFonts w:hint="eastAsia" w:eastAsia="仿宋_GB2312" w:cs="仿宋_GB2312" w:asciiTheme="minorEastAsia" w:hAnsiTheme="minorEastAsia"/>
          <w:b w:val="0"/>
          <w:bCs w:val="0"/>
          <w:color w:val="auto"/>
          <w:kern w:val="2"/>
          <w:sz w:val="32"/>
          <w:szCs w:val="32"/>
          <w:highlight w:val="none"/>
          <w:lang w:val="en-US" w:eastAsia="zh-CN" w:bidi="ar-SA"/>
        </w:rPr>
        <w:t>资金</w:t>
      </w:r>
      <w:r>
        <w:rPr>
          <w:rFonts w:hint="default" w:eastAsia="仿宋_GB2312" w:cs="仿宋_GB2312" w:asciiTheme="minorEastAsia" w:hAnsiTheme="minorEastAsia"/>
          <w:b w:val="0"/>
          <w:bCs w:val="0"/>
          <w:color w:val="auto"/>
          <w:kern w:val="2"/>
          <w:sz w:val="32"/>
          <w:szCs w:val="32"/>
          <w:highlight w:val="none"/>
          <w:lang w:val="en-US" w:eastAsia="zh-CN" w:bidi="ar-SA"/>
        </w:rPr>
        <w:t>安全精准</w:t>
      </w:r>
      <w:r>
        <w:rPr>
          <w:rFonts w:hint="eastAsia" w:eastAsia="仿宋_GB2312" w:cs="仿宋_GB2312" w:asciiTheme="minorEastAsia" w:hAnsiTheme="minorEastAsia"/>
          <w:b w:val="0"/>
          <w:bCs w:val="0"/>
          <w:color w:val="auto"/>
          <w:kern w:val="2"/>
          <w:sz w:val="32"/>
          <w:szCs w:val="32"/>
          <w:highlight w:val="none"/>
          <w:lang w:val="en-US" w:eastAsia="zh-CN" w:bidi="ar-SA"/>
        </w:rPr>
        <w:t>高效使用</w:t>
      </w:r>
      <w:r>
        <w:rPr>
          <w:rFonts w:hint="default" w:eastAsia="仿宋_GB2312" w:cs="仿宋_GB2312" w:asciiTheme="minorEastAsia" w:hAnsiTheme="minorEastAsia"/>
          <w:b w:val="0"/>
          <w:bCs w:val="0"/>
          <w:color w:val="auto"/>
          <w:kern w:val="2"/>
          <w:sz w:val="32"/>
          <w:szCs w:val="32"/>
          <w:highlight w:val="none"/>
          <w:lang w:val="en-US" w:eastAsia="zh-CN" w:bidi="ar-SA"/>
        </w:rPr>
        <w:t>。健全对社会力量参与救助的引导监督长效机制</w:t>
      </w:r>
      <w:r>
        <w:rPr>
          <w:rFonts w:hint="eastAsia" w:eastAsia="仿宋_GB2312" w:cs="仿宋_GB2312" w:asciiTheme="minorEastAsia" w:hAnsiTheme="minorEastAsia"/>
          <w:b w:val="0"/>
          <w:bCs w:val="0"/>
          <w:color w:val="auto"/>
          <w:kern w:val="2"/>
          <w:sz w:val="32"/>
          <w:szCs w:val="32"/>
          <w:highlight w:val="none"/>
          <w:lang w:val="en-US" w:eastAsia="zh-CN" w:bidi="ar-SA"/>
        </w:rPr>
        <w:t>，规范参与行为。建全经办人员与救助申请人“双承诺机制”，严格落实社会救助经办人员近亲属备案、卡折代持备案等制度。</w:t>
      </w:r>
    </w:p>
    <w:p w14:paraId="1E645831">
      <w:pPr>
        <w:keepNext/>
        <w:keepLines/>
        <w:pageBreakBefore w:val="0"/>
        <w:widowControl w:val="0"/>
        <w:kinsoku/>
        <w:wordWrap/>
        <w:overflowPunct/>
        <w:topLinePunct w:val="0"/>
        <w:autoSpaceDE/>
        <w:autoSpaceDN/>
        <w:bidi w:val="0"/>
        <w:adjustRightInd/>
        <w:snapToGrid/>
        <w:spacing w:line="360" w:lineRule="auto"/>
        <w:ind w:firstLine="640" w:firstLineChars="200"/>
        <w:textAlignment w:val="auto"/>
        <w:outlineLvl w:val="2"/>
        <w:rPr>
          <w:rFonts w:hint="eastAsia" w:ascii="华文中宋" w:hAnsi="华文中宋" w:eastAsia="华文中宋" w:cs="华文中宋"/>
          <w:color w:val="auto"/>
          <w:sz w:val="32"/>
          <w:szCs w:val="32"/>
          <w:highlight w:val="none"/>
          <w:lang w:val="en-US" w:eastAsia="zh-CN"/>
        </w:rPr>
      </w:pPr>
      <w:bookmarkStart w:id="52" w:name="_Toc1761"/>
      <w:r>
        <w:rPr>
          <w:rFonts w:hint="eastAsia" w:ascii="华文中宋" w:hAnsi="华文中宋" w:eastAsia="华文中宋" w:cs="华文中宋"/>
          <w:color w:val="auto"/>
          <w:sz w:val="32"/>
          <w:szCs w:val="32"/>
          <w:highlight w:val="none"/>
          <w:lang w:val="en-US" w:eastAsia="zh-CN"/>
        </w:rPr>
        <w:t>（二）优化社会救助服务</w:t>
      </w:r>
      <w:bookmarkEnd w:id="52"/>
    </w:p>
    <w:p w14:paraId="15CD59B8">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eastAsia" w:eastAsia="仿宋_GB2312" w:cs="仿宋_GB2312" w:asciiTheme="minorEastAsia" w:hAnsiTheme="minorEastAsia"/>
          <w:b w:val="0"/>
          <w:bCs w:val="0"/>
          <w:color w:val="auto"/>
          <w:kern w:val="2"/>
          <w:sz w:val="32"/>
          <w:szCs w:val="32"/>
          <w:highlight w:val="none"/>
          <w:lang w:val="en-US" w:eastAsia="zh-CN" w:bidi="ar-SA"/>
        </w:rPr>
      </w:pPr>
      <w:r>
        <w:rPr>
          <w:rFonts w:hint="default" w:ascii="华文楷体" w:hAnsi="华文楷体" w:eastAsia="华文楷体" w:cs="华文楷体"/>
          <w:b/>
          <w:bCs/>
          <w:color w:val="auto"/>
          <w:kern w:val="2"/>
          <w:sz w:val="32"/>
          <w:szCs w:val="32"/>
          <w:highlight w:val="none"/>
          <w:lang w:val="en-US" w:eastAsia="zh-CN" w:bidi="ar-SA"/>
        </w:rPr>
        <w:t>推行“物质+服务”综合救助</w:t>
      </w:r>
      <w:r>
        <w:rPr>
          <w:rFonts w:hint="eastAsia" w:eastAsia="仿宋_GB2312" w:cs="仿宋_GB2312" w:asciiTheme="minorEastAsia" w:hAnsiTheme="minorEastAsia"/>
          <w:b w:val="0"/>
          <w:bCs w:val="0"/>
          <w:color w:val="auto"/>
          <w:kern w:val="2"/>
          <w:sz w:val="32"/>
          <w:szCs w:val="32"/>
          <w:highlight w:val="none"/>
          <w:lang w:val="en-US" w:eastAsia="zh-CN" w:bidi="ar-SA"/>
        </w:rPr>
        <w:t>。</w:t>
      </w:r>
      <w:r>
        <w:rPr>
          <w:rFonts w:hint="default" w:eastAsia="仿宋_GB2312" w:cs="仿宋_GB2312" w:asciiTheme="minorEastAsia" w:hAnsiTheme="minorEastAsia"/>
          <w:b w:val="0"/>
          <w:bCs w:val="0"/>
          <w:color w:val="auto"/>
          <w:kern w:val="2"/>
          <w:sz w:val="32"/>
          <w:szCs w:val="32"/>
          <w:highlight w:val="none"/>
          <w:lang w:val="en-US" w:eastAsia="zh-CN" w:bidi="ar-SA"/>
        </w:rPr>
        <w:t>在保障物质帮扶基础上，加快发展服务类救助。明确服务对象、内容、标准与供给方式，通过政府购买服务，</w:t>
      </w:r>
      <w:r>
        <w:rPr>
          <w:rFonts w:hint="eastAsia" w:eastAsia="仿宋_GB2312" w:cs="仿宋_GB2312" w:asciiTheme="minorEastAsia" w:hAnsiTheme="minorEastAsia"/>
          <w:b w:val="0"/>
          <w:bCs w:val="0"/>
          <w:color w:val="auto"/>
          <w:kern w:val="2"/>
          <w:sz w:val="32"/>
          <w:szCs w:val="32"/>
          <w:highlight w:val="none"/>
          <w:lang w:val="en-US" w:eastAsia="zh-CN" w:bidi="ar-SA"/>
        </w:rPr>
        <w:t>对城乡低保对象、分散供养特困人员中高龄、独居、失能、重病、重残等特殊救助对象提供生活类、照护类、支持类等个性化服务，满足困难群众日益增长的多元化、差异化需求，充分保障其基本生活质量与人格尊严。</w:t>
      </w:r>
    </w:p>
    <w:p w14:paraId="6D1714A0">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eastAsia" w:eastAsia="仿宋_GB2312" w:cs="仿宋_GB2312" w:asciiTheme="minorEastAsia" w:hAnsiTheme="minorEastAsia"/>
          <w:b w:val="0"/>
          <w:bCs w:val="0"/>
          <w:color w:val="auto"/>
          <w:kern w:val="2"/>
          <w:sz w:val="32"/>
          <w:szCs w:val="32"/>
          <w:highlight w:val="none"/>
          <w:lang w:val="en-US" w:eastAsia="zh-CN" w:bidi="ar-SA"/>
        </w:rPr>
      </w:pPr>
      <w:r>
        <w:rPr>
          <w:rFonts w:hint="default" w:ascii="华文楷体" w:hAnsi="华文楷体" w:eastAsia="华文楷体" w:cs="华文楷体"/>
          <w:b/>
          <w:bCs/>
          <w:color w:val="auto"/>
          <w:kern w:val="2"/>
          <w:sz w:val="32"/>
          <w:szCs w:val="32"/>
          <w:highlight w:val="none"/>
          <w:lang w:val="en-US" w:eastAsia="zh-CN" w:bidi="ar-SA"/>
        </w:rPr>
        <w:t>促进政策衔接</w:t>
      </w:r>
      <w:r>
        <w:rPr>
          <w:rFonts w:hint="eastAsia" w:ascii="华文楷体" w:hAnsi="华文楷体" w:eastAsia="华文楷体" w:cs="华文楷体"/>
          <w:b/>
          <w:bCs/>
          <w:color w:val="auto"/>
          <w:kern w:val="2"/>
          <w:sz w:val="32"/>
          <w:szCs w:val="32"/>
          <w:highlight w:val="none"/>
          <w:lang w:val="en-US" w:eastAsia="zh-CN" w:bidi="ar-SA"/>
        </w:rPr>
        <w:t>精准高效。</w:t>
      </w:r>
      <w:r>
        <w:rPr>
          <w:rFonts w:hint="default" w:eastAsia="仿宋_GB2312" w:cs="仿宋_GB2312" w:asciiTheme="minorEastAsia" w:hAnsiTheme="minorEastAsia"/>
          <w:b w:val="0"/>
          <w:bCs w:val="0"/>
          <w:color w:val="auto"/>
          <w:kern w:val="2"/>
          <w:sz w:val="32"/>
          <w:szCs w:val="32"/>
          <w:highlight w:val="none"/>
          <w:lang w:val="en-US" w:eastAsia="zh-CN" w:bidi="ar-SA"/>
        </w:rPr>
        <w:t>推动防止返贫帮扶政策与农村低收入人口常态化帮扶政策有效衔接，强化部门协同联动和政策落地督导，努力构建覆盖全面、分层分类、高效协同的常态化帮扶体系，确保困难群众早发现、早干预、早帮扶，及时获得精准化、综合性救助帮扶</w:t>
      </w:r>
      <w:r>
        <w:rPr>
          <w:rFonts w:hint="eastAsia" w:eastAsia="仿宋_GB2312" w:cs="仿宋_GB2312" w:asciiTheme="minorEastAsia" w:hAnsiTheme="minorEastAsia"/>
          <w:b w:val="0"/>
          <w:bCs w:val="0"/>
          <w:color w:val="auto"/>
          <w:kern w:val="2"/>
          <w:sz w:val="32"/>
          <w:szCs w:val="32"/>
          <w:highlight w:val="none"/>
          <w:lang w:val="en-US" w:eastAsia="zh-CN" w:bidi="ar-SA"/>
        </w:rPr>
        <w:t>。</w:t>
      </w:r>
    </w:p>
    <w:p w14:paraId="43E8355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3" w:firstLineChars="200"/>
        <w:textAlignment w:val="auto"/>
        <w:rPr>
          <w:rFonts w:hint="default" w:eastAsia="仿宋_GB2312" w:cs="仿宋_GB2312" w:asciiTheme="minorEastAsia" w:hAnsiTheme="minorEastAsia"/>
          <w:b w:val="0"/>
          <w:bCs w:val="0"/>
          <w:color w:val="auto"/>
          <w:kern w:val="2"/>
          <w:sz w:val="32"/>
          <w:szCs w:val="32"/>
          <w:highlight w:val="none"/>
          <w:lang w:val="en-US" w:eastAsia="zh-CN" w:bidi="ar-SA"/>
        </w:rPr>
      </w:pPr>
      <w:r>
        <w:rPr>
          <w:rFonts w:hint="eastAsia" w:ascii="华文楷体" w:hAnsi="华文楷体" w:eastAsia="华文楷体" w:cs="华文楷体"/>
          <w:b/>
          <w:bCs/>
          <w:color w:val="auto"/>
          <w:kern w:val="2"/>
          <w:sz w:val="32"/>
          <w:szCs w:val="32"/>
          <w:highlight w:val="none"/>
          <w:lang w:val="en-US" w:eastAsia="zh-CN" w:bidi="ar-SA"/>
        </w:rPr>
        <w:t>畅通救助服务渠道。</w:t>
      </w:r>
      <w:r>
        <w:rPr>
          <w:rFonts w:hint="eastAsia" w:eastAsia="仿宋_GB2312" w:cs="仿宋_GB2312" w:asciiTheme="minorEastAsia" w:hAnsiTheme="minorEastAsia"/>
          <w:b w:val="0"/>
          <w:bCs w:val="0"/>
          <w:color w:val="auto"/>
          <w:kern w:val="2"/>
          <w:sz w:val="32"/>
          <w:szCs w:val="32"/>
          <w:highlight w:val="none"/>
          <w:lang w:val="en-US" w:eastAsia="zh-CN" w:bidi="ar-SA"/>
        </w:rPr>
        <w:t>完善社会救助“一门受理、协同办理”机制，畅通24小时救助服务热线。推进社会救助“一件事”流程再造，做到“减环节、压时限、优服务”。推广运用湖北政务服务网、“湖北救助通”微信小程序、“鄂汇办”APP等线上申请方式，推动社会救助服务向移动端延伸，实现救助事项“掌上办”、“指尖办”。发放社会救助政策宣传折页，并在各服务窗口和社区公共场所广泛张贴救助政策海报与操作指南，方便不同困难群体尤其是老年人了解和办理业务，跨越智能化应用鸿沟，提升政策知晓度与群众满意度。</w:t>
      </w:r>
    </w:p>
    <w:p w14:paraId="48D2E15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firstLine="643" w:firstLineChars="200"/>
        <w:textAlignment w:val="auto"/>
        <w:outlineLvl w:val="9"/>
        <w:rPr>
          <w:rFonts w:hint="default" w:eastAsia="仿宋_GB2312" w:cs="仿宋_GB2312" w:asciiTheme="minorEastAsia" w:hAnsiTheme="minorEastAsia"/>
          <w:b w:val="0"/>
          <w:bCs w:val="0"/>
          <w:color w:val="auto"/>
          <w:kern w:val="2"/>
          <w:sz w:val="32"/>
          <w:szCs w:val="32"/>
          <w:highlight w:val="none"/>
          <w:lang w:val="en-US" w:eastAsia="zh-CN" w:bidi="ar-SA"/>
        </w:rPr>
      </w:pPr>
      <w:r>
        <w:rPr>
          <w:rFonts w:hint="default" w:ascii="华文楷体" w:hAnsi="华文楷体" w:eastAsia="华文楷体" w:cs="华文楷体"/>
          <w:b/>
          <w:bCs/>
          <w:color w:val="auto"/>
          <w:kern w:val="2"/>
          <w:sz w:val="32"/>
          <w:szCs w:val="32"/>
          <w:highlight w:val="none"/>
          <w:lang w:val="en-US" w:eastAsia="zh-CN" w:bidi="ar-SA"/>
        </w:rPr>
        <w:t>引导社会力量广泛参与</w:t>
      </w:r>
      <w:r>
        <w:rPr>
          <w:rFonts w:hint="eastAsia" w:ascii="华文楷体" w:hAnsi="华文楷体" w:eastAsia="华文楷体" w:cs="华文楷体"/>
          <w:b/>
          <w:bCs/>
          <w:color w:val="auto"/>
          <w:kern w:val="2"/>
          <w:sz w:val="32"/>
          <w:szCs w:val="32"/>
          <w:highlight w:val="none"/>
          <w:lang w:val="en-US" w:eastAsia="zh-CN" w:bidi="ar-SA"/>
        </w:rPr>
        <w:t>。</w:t>
      </w:r>
      <w:r>
        <w:rPr>
          <w:rFonts w:hint="default" w:eastAsia="仿宋_GB2312" w:cs="仿宋_GB2312" w:asciiTheme="minorEastAsia" w:hAnsiTheme="minorEastAsia"/>
          <w:b w:val="0"/>
          <w:bCs w:val="0"/>
          <w:color w:val="auto"/>
          <w:kern w:val="2"/>
          <w:sz w:val="32"/>
          <w:szCs w:val="32"/>
          <w:highlight w:val="none"/>
          <w:lang w:val="en-US" w:eastAsia="zh-CN" w:bidi="ar-SA"/>
        </w:rPr>
        <w:t>完善多元供给机制，鼓励引导</w:t>
      </w:r>
      <w:r>
        <w:rPr>
          <w:rFonts w:hint="eastAsia" w:eastAsia="仿宋_GB2312" w:cs="仿宋_GB2312" w:asciiTheme="minorEastAsia" w:hAnsiTheme="minorEastAsia"/>
          <w:b w:val="0"/>
          <w:bCs w:val="0"/>
          <w:color w:val="auto"/>
          <w:kern w:val="2"/>
          <w:sz w:val="32"/>
          <w:szCs w:val="32"/>
          <w:highlight w:val="none"/>
          <w:lang w:val="en-US" w:eastAsia="zh-CN" w:bidi="ar-SA"/>
        </w:rPr>
        <w:t>社会组织、市场主体和慈善力量积极参与关心关爱和社会救助</w:t>
      </w:r>
      <w:r>
        <w:rPr>
          <w:rFonts w:hint="default" w:eastAsia="仿宋_GB2312" w:cs="仿宋_GB2312" w:asciiTheme="minorEastAsia" w:hAnsiTheme="minorEastAsia"/>
          <w:b w:val="0"/>
          <w:bCs w:val="0"/>
          <w:color w:val="auto"/>
          <w:kern w:val="2"/>
          <w:sz w:val="32"/>
          <w:szCs w:val="32"/>
          <w:highlight w:val="none"/>
          <w:lang w:val="en-US" w:eastAsia="zh-CN" w:bidi="ar-SA"/>
        </w:rPr>
        <w:t>帮扶工作。培育发展专业化社工服务机构与高素质专业人才队伍。健全政府救助与慈善帮扶衔接机制，搭建供需信息精准对接平台，主动向慈善组织推送困难群众需求信息，提升慈善帮扶的及时性与精准度。</w:t>
      </w:r>
    </w:p>
    <w:p w14:paraId="2E4D5198">
      <w:pPr>
        <w:keepNext/>
        <w:keepLines/>
        <w:pageBreakBefore w:val="0"/>
        <w:widowControl w:val="0"/>
        <w:kinsoku/>
        <w:wordWrap/>
        <w:overflowPunct/>
        <w:topLinePunct w:val="0"/>
        <w:autoSpaceDE/>
        <w:autoSpaceDN/>
        <w:bidi w:val="0"/>
        <w:adjustRightInd/>
        <w:snapToGrid/>
        <w:spacing w:before="157" w:beforeLines="50" w:line="360" w:lineRule="auto"/>
        <w:ind w:firstLine="640" w:firstLineChars="200"/>
        <w:textAlignment w:val="auto"/>
        <w:outlineLvl w:val="2"/>
        <w:rPr>
          <w:rFonts w:hint="eastAsia" w:ascii="华文中宋" w:hAnsi="华文中宋" w:eastAsia="华文中宋" w:cs="华文中宋"/>
          <w:color w:val="auto"/>
          <w:sz w:val="32"/>
          <w:szCs w:val="32"/>
          <w:highlight w:val="none"/>
          <w:lang w:val="en-US" w:eastAsia="zh-CN"/>
        </w:rPr>
      </w:pPr>
      <w:bookmarkStart w:id="53" w:name="_Toc6780"/>
      <w:r>
        <w:rPr>
          <w:rFonts w:hint="eastAsia" w:ascii="华文中宋" w:hAnsi="华文中宋" w:eastAsia="华文中宋" w:cs="华文中宋"/>
          <w:color w:val="auto"/>
          <w:sz w:val="32"/>
          <w:szCs w:val="32"/>
          <w:highlight w:val="none"/>
          <w:lang w:val="en-US" w:eastAsia="zh-CN"/>
        </w:rPr>
        <w:t>（三）动态监测救助对象</w:t>
      </w:r>
      <w:bookmarkEnd w:id="53"/>
    </w:p>
    <w:p w14:paraId="1EDA7CB3">
      <w:pPr>
        <w:keepNext w:val="0"/>
        <w:keepLines w:val="0"/>
        <w:pageBreakBefore w:val="0"/>
        <w:numPr>
          <w:ilvl w:val="0"/>
          <w:numId w:val="0"/>
        </w:numPr>
        <w:kinsoku/>
        <w:wordWrap/>
        <w:overflowPunct/>
        <w:topLinePunct w:val="0"/>
        <w:autoSpaceDE/>
        <w:autoSpaceDN/>
        <w:bidi w:val="0"/>
        <w:adjustRightInd/>
        <w:snapToGrid/>
        <w:spacing w:before="157" w:beforeLines="50" w:line="360" w:lineRule="auto"/>
        <w:ind w:firstLine="643" w:firstLineChars="200"/>
        <w:textAlignment w:val="auto"/>
        <w:outlineLvl w:val="9"/>
        <w:rPr>
          <w:rFonts w:hint="default" w:eastAsia="仿宋_GB2312" w:cs="仿宋_GB2312" w:asciiTheme="minorEastAsia" w:hAnsiTheme="minorEastAsia"/>
          <w:b w:val="0"/>
          <w:bCs w:val="0"/>
          <w:color w:val="auto"/>
          <w:kern w:val="2"/>
          <w:sz w:val="32"/>
          <w:szCs w:val="32"/>
          <w:highlight w:val="none"/>
          <w:lang w:val="en-US" w:eastAsia="zh-CN" w:bidi="ar-SA"/>
        </w:rPr>
      </w:pPr>
      <w:r>
        <w:rPr>
          <w:rFonts w:hint="eastAsia" w:ascii="华文楷体" w:hAnsi="华文楷体" w:eastAsia="华文楷体" w:cs="华文楷体"/>
          <w:b/>
          <w:bCs/>
          <w:color w:val="auto"/>
          <w:kern w:val="2"/>
          <w:sz w:val="32"/>
          <w:szCs w:val="32"/>
          <w:highlight w:val="none"/>
          <w:lang w:val="en-US" w:eastAsia="zh-CN" w:bidi="ar-SA"/>
        </w:rPr>
        <w:t>统一认定标准。</w:t>
      </w:r>
      <w:r>
        <w:rPr>
          <w:rFonts w:hint="default" w:eastAsia="仿宋_GB2312" w:cs="仿宋_GB2312" w:asciiTheme="minorEastAsia" w:hAnsiTheme="minorEastAsia"/>
          <w:b w:val="0"/>
          <w:bCs w:val="0"/>
          <w:color w:val="auto"/>
          <w:kern w:val="2"/>
          <w:sz w:val="32"/>
          <w:szCs w:val="32"/>
          <w:highlight w:val="none"/>
          <w:lang w:val="en-US" w:eastAsia="zh-CN" w:bidi="ar-SA"/>
        </w:rPr>
        <w:t>出台全市统一的低收入人口认定办法，全面推行低保告知承诺制，整合规范认定流程、精简申报材料，严把审核认定关口，实现认定工作标准化规范化，提升救助对象认定的科学性、便捷性与精准性。</w:t>
      </w:r>
    </w:p>
    <w:p w14:paraId="67E5963C">
      <w:pPr>
        <w:keepNext w:val="0"/>
        <w:keepLines w:val="0"/>
        <w:pageBreakBefore w:val="0"/>
        <w:numPr>
          <w:ilvl w:val="0"/>
          <w:numId w:val="0"/>
        </w:numPr>
        <w:kinsoku/>
        <w:wordWrap/>
        <w:overflowPunct/>
        <w:topLinePunct w:val="0"/>
        <w:autoSpaceDE/>
        <w:autoSpaceDN/>
        <w:bidi w:val="0"/>
        <w:adjustRightInd/>
        <w:snapToGrid/>
        <w:spacing w:before="157" w:beforeLines="50" w:line="360" w:lineRule="auto"/>
        <w:ind w:firstLine="643" w:firstLineChars="200"/>
        <w:textAlignment w:val="auto"/>
        <w:outlineLvl w:val="9"/>
        <w:rPr>
          <w:rFonts w:hint="eastAsia" w:eastAsia="仿宋_GB2312" w:cs="仿宋_GB2312" w:asciiTheme="minorEastAsia" w:hAnsiTheme="minorEastAsia"/>
          <w:b w:val="0"/>
          <w:bCs w:val="0"/>
          <w:color w:val="auto"/>
          <w:kern w:val="2"/>
          <w:sz w:val="32"/>
          <w:szCs w:val="32"/>
          <w:highlight w:val="none"/>
          <w:lang w:val="en-US" w:eastAsia="zh-CN" w:bidi="ar-SA"/>
        </w:rPr>
      </w:pPr>
      <w:r>
        <w:rPr>
          <w:rFonts w:hint="eastAsia" w:ascii="华文楷体" w:hAnsi="华文楷体" w:eastAsia="华文楷体" w:cs="华文楷体"/>
          <w:b/>
          <w:bCs/>
          <w:color w:val="auto"/>
          <w:kern w:val="2"/>
          <w:sz w:val="32"/>
          <w:szCs w:val="32"/>
          <w:highlight w:val="none"/>
          <w:lang w:val="en-US" w:eastAsia="zh-CN" w:bidi="ar-SA"/>
        </w:rPr>
        <w:t>强化动态监测。</w:t>
      </w:r>
      <w:r>
        <w:rPr>
          <w:rFonts w:hint="default" w:eastAsia="仿宋_GB2312" w:cs="仿宋_GB2312" w:asciiTheme="minorEastAsia" w:hAnsiTheme="minorEastAsia"/>
          <w:b w:val="0"/>
          <w:bCs w:val="0"/>
          <w:color w:val="auto"/>
          <w:kern w:val="2"/>
          <w:sz w:val="32"/>
          <w:szCs w:val="32"/>
          <w:highlight w:val="none"/>
          <w:lang w:val="en-US" w:eastAsia="zh-CN" w:bidi="ar-SA"/>
        </w:rPr>
        <w:t>充分</w:t>
      </w:r>
      <w:r>
        <w:rPr>
          <w:rFonts w:hint="eastAsia" w:eastAsia="仿宋_GB2312" w:cs="仿宋_GB2312" w:asciiTheme="minorEastAsia" w:hAnsiTheme="minorEastAsia"/>
          <w:b w:val="0"/>
          <w:bCs w:val="0"/>
          <w:color w:val="auto"/>
          <w:kern w:val="2"/>
          <w:sz w:val="32"/>
          <w:szCs w:val="32"/>
          <w:highlight w:val="none"/>
          <w:lang w:val="en-US" w:eastAsia="zh-CN" w:bidi="ar-SA"/>
        </w:rPr>
        <w:t>运用</w:t>
      </w:r>
      <w:r>
        <w:rPr>
          <w:rFonts w:hint="default" w:eastAsia="仿宋_GB2312" w:cs="仿宋_GB2312" w:asciiTheme="minorEastAsia" w:hAnsiTheme="minorEastAsia"/>
          <w:b w:val="0"/>
          <w:bCs w:val="0"/>
          <w:color w:val="auto"/>
          <w:kern w:val="2"/>
          <w:sz w:val="32"/>
          <w:szCs w:val="32"/>
          <w:highlight w:val="none"/>
          <w:lang w:val="en-US" w:eastAsia="zh-CN" w:bidi="ar-SA"/>
        </w:rPr>
        <w:t>湖北省低收入人口动态监测信息平台，拓展监测</w:t>
      </w:r>
      <w:r>
        <w:rPr>
          <w:rFonts w:hint="eastAsia" w:eastAsia="仿宋_GB2312" w:cs="仿宋_GB2312" w:asciiTheme="minorEastAsia" w:hAnsiTheme="minorEastAsia"/>
          <w:b w:val="0"/>
          <w:bCs w:val="0"/>
          <w:color w:val="auto"/>
          <w:kern w:val="2"/>
          <w:sz w:val="32"/>
          <w:szCs w:val="32"/>
          <w:highlight w:val="none"/>
          <w:lang w:val="en-US" w:eastAsia="zh-CN" w:bidi="ar-SA"/>
        </w:rPr>
        <w:t>覆盖</w:t>
      </w:r>
      <w:r>
        <w:rPr>
          <w:rFonts w:hint="default" w:eastAsia="仿宋_GB2312" w:cs="仿宋_GB2312" w:asciiTheme="minorEastAsia" w:hAnsiTheme="minorEastAsia"/>
          <w:b w:val="0"/>
          <w:bCs w:val="0"/>
          <w:color w:val="auto"/>
          <w:kern w:val="2"/>
          <w:sz w:val="32"/>
          <w:szCs w:val="32"/>
          <w:highlight w:val="none"/>
          <w:lang w:val="en-US" w:eastAsia="zh-CN" w:bidi="ar-SA"/>
        </w:rPr>
        <w:t>范围，将潜在困难人群纳入</w:t>
      </w:r>
      <w:r>
        <w:rPr>
          <w:rFonts w:hint="eastAsia" w:eastAsia="仿宋_GB2312" w:cs="仿宋_GB2312" w:asciiTheme="minorEastAsia" w:hAnsiTheme="minorEastAsia"/>
          <w:b w:val="0"/>
          <w:bCs w:val="0"/>
          <w:color w:val="auto"/>
          <w:kern w:val="2"/>
          <w:sz w:val="32"/>
          <w:szCs w:val="32"/>
          <w:highlight w:val="none"/>
          <w:lang w:val="en-US" w:eastAsia="zh-CN" w:bidi="ar-SA"/>
        </w:rPr>
        <w:t>监测</w:t>
      </w:r>
      <w:r>
        <w:rPr>
          <w:rFonts w:hint="default" w:eastAsia="仿宋_GB2312" w:cs="仿宋_GB2312" w:asciiTheme="minorEastAsia" w:hAnsiTheme="minorEastAsia"/>
          <w:b w:val="0"/>
          <w:bCs w:val="0"/>
          <w:color w:val="auto"/>
          <w:kern w:val="2"/>
          <w:sz w:val="32"/>
          <w:szCs w:val="32"/>
          <w:highlight w:val="none"/>
          <w:lang w:val="en-US" w:eastAsia="zh-CN" w:bidi="ar-SA"/>
        </w:rPr>
        <w:t>体系。运用大数据、人工智能</w:t>
      </w:r>
      <w:r>
        <w:rPr>
          <w:rFonts w:hint="eastAsia" w:eastAsia="仿宋_GB2312" w:cs="仿宋_GB2312" w:asciiTheme="minorEastAsia" w:hAnsiTheme="minorEastAsia"/>
          <w:b w:val="0"/>
          <w:bCs w:val="0"/>
          <w:color w:val="auto"/>
          <w:kern w:val="2"/>
          <w:sz w:val="32"/>
          <w:szCs w:val="32"/>
          <w:highlight w:val="none"/>
          <w:lang w:val="en-US" w:eastAsia="zh-CN" w:bidi="ar-SA"/>
        </w:rPr>
        <w:t>等先进</w:t>
      </w:r>
      <w:r>
        <w:rPr>
          <w:rFonts w:hint="default" w:eastAsia="仿宋_GB2312" w:cs="仿宋_GB2312" w:asciiTheme="minorEastAsia" w:hAnsiTheme="minorEastAsia"/>
          <w:b w:val="0"/>
          <w:bCs w:val="0"/>
          <w:color w:val="auto"/>
          <w:kern w:val="2"/>
          <w:sz w:val="32"/>
          <w:szCs w:val="32"/>
          <w:highlight w:val="none"/>
          <w:lang w:val="en-US" w:eastAsia="zh-CN" w:bidi="ar-SA"/>
        </w:rPr>
        <w:t>技术</w:t>
      </w:r>
      <w:r>
        <w:rPr>
          <w:rFonts w:hint="eastAsia" w:eastAsia="仿宋_GB2312" w:cs="仿宋_GB2312" w:asciiTheme="minorEastAsia" w:hAnsiTheme="minorEastAsia"/>
          <w:b w:val="0"/>
          <w:bCs w:val="0"/>
          <w:color w:val="auto"/>
          <w:kern w:val="2"/>
          <w:sz w:val="32"/>
          <w:szCs w:val="32"/>
          <w:highlight w:val="none"/>
          <w:lang w:val="en-US" w:eastAsia="zh-CN" w:bidi="ar-SA"/>
        </w:rPr>
        <w:t>构建</w:t>
      </w:r>
      <w:r>
        <w:rPr>
          <w:rFonts w:hint="default" w:eastAsia="仿宋_GB2312" w:cs="仿宋_GB2312" w:asciiTheme="minorEastAsia" w:hAnsiTheme="minorEastAsia"/>
          <w:b w:val="0"/>
          <w:bCs w:val="0"/>
          <w:color w:val="auto"/>
          <w:kern w:val="2"/>
          <w:sz w:val="32"/>
          <w:szCs w:val="32"/>
          <w:highlight w:val="none"/>
          <w:lang w:val="en-US" w:eastAsia="zh-CN" w:bidi="ar-SA"/>
        </w:rPr>
        <w:t>风险评估与预警模型，实现</w:t>
      </w:r>
      <w:r>
        <w:rPr>
          <w:rFonts w:hint="eastAsia" w:eastAsia="仿宋_GB2312" w:cs="仿宋_GB2312" w:asciiTheme="minorEastAsia" w:hAnsiTheme="minorEastAsia"/>
          <w:b w:val="0"/>
          <w:bCs w:val="0"/>
          <w:color w:val="auto"/>
          <w:kern w:val="2"/>
          <w:sz w:val="32"/>
          <w:szCs w:val="32"/>
          <w:highlight w:val="none"/>
          <w:lang w:val="en-US" w:eastAsia="zh-CN" w:bidi="ar-SA"/>
        </w:rPr>
        <w:t>救助服务</w:t>
      </w:r>
      <w:r>
        <w:rPr>
          <w:rFonts w:hint="default" w:eastAsia="仿宋_GB2312" w:cs="仿宋_GB2312" w:asciiTheme="minorEastAsia" w:hAnsiTheme="minorEastAsia"/>
          <w:b w:val="0"/>
          <w:bCs w:val="0"/>
          <w:color w:val="auto"/>
          <w:kern w:val="2"/>
          <w:sz w:val="32"/>
          <w:szCs w:val="32"/>
          <w:highlight w:val="none"/>
          <w:lang w:val="en-US" w:eastAsia="zh-CN" w:bidi="ar-SA"/>
        </w:rPr>
        <w:t>从“人找政策”</w:t>
      </w:r>
      <w:r>
        <w:rPr>
          <w:rFonts w:hint="eastAsia" w:eastAsia="仿宋_GB2312" w:cs="仿宋_GB2312" w:asciiTheme="minorEastAsia" w:hAnsiTheme="minorEastAsia"/>
          <w:b w:val="0"/>
          <w:bCs w:val="0"/>
          <w:color w:val="auto"/>
          <w:kern w:val="2"/>
          <w:sz w:val="32"/>
          <w:szCs w:val="32"/>
          <w:highlight w:val="none"/>
          <w:lang w:val="en-US" w:eastAsia="zh-CN" w:bidi="ar-SA"/>
        </w:rPr>
        <w:t>向</w:t>
      </w:r>
      <w:r>
        <w:rPr>
          <w:rFonts w:hint="default" w:eastAsia="仿宋_GB2312" w:cs="仿宋_GB2312" w:asciiTheme="minorEastAsia" w:hAnsiTheme="minorEastAsia"/>
          <w:b w:val="0"/>
          <w:bCs w:val="0"/>
          <w:color w:val="auto"/>
          <w:kern w:val="2"/>
          <w:sz w:val="32"/>
          <w:szCs w:val="32"/>
          <w:highlight w:val="none"/>
          <w:lang w:val="en-US" w:eastAsia="zh-CN" w:bidi="ar-SA"/>
        </w:rPr>
        <w:t>“政策找人”的主动预防</w:t>
      </w:r>
      <w:r>
        <w:rPr>
          <w:rFonts w:hint="eastAsia" w:eastAsia="仿宋_GB2312" w:cs="仿宋_GB2312" w:asciiTheme="minorEastAsia" w:hAnsiTheme="minorEastAsia"/>
          <w:b w:val="0"/>
          <w:bCs w:val="0"/>
          <w:color w:val="auto"/>
          <w:kern w:val="2"/>
          <w:sz w:val="32"/>
          <w:szCs w:val="32"/>
          <w:highlight w:val="none"/>
          <w:lang w:val="en-US" w:eastAsia="zh-CN" w:bidi="ar-SA"/>
        </w:rPr>
        <w:t>型</w:t>
      </w:r>
      <w:r>
        <w:rPr>
          <w:rFonts w:hint="default" w:eastAsia="仿宋_GB2312" w:cs="仿宋_GB2312" w:asciiTheme="minorEastAsia" w:hAnsiTheme="minorEastAsia"/>
          <w:b w:val="0"/>
          <w:bCs w:val="0"/>
          <w:color w:val="auto"/>
          <w:kern w:val="2"/>
          <w:sz w:val="32"/>
          <w:szCs w:val="32"/>
          <w:highlight w:val="none"/>
          <w:lang w:val="en-US" w:eastAsia="zh-CN" w:bidi="ar-SA"/>
        </w:rPr>
        <w:t>转变</w:t>
      </w:r>
      <w:r>
        <w:rPr>
          <w:rFonts w:hint="eastAsia" w:eastAsia="仿宋_GB2312" w:cs="仿宋_GB2312" w:asciiTheme="minorEastAsia" w:hAnsiTheme="minorEastAsia"/>
          <w:b w:val="0"/>
          <w:bCs w:val="0"/>
          <w:color w:val="auto"/>
          <w:kern w:val="2"/>
          <w:sz w:val="32"/>
          <w:szCs w:val="32"/>
          <w:highlight w:val="none"/>
          <w:lang w:val="en-US" w:eastAsia="zh-CN" w:bidi="ar-SA"/>
        </w:rPr>
        <w:t>。</w:t>
      </w:r>
    </w:p>
    <w:p w14:paraId="656D06B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firstLine="643" w:firstLineChars="200"/>
        <w:textAlignment w:val="auto"/>
        <w:outlineLvl w:val="9"/>
        <w:rPr>
          <w:rFonts w:hint="eastAsia" w:eastAsia="仿宋_GB2312" w:cs="仿宋_GB2312" w:asciiTheme="minorEastAsia" w:hAnsiTheme="minorEastAsia"/>
          <w:b w:val="0"/>
          <w:bCs w:val="0"/>
          <w:color w:val="auto"/>
          <w:kern w:val="2"/>
          <w:sz w:val="32"/>
          <w:szCs w:val="32"/>
          <w:highlight w:val="none"/>
          <w:lang w:val="en-US" w:eastAsia="zh-CN" w:bidi="ar-SA"/>
        </w:rPr>
      </w:pPr>
      <w:r>
        <w:rPr>
          <w:rFonts w:hint="eastAsia" w:ascii="华文楷体" w:hAnsi="华文楷体" w:eastAsia="华文楷体" w:cs="华文楷体"/>
          <w:b/>
          <w:bCs/>
          <w:color w:val="auto"/>
          <w:kern w:val="2"/>
          <w:sz w:val="32"/>
          <w:szCs w:val="32"/>
          <w:highlight w:val="none"/>
          <w:lang w:val="en-US" w:eastAsia="zh-CN" w:bidi="ar-SA"/>
        </w:rPr>
        <w:t>优化闭环管理。</w:t>
      </w:r>
      <w:r>
        <w:rPr>
          <w:rFonts w:hint="eastAsia" w:eastAsia="仿宋_GB2312" w:cs="仿宋_GB2312" w:asciiTheme="minorEastAsia" w:hAnsiTheme="minorEastAsia"/>
          <w:b w:val="0"/>
          <w:bCs w:val="0"/>
          <w:color w:val="auto"/>
          <w:kern w:val="2"/>
          <w:sz w:val="32"/>
          <w:szCs w:val="32"/>
          <w:highlight w:val="none"/>
          <w:lang w:val="en-US" w:eastAsia="zh-CN" w:bidi="ar-SA"/>
        </w:rPr>
        <w:t>健全完善“精准认定、动态监测、分层分类、因需推送、结果反馈”的救助闭环运行机制，强化各环节衔接联动与全程跟踪督办，实现救助服务全流程可追溯、可核查，压实各层级工作责任，持续提升救助服务质效。</w:t>
      </w:r>
    </w:p>
    <w:tbl>
      <w:tblPr>
        <w:tblStyle w:val="19"/>
        <w:tblW w:w="8970" w:type="dxa"/>
        <w:tblInd w:w="0"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8970"/>
      </w:tblGrid>
      <w:tr w14:paraId="24F28021">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618" w:hRule="atLeast"/>
        </w:trPr>
        <w:tc>
          <w:tcPr>
            <w:tcW w:w="897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tcPr>
          <w:p w14:paraId="0451D116">
            <w:pPr>
              <w:pStyle w:val="17"/>
              <w:keepNext w:val="0"/>
              <w:keepLines w:val="0"/>
              <w:pageBreakBefore w:val="0"/>
              <w:widowControl/>
              <w:suppressLineNumbers w:val="0"/>
              <w:kinsoku/>
              <w:wordWrap/>
              <w:overflowPunct/>
              <w:topLinePunct w:val="0"/>
              <w:autoSpaceDE/>
              <w:autoSpaceDN/>
              <w:bidi w:val="0"/>
              <w:adjustRightInd/>
              <w:snapToGrid/>
              <w:spacing w:before="0" w:beforeAutospacing="0" w:after="157" w:afterLines="50" w:afterAutospacing="0" w:line="560" w:lineRule="exact"/>
              <w:ind w:left="0" w:right="0" w:firstLine="561"/>
              <w:jc w:val="center"/>
              <w:textAlignment w:val="auto"/>
              <w:rPr>
                <w:rFonts w:hint="default"/>
                <w:color w:val="auto"/>
                <w:highlight w:val="none"/>
                <w:lang w:val="en-US"/>
              </w:rPr>
            </w:pPr>
            <w:r>
              <w:rPr>
                <w:rFonts w:hint="eastAsia" w:ascii="黑体" w:hAnsi="黑体" w:eastAsia="黑体" w:cs="黑体"/>
                <w:b w:val="0"/>
                <w:bCs w:val="0"/>
                <w:color w:val="auto"/>
                <w:kern w:val="24"/>
                <w:sz w:val="28"/>
                <w:szCs w:val="28"/>
                <w:highlight w:val="none"/>
                <w:lang w:val="en-US" w:eastAsia="zh-CN" w:bidi="ar-SA"/>
                <w14:ligatures w14:val="none"/>
              </w:rPr>
              <w:t xml:space="preserve">专栏三  社会救助能力提升工程  </w:t>
            </w:r>
          </w:p>
        </w:tc>
      </w:tr>
      <w:tr w14:paraId="73CE24BF">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90" w:hRule="atLeast"/>
        </w:trPr>
        <w:tc>
          <w:tcPr>
            <w:tcW w:w="8970" w:type="dxa"/>
            <w:tcBorders>
              <w:top w:val="nil"/>
              <w:left w:val="single" w:color="auto" w:sz="6" w:space="0"/>
              <w:bottom w:val="single" w:color="auto" w:sz="4" w:space="0"/>
              <w:right w:val="single" w:color="auto" w:sz="6" w:space="0"/>
            </w:tcBorders>
            <w:shd w:val="clear" w:color="auto" w:fill="auto"/>
            <w:tcMar>
              <w:left w:w="105" w:type="dxa"/>
              <w:right w:w="105" w:type="dxa"/>
            </w:tcMar>
          </w:tcPr>
          <w:p w14:paraId="5D5EBDAD">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157" w:beforeLines="50" w:line="360" w:lineRule="auto"/>
              <w:ind w:firstLine="480" w:firstLineChars="200"/>
              <w:textAlignment w:val="auto"/>
              <w:rPr>
                <w:rFonts w:hint="eastAsia" w:ascii="黑体" w:hAnsi="黑体" w:eastAsia="黑体" w:cs="黑体"/>
                <w:color w:val="auto"/>
                <w:sz w:val="24"/>
                <w:szCs w:val="24"/>
                <w:highlight w:val="none"/>
                <w:lang w:val="en-US" w:eastAsia="zh-CN"/>
              </w:rPr>
            </w:pPr>
            <w:r>
              <w:rPr>
                <w:rFonts w:hint="eastAsia" w:ascii="黑体" w:hAnsi="黑体" w:eastAsia="黑体" w:cs="黑体"/>
                <w:i w:val="0"/>
                <w:iCs w:val="0"/>
                <w:caps w:val="0"/>
                <w:color w:val="auto"/>
                <w:spacing w:val="0"/>
                <w:sz w:val="24"/>
                <w:szCs w:val="24"/>
                <w:highlight w:val="none"/>
                <w:shd w:val="clear" w:fill="FFFFFF"/>
                <w:lang w:val="en-US" w:eastAsia="zh-CN"/>
              </w:rPr>
              <w:t>1.</w:t>
            </w:r>
            <w:r>
              <w:rPr>
                <w:rFonts w:hint="eastAsia" w:ascii="黑体" w:hAnsi="黑体" w:eastAsia="黑体" w:cs="黑体"/>
                <w:i w:val="0"/>
                <w:iCs w:val="0"/>
                <w:caps w:val="0"/>
                <w:color w:val="auto"/>
                <w:spacing w:val="0"/>
                <w:sz w:val="24"/>
                <w:szCs w:val="24"/>
                <w:highlight w:val="none"/>
                <w:shd w:val="clear" w:fill="FFFFFF"/>
              </w:rPr>
              <w:t>培育“物质+服务”综合型救助主体</w:t>
            </w:r>
          </w:p>
          <w:p w14:paraId="7B20F3B0">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157" w:afterLines="50"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在全市探索培育“物质+服务”的综合型社会救助市场主体，强化社会救助服务供给能力，精准对接特殊困难群体的急难愁盼问题，更好满足困难群众日益增长的多元化、差异化需求，充分保障其基本生活质量与人格尊严。到2030年，市级层面培育3家以上专业机构提供专业服务型社会救助，稳步提升救助对象覆盖率。</w:t>
            </w:r>
          </w:p>
        </w:tc>
      </w:tr>
      <w:bookmarkEnd w:id="43"/>
    </w:tbl>
    <w:p w14:paraId="36710E4C">
      <w:pPr>
        <w:keepNext/>
        <w:keepLines/>
        <w:pageBreakBefore w:val="0"/>
        <w:widowControl w:val="0"/>
        <w:kinsoku/>
        <w:wordWrap/>
        <w:overflowPunct/>
        <w:topLinePunct w:val="0"/>
        <w:autoSpaceDE/>
        <w:autoSpaceDN/>
        <w:bidi w:val="0"/>
        <w:adjustRightInd/>
        <w:snapToGrid/>
        <w:spacing w:before="157" w:beforeLines="50" w:line="360" w:lineRule="auto"/>
        <w:ind w:firstLine="640" w:firstLineChars="200"/>
        <w:textAlignment w:val="auto"/>
        <w:outlineLvl w:val="2"/>
        <w:rPr>
          <w:rFonts w:hint="eastAsia" w:ascii="华文中宋" w:hAnsi="华文中宋" w:eastAsia="华文中宋" w:cs="华文中宋"/>
          <w:color w:val="auto"/>
          <w:sz w:val="32"/>
          <w:szCs w:val="32"/>
          <w:highlight w:val="none"/>
          <w:lang w:val="en-US" w:eastAsia="zh-CN"/>
        </w:rPr>
      </w:pPr>
      <w:bookmarkStart w:id="54" w:name="_Toc11785"/>
      <w:bookmarkStart w:id="55" w:name="_Toc8792"/>
      <w:r>
        <w:rPr>
          <w:rFonts w:hint="eastAsia" w:ascii="华文中宋" w:hAnsi="华文中宋" w:eastAsia="华文中宋" w:cs="华文中宋"/>
          <w:color w:val="auto"/>
          <w:sz w:val="32"/>
          <w:szCs w:val="32"/>
          <w:highlight w:val="none"/>
          <w:lang w:val="en-US" w:eastAsia="zh-CN"/>
        </w:rPr>
        <w:t>（四）推动儿童福利工作提质增效</w:t>
      </w:r>
      <w:bookmarkEnd w:id="54"/>
      <w:bookmarkEnd w:id="55"/>
    </w:p>
    <w:p w14:paraId="1F384FD4">
      <w:pPr>
        <w:widowControl/>
        <w:spacing w:before="156" w:beforeLines="50" w:line="360" w:lineRule="auto"/>
        <w:ind w:firstLine="643" w:firstLineChars="200"/>
        <w:rPr>
          <w:rFonts w:eastAsia="仿宋_GB2312" w:cs="仿宋_GB2312" w:asciiTheme="minorEastAsia" w:hAnsiTheme="minorEastAsia"/>
          <w:color w:val="auto"/>
          <w:sz w:val="32"/>
          <w:szCs w:val="32"/>
          <w:highlight w:val="none"/>
        </w:rPr>
      </w:pPr>
      <w:bookmarkStart w:id="56" w:name="_Toc24835"/>
      <w:r>
        <w:rPr>
          <w:rFonts w:ascii="华文楷体" w:hAnsi="华文楷体" w:eastAsia="华文楷体" w:cs="华文楷体"/>
          <w:b/>
          <w:bCs/>
          <w:color w:val="auto"/>
          <w:sz w:val="32"/>
          <w:szCs w:val="32"/>
          <w:highlight w:val="none"/>
        </w:rPr>
        <w:t>健全政策保障体系</w:t>
      </w:r>
      <w:r>
        <w:rPr>
          <w:rFonts w:hint="eastAsia" w:ascii="华文楷体" w:hAnsi="华文楷体" w:eastAsia="华文楷体" w:cs="华文楷体"/>
          <w:b/>
          <w:bCs/>
          <w:color w:val="auto"/>
          <w:sz w:val="32"/>
          <w:szCs w:val="32"/>
          <w:highlight w:val="none"/>
        </w:rPr>
        <w:t>。</w:t>
      </w:r>
      <w:r>
        <w:rPr>
          <w:rFonts w:hint="eastAsia" w:eastAsia="仿宋_GB2312" w:cs="仿宋_GB2312" w:asciiTheme="minorEastAsia" w:hAnsiTheme="minorEastAsia"/>
          <w:color w:val="auto"/>
          <w:sz w:val="32"/>
          <w:szCs w:val="32"/>
          <w:highlight w:val="none"/>
        </w:rPr>
        <w:t>进一步推动</w:t>
      </w:r>
      <w:r>
        <w:rPr>
          <w:rFonts w:eastAsia="仿宋_GB2312" w:cs="仿宋_GB2312" w:asciiTheme="minorEastAsia" w:hAnsiTheme="minorEastAsia"/>
          <w:color w:val="auto"/>
          <w:sz w:val="32"/>
          <w:szCs w:val="32"/>
          <w:highlight w:val="none"/>
        </w:rPr>
        <w:t>完善本地困境儿童分类保障制度</w:t>
      </w:r>
      <w:r>
        <w:rPr>
          <w:rFonts w:hint="eastAsia" w:eastAsia="仿宋_GB2312" w:cs="仿宋_GB2312" w:asciiTheme="minorEastAsia" w:hAnsiTheme="minorEastAsia"/>
          <w:color w:val="auto"/>
          <w:sz w:val="32"/>
          <w:szCs w:val="32"/>
          <w:highlight w:val="none"/>
        </w:rPr>
        <w:t>，比照孤儿保障标准探索</w:t>
      </w:r>
      <w:r>
        <w:rPr>
          <w:rFonts w:eastAsia="仿宋_GB2312" w:cs="仿宋_GB2312" w:asciiTheme="minorEastAsia" w:hAnsiTheme="minorEastAsia"/>
          <w:color w:val="auto"/>
          <w:sz w:val="32"/>
          <w:szCs w:val="32"/>
          <w:highlight w:val="none"/>
        </w:rPr>
        <w:t>事实无人抚养儿童医疗保障救助政策</w:t>
      </w:r>
      <w:r>
        <w:rPr>
          <w:rFonts w:hint="eastAsia" w:eastAsia="仿宋_GB2312" w:cs="仿宋_GB2312" w:asciiTheme="minorEastAsia" w:hAnsiTheme="minorEastAsia"/>
          <w:color w:val="auto"/>
          <w:sz w:val="32"/>
          <w:szCs w:val="32"/>
          <w:highlight w:val="none"/>
        </w:rPr>
        <w:t>实施</w:t>
      </w:r>
      <w:r>
        <w:rPr>
          <w:rFonts w:eastAsia="仿宋_GB2312" w:cs="仿宋_GB2312" w:asciiTheme="minorEastAsia" w:hAnsiTheme="minorEastAsia"/>
          <w:color w:val="auto"/>
          <w:sz w:val="32"/>
          <w:szCs w:val="32"/>
          <w:highlight w:val="none"/>
        </w:rPr>
        <w:t>。完善针对流动儿童、留守儿童及事实无人抚养儿童的关爱保护实施方案</w:t>
      </w:r>
      <w:r>
        <w:rPr>
          <w:rFonts w:hint="eastAsia" w:eastAsia="仿宋_GB2312" w:cs="仿宋_GB2312" w:asciiTheme="minorEastAsia" w:hAnsiTheme="minorEastAsia"/>
          <w:color w:val="auto"/>
          <w:sz w:val="32"/>
          <w:szCs w:val="32"/>
          <w:highlight w:val="none"/>
          <w:lang w:eastAsia="zh-CN"/>
        </w:rPr>
        <w:t>。</w:t>
      </w:r>
      <w:r>
        <w:rPr>
          <w:rFonts w:eastAsia="仿宋_GB2312" w:cs="仿宋_GB2312" w:asciiTheme="minorEastAsia" w:hAnsiTheme="minorEastAsia"/>
          <w:color w:val="auto"/>
          <w:sz w:val="32"/>
          <w:szCs w:val="32"/>
          <w:highlight w:val="none"/>
        </w:rPr>
        <w:t>着力构建覆盖基本生活、医疗康复、教育权益、心理健康及兜底监护等核心需求的分类保障政策框架</w:t>
      </w:r>
      <w:r>
        <w:rPr>
          <w:rFonts w:hint="eastAsia" w:eastAsia="仿宋_GB2312" w:cs="仿宋_GB2312" w:asciiTheme="minorEastAsia" w:hAnsiTheme="minorEastAsia"/>
          <w:color w:val="auto"/>
          <w:sz w:val="32"/>
          <w:szCs w:val="32"/>
          <w:highlight w:val="none"/>
        </w:rPr>
        <w:t>。</w:t>
      </w:r>
    </w:p>
    <w:p w14:paraId="1F395F92">
      <w:pPr>
        <w:widowControl/>
        <w:spacing w:before="156" w:beforeLines="50" w:line="360" w:lineRule="auto"/>
        <w:ind w:firstLine="643" w:firstLineChars="200"/>
        <w:rPr>
          <w:rFonts w:eastAsia="仿宋_GB2312" w:cs="仿宋_GB2312" w:asciiTheme="minorEastAsia" w:hAnsiTheme="minorEastAsia"/>
          <w:color w:val="auto"/>
          <w:sz w:val="32"/>
          <w:szCs w:val="32"/>
          <w:highlight w:val="none"/>
        </w:rPr>
      </w:pPr>
      <w:r>
        <w:rPr>
          <w:rFonts w:ascii="华文楷体" w:hAnsi="华文楷体" w:eastAsia="华文楷体" w:cs="华文楷体"/>
          <w:b/>
          <w:bCs/>
          <w:color w:val="auto"/>
          <w:sz w:val="32"/>
          <w:szCs w:val="32"/>
          <w:highlight w:val="none"/>
        </w:rPr>
        <w:t>加大兜底保障力度</w:t>
      </w:r>
      <w:r>
        <w:rPr>
          <w:rFonts w:hint="eastAsia" w:ascii="华文楷体" w:hAnsi="华文楷体" w:eastAsia="华文楷体" w:cs="华文楷体"/>
          <w:b/>
          <w:bCs/>
          <w:color w:val="auto"/>
          <w:sz w:val="32"/>
          <w:szCs w:val="32"/>
          <w:highlight w:val="none"/>
        </w:rPr>
        <w:t>。</w:t>
      </w:r>
      <w:r>
        <w:rPr>
          <w:rFonts w:eastAsia="仿宋_GB2312" w:cs="仿宋_GB2312" w:asciiTheme="minorEastAsia" w:hAnsiTheme="minorEastAsia"/>
          <w:color w:val="auto"/>
          <w:sz w:val="32"/>
          <w:szCs w:val="32"/>
          <w:highlight w:val="none"/>
        </w:rPr>
        <w:t>落实孤儿、事实无人抚养儿童基本生活保障标准动态调整机制，加强与低保标准的统筹衔接</w:t>
      </w:r>
      <w:r>
        <w:rPr>
          <w:rFonts w:hint="eastAsia" w:eastAsia="仿宋_GB2312" w:cs="仿宋_GB2312" w:asciiTheme="minorEastAsia" w:hAnsiTheme="minorEastAsia"/>
          <w:color w:val="auto"/>
          <w:sz w:val="32"/>
          <w:szCs w:val="32"/>
          <w:highlight w:val="none"/>
        </w:rPr>
        <w:t>。</w:t>
      </w:r>
      <w:r>
        <w:rPr>
          <w:rFonts w:eastAsia="仿宋_GB2312" w:cs="仿宋_GB2312" w:asciiTheme="minorEastAsia" w:hAnsiTheme="minorEastAsia"/>
          <w:color w:val="auto"/>
          <w:sz w:val="32"/>
          <w:szCs w:val="32"/>
          <w:highlight w:val="none"/>
        </w:rPr>
        <w:t>全面推进委托照护协议签订，实现监护责任落实全覆盖。逐步建立从家庭预防、早期发现到监护干预、兜底监护的全链条关爱保护体系</w:t>
      </w:r>
      <w:r>
        <w:rPr>
          <w:rFonts w:hint="eastAsia" w:eastAsia="仿宋_GB2312" w:cs="仿宋_GB2312" w:asciiTheme="minorEastAsia" w:hAnsiTheme="minorEastAsia"/>
          <w:color w:val="auto"/>
          <w:sz w:val="32"/>
          <w:szCs w:val="32"/>
          <w:highlight w:val="none"/>
        </w:rPr>
        <w:t>。</w:t>
      </w:r>
      <w:r>
        <w:rPr>
          <w:rFonts w:eastAsia="仿宋_GB2312" w:cs="仿宋_GB2312" w:asciiTheme="minorEastAsia" w:hAnsiTheme="minorEastAsia"/>
          <w:color w:val="auto"/>
          <w:sz w:val="32"/>
          <w:szCs w:val="32"/>
          <w:highlight w:val="none"/>
        </w:rPr>
        <w:t>通过购买专业服务，为留守儿童、困境儿童提供心理疏导、精神抚慰等个性化支持。规范风险筛查评估，加强宣传教育，健全危机干预与转介帮扶机制</w:t>
      </w:r>
      <w:r>
        <w:rPr>
          <w:rFonts w:hint="eastAsia" w:eastAsia="仿宋_GB2312" w:cs="仿宋_GB2312" w:asciiTheme="minorEastAsia" w:hAnsiTheme="minorEastAsia"/>
          <w:color w:val="auto"/>
          <w:sz w:val="32"/>
          <w:szCs w:val="32"/>
          <w:highlight w:val="none"/>
        </w:rPr>
        <w:t>。</w:t>
      </w:r>
    </w:p>
    <w:p w14:paraId="3D4F65D2">
      <w:pPr>
        <w:widowControl/>
        <w:spacing w:before="156" w:beforeLines="50" w:line="360" w:lineRule="auto"/>
        <w:ind w:firstLine="643" w:firstLineChars="200"/>
        <w:rPr>
          <w:rFonts w:hint="eastAsia" w:eastAsia="仿宋_GB2312" w:cs="仿宋_GB2312" w:asciiTheme="minorEastAsia" w:hAnsiTheme="minorEastAsia"/>
          <w:color w:val="auto"/>
          <w:sz w:val="32"/>
          <w:szCs w:val="32"/>
          <w:highlight w:val="none"/>
        </w:rPr>
      </w:pPr>
      <w:r>
        <w:rPr>
          <w:rFonts w:hint="eastAsia" w:ascii="华文楷体" w:hAnsi="华文楷体" w:eastAsia="华文楷体" w:cs="华文楷体"/>
          <w:b/>
          <w:bCs/>
          <w:color w:val="auto"/>
          <w:sz w:val="32"/>
          <w:szCs w:val="32"/>
          <w:highlight w:val="none"/>
        </w:rPr>
        <w:t>加强未成年人救助保护机构能力建设。</w:t>
      </w:r>
      <w:r>
        <w:rPr>
          <w:rFonts w:eastAsia="仿宋_GB2312" w:cs="仿宋_GB2312" w:asciiTheme="minorEastAsia" w:hAnsiTheme="minorEastAsia"/>
          <w:color w:val="auto"/>
          <w:sz w:val="32"/>
          <w:szCs w:val="32"/>
          <w:highlight w:val="none"/>
        </w:rPr>
        <w:t>实现乡镇（街道）儿童督导员、村（居）儿童主任配备全覆盖。组织开展全员培训，推动完善儿童主任等基层人员的激励保障措施</w:t>
      </w:r>
      <w:r>
        <w:rPr>
          <w:rFonts w:hint="eastAsia" w:eastAsia="仿宋_GB2312" w:cs="仿宋_GB2312" w:asciiTheme="minorEastAsia" w:hAnsiTheme="minorEastAsia"/>
          <w:color w:val="auto"/>
          <w:sz w:val="32"/>
          <w:szCs w:val="32"/>
          <w:highlight w:val="none"/>
        </w:rPr>
        <w:t>。</w:t>
      </w:r>
      <w:r>
        <w:rPr>
          <w:rFonts w:eastAsia="仿宋_GB2312" w:cs="仿宋_GB2312" w:asciiTheme="minorEastAsia" w:hAnsiTheme="minorEastAsia"/>
          <w:color w:val="auto"/>
          <w:sz w:val="32"/>
          <w:szCs w:val="32"/>
          <w:highlight w:val="none"/>
        </w:rPr>
        <w:t>加强未成年人救助保护机构实体化、规范化建设，常态化开展困境儿童走访摸排</w:t>
      </w:r>
      <w:r>
        <w:rPr>
          <w:rFonts w:hint="eastAsia" w:eastAsia="仿宋_GB2312" w:cs="仿宋_GB2312" w:asciiTheme="minorEastAsia" w:hAnsiTheme="minorEastAsia"/>
          <w:color w:val="auto"/>
          <w:sz w:val="32"/>
          <w:szCs w:val="32"/>
          <w:highlight w:val="none"/>
        </w:rPr>
        <w:t>与</w:t>
      </w:r>
      <w:r>
        <w:rPr>
          <w:rFonts w:eastAsia="仿宋_GB2312" w:cs="仿宋_GB2312" w:asciiTheme="minorEastAsia" w:hAnsiTheme="minorEastAsia"/>
          <w:color w:val="auto"/>
          <w:sz w:val="32"/>
          <w:szCs w:val="32"/>
          <w:highlight w:val="none"/>
        </w:rPr>
        <w:t>动态监测，针对重点个案提供法律援助、个案会商等精准帮扶</w:t>
      </w:r>
      <w:r>
        <w:rPr>
          <w:rFonts w:hint="eastAsia" w:eastAsia="仿宋_GB2312" w:cs="仿宋_GB2312" w:asciiTheme="minorEastAsia" w:hAnsiTheme="minorEastAsia"/>
          <w:color w:val="auto"/>
          <w:sz w:val="32"/>
          <w:szCs w:val="32"/>
          <w:highlight w:val="none"/>
        </w:rPr>
        <w:t>。</w:t>
      </w:r>
      <w:r>
        <w:rPr>
          <w:rFonts w:eastAsia="仿宋_GB2312" w:cs="仿宋_GB2312" w:asciiTheme="minorEastAsia" w:hAnsiTheme="minorEastAsia"/>
          <w:color w:val="auto"/>
          <w:sz w:val="32"/>
          <w:szCs w:val="32"/>
          <w:highlight w:val="none"/>
        </w:rPr>
        <w:t>推动乡镇（街道）未成年人保护工作站全覆盖，统筹好“儿童之家”、青少年活动中心等各类阵地资源，有效发挥生活帮扶、监护支持等功能</w:t>
      </w:r>
      <w:r>
        <w:rPr>
          <w:rFonts w:hint="eastAsia" w:eastAsia="仿宋_GB2312" w:cs="仿宋_GB2312" w:asciiTheme="minorEastAsia" w:hAnsiTheme="minorEastAsia"/>
          <w:color w:val="auto"/>
          <w:sz w:val="32"/>
          <w:szCs w:val="32"/>
          <w:highlight w:val="none"/>
        </w:rPr>
        <w:t>。</w:t>
      </w:r>
    </w:p>
    <w:p w14:paraId="41186652">
      <w:pPr>
        <w:widowControl/>
        <w:spacing w:before="156" w:beforeLines="50" w:line="360" w:lineRule="auto"/>
        <w:ind w:firstLine="643" w:firstLineChars="200"/>
        <w:outlineLvl w:val="9"/>
        <w:rPr>
          <w:rFonts w:hint="eastAsia" w:ascii="仿宋_GB2312" w:hAnsi="仿宋_GB2312" w:eastAsia="仿宋_GB2312" w:cs="仿宋_GB2312"/>
          <w:color w:val="auto"/>
          <w:kern w:val="2"/>
          <w:sz w:val="32"/>
          <w:szCs w:val="32"/>
          <w:highlight w:val="none"/>
          <w:lang w:val="en-US" w:eastAsia="zh-CN" w:bidi="ar-SA"/>
        </w:rPr>
      </w:pPr>
      <w:r>
        <w:rPr>
          <w:rFonts w:hint="eastAsia" w:ascii="华文楷体" w:hAnsi="华文楷体" w:eastAsia="华文楷体" w:cs="仿宋_GB2312"/>
          <w:b/>
          <w:color w:val="auto"/>
          <w:sz w:val="32"/>
          <w:szCs w:val="32"/>
          <w:highlight w:val="none"/>
        </w:rPr>
        <w:t>推进儿童福利机构优化提质与开门办院。</w:t>
      </w:r>
      <w:r>
        <w:rPr>
          <w:rFonts w:hint="eastAsia" w:ascii="仿宋_GB2312" w:hAnsi="仿宋_GB2312" w:eastAsia="仿宋_GB2312" w:cs="仿宋_GB2312"/>
          <w:color w:val="auto"/>
          <w:kern w:val="2"/>
          <w:sz w:val="32"/>
          <w:szCs w:val="32"/>
          <w:highlight w:val="none"/>
          <w:lang w:val="en-US" w:eastAsia="zh-CN" w:bidi="ar-SA"/>
        </w:rPr>
        <w:t>以深化“养、治、康、教、社”一体化服务为核心，积极引入并依托专业力量重点拓展康复医疗、日间照料、家长喘息等服务，为孤独症儿童配备标准化康复训练室、专业康复设备及个性化课程，针对孤独症家庭开展专项喘息服务，缓解监护压力切实提升康复服务精准度；依托校外心理辅导站及服务热线开展专业心理服务；开设寒暑期公益托管班为留守、困境儿童提供安置照料及学业辅导；联动高校打造社会实践基地、引进志愿者开展日间照料、艺术培训等服务，推动服务覆盖全市困境儿童。同时，着力与残联、医院、特教学校、社区、社工机构等建立稳固的个案转介机制与协作网络，形成跨部门、跨领域的全链条协作体系，构建多元协同的儿童福利服务新格局，推动儿童福利工作从“生存型保障”向“发展型服务”升级。</w:t>
      </w:r>
    </w:p>
    <w:p w14:paraId="3B89B7F4">
      <w:pPr>
        <w:keepNext w:val="0"/>
        <w:keepLines w:val="0"/>
        <w:pageBreakBefore w:val="0"/>
        <w:widowControl/>
        <w:suppressLineNumbers w:val="0"/>
        <w:kinsoku/>
        <w:wordWrap/>
        <w:overflowPunct/>
        <w:topLinePunct w:val="0"/>
        <w:autoSpaceDE/>
        <w:autoSpaceDN/>
        <w:bidi w:val="0"/>
        <w:adjustRightInd/>
        <w:snapToGrid/>
        <w:spacing w:before="157" w:beforeLines="50" w:line="360" w:lineRule="auto"/>
        <w:ind w:firstLine="640" w:firstLineChars="200"/>
        <w:jc w:val="both"/>
        <w:textAlignment w:val="auto"/>
        <w:outlineLvl w:val="2"/>
        <w:rPr>
          <w:rFonts w:ascii="华文中宋" w:hAnsi="华文中宋" w:eastAsia="华文中宋" w:cs="华文中宋"/>
          <w:color w:val="auto"/>
          <w:sz w:val="32"/>
          <w:szCs w:val="32"/>
          <w:highlight w:val="none"/>
        </w:rPr>
      </w:pPr>
      <w:bookmarkStart w:id="57" w:name="_Toc11369"/>
      <w:r>
        <w:rPr>
          <w:rFonts w:hint="eastAsia" w:ascii="华文中宋" w:hAnsi="华文中宋" w:eastAsia="华文中宋" w:cs="华文中宋"/>
          <w:color w:val="auto"/>
          <w:sz w:val="32"/>
          <w:szCs w:val="32"/>
          <w:highlight w:val="none"/>
        </w:rPr>
        <w:t>（</w:t>
      </w:r>
      <w:r>
        <w:rPr>
          <w:rFonts w:hint="eastAsia" w:ascii="华文中宋" w:hAnsi="华文中宋" w:eastAsia="华文中宋" w:cs="华文中宋"/>
          <w:color w:val="auto"/>
          <w:sz w:val="32"/>
          <w:szCs w:val="32"/>
          <w:highlight w:val="none"/>
          <w:lang w:val="en-US" w:eastAsia="zh-CN"/>
        </w:rPr>
        <w:t>五</w:t>
      </w:r>
      <w:r>
        <w:rPr>
          <w:rFonts w:hint="eastAsia" w:ascii="华文中宋" w:hAnsi="华文中宋" w:eastAsia="华文中宋" w:cs="华文中宋"/>
          <w:color w:val="auto"/>
          <w:sz w:val="32"/>
          <w:szCs w:val="32"/>
          <w:highlight w:val="none"/>
        </w:rPr>
        <w:t>）完善残疾人社会保障制度</w:t>
      </w:r>
      <w:bookmarkEnd w:id="56"/>
      <w:bookmarkEnd w:id="57"/>
    </w:p>
    <w:p w14:paraId="7367B552">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360" w:lineRule="auto"/>
        <w:ind w:firstLine="640" w:firstLineChars="200"/>
        <w:jc w:val="both"/>
        <w:textAlignment w:val="auto"/>
        <w:outlineLvl w:val="9"/>
        <w:rPr>
          <w:rFonts w:hint="eastAsia" w:ascii="国标仿宋" w:hAnsi="国标仿宋" w:eastAsia="国标仿宋" w:cs="国标仿宋"/>
          <w:color w:val="auto"/>
          <w:sz w:val="32"/>
          <w:szCs w:val="32"/>
          <w:highlight w:val="none"/>
          <w:lang w:val="en-US" w:eastAsia="zh-CN"/>
        </w:rPr>
      </w:pPr>
      <w:r>
        <w:rPr>
          <w:rFonts w:hint="eastAsia" w:ascii="仿宋_GB2312" w:hAnsi="仿宋_GB2312" w:eastAsia="仿宋_GB2312" w:cs="仿宋_GB2312"/>
          <w:color w:val="auto"/>
          <w:kern w:val="2"/>
          <w:sz w:val="32"/>
          <w:szCs w:val="32"/>
          <w:highlight w:val="none"/>
          <w:lang w:val="en-US" w:eastAsia="zh-CN" w:bidi="ar-SA"/>
        </w:rPr>
        <w:t>完善残疾人“两项补贴”制度，做好困难残疾人生活补贴和重度残疾人护理补贴的精准发放管理，建立补助标准动态调整机制，确保政策精准落实。全面推进精神障碍社区康复服务。在“十五五”期间，实现精神障碍患者社区康复服务全覆盖，依托“精康融合行动”，在每个乡镇至少建设1处社区康复服务中心，逐步构建布局合理、功能完善的社区康复网络。</w:t>
      </w:r>
    </w:p>
    <w:tbl>
      <w:tblPr>
        <w:tblStyle w:val="19"/>
        <w:tblW w:w="8970" w:type="dxa"/>
        <w:tblInd w:w="0"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8970"/>
      </w:tblGrid>
      <w:tr w14:paraId="2142962C">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90" w:hRule="atLeast"/>
        </w:trPr>
        <w:tc>
          <w:tcPr>
            <w:tcW w:w="897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tcPr>
          <w:p w14:paraId="0510271F">
            <w:pPr>
              <w:pStyle w:val="17"/>
              <w:keepNext w:val="0"/>
              <w:keepLines w:val="0"/>
              <w:pageBreakBefore w:val="0"/>
              <w:widowControl/>
              <w:suppressLineNumbers w:val="0"/>
              <w:kinsoku/>
              <w:wordWrap/>
              <w:overflowPunct/>
              <w:topLinePunct w:val="0"/>
              <w:autoSpaceDE/>
              <w:autoSpaceDN/>
              <w:bidi w:val="0"/>
              <w:adjustRightInd/>
              <w:snapToGrid/>
              <w:spacing w:before="0" w:beforeAutospacing="0" w:after="157" w:afterLines="50" w:afterAutospacing="0" w:line="560" w:lineRule="exact"/>
              <w:ind w:left="0" w:right="0" w:firstLine="561"/>
              <w:jc w:val="center"/>
              <w:textAlignment w:val="auto"/>
              <w:rPr>
                <w:rFonts w:hint="default"/>
                <w:color w:val="auto"/>
                <w:highlight w:val="none"/>
                <w:lang w:val="en-US"/>
              </w:rPr>
            </w:pPr>
            <w:r>
              <w:rPr>
                <w:rFonts w:hint="eastAsia" w:ascii="黑体" w:hAnsi="黑体" w:eastAsia="黑体" w:cs="黑体"/>
                <w:b w:val="0"/>
                <w:bCs w:val="0"/>
                <w:color w:val="auto"/>
                <w:kern w:val="24"/>
                <w:sz w:val="28"/>
                <w:szCs w:val="28"/>
                <w:highlight w:val="none"/>
                <w:lang w:val="en-US" w:eastAsia="zh-CN" w:bidi="ar-SA"/>
                <w14:ligatures w14:val="none"/>
              </w:rPr>
              <w:t xml:space="preserve">专栏四  残疾人福利设施建设工程   </w:t>
            </w:r>
          </w:p>
        </w:tc>
      </w:tr>
      <w:tr w14:paraId="28870504">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217" w:hRule="atLeast"/>
        </w:trPr>
        <w:tc>
          <w:tcPr>
            <w:tcW w:w="8970" w:type="dxa"/>
            <w:tcBorders>
              <w:top w:val="single" w:color="auto" w:sz="4" w:space="0"/>
              <w:left w:val="single" w:color="auto" w:sz="4" w:space="0"/>
              <w:bottom w:val="single" w:color="auto" w:sz="4" w:space="0"/>
              <w:right w:val="single" w:color="auto" w:sz="4" w:space="0"/>
            </w:tcBorders>
            <w:shd w:val="clear" w:color="auto" w:fill="auto"/>
            <w:tcMar>
              <w:left w:w="105" w:type="dxa"/>
              <w:right w:w="105" w:type="dxa"/>
            </w:tcMar>
          </w:tcPr>
          <w:p w14:paraId="32883A5A">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157" w:beforeLines="50" w:line="360" w:lineRule="auto"/>
              <w:ind w:firstLine="480" w:firstLineChars="200"/>
              <w:textAlignment w:val="auto"/>
              <w:rPr>
                <w:rFonts w:hint="eastAsia" w:ascii="黑体" w:hAnsi="黑体" w:eastAsia="黑体" w:cs="黑体"/>
                <w:b w:val="0"/>
                <w:bCs w:val="0"/>
                <w:color w:val="auto"/>
                <w:sz w:val="24"/>
                <w:szCs w:val="24"/>
                <w:highlight w:val="none"/>
                <w:lang w:val="en-US" w:eastAsia="zh-CN"/>
              </w:rPr>
            </w:pPr>
            <w:r>
              <w:rPr>
                <w:rFonts w:hint="eastAsia" w:ascii="黑体" w:hAnsi="黑体" w:eastAsia="黑体" w:cs="黑体"/>
                <w:b w:val="0"/>
                <w:bCs w:val="0"/>
                <w:color w:val="auto"/>
                <w:sz w:val="24"/>
                <w:szCs w:val="24"/>
                <w:highlight w:val="none"/>
                <w:lang w:val="en-US" w:eastAsia="zh-CN"/>
              </w:rPr>
              <w:t>1.精神障碍患者社区康复全覆盖工程</w:t>
            </w:r>
          </w:p>
          <w:p w14:paraId="2BF5731D">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i w:val="0"/>
                <w:iCs w:val="0"/>
                <w:caps w:val="0"/>
                <w:color w:val="auto"/>
                <w:spacing w:val="0"/>
                <w:sz w:val="24"/>
                <w:szCs w:val="24"/>
                <w:highlight w:val="none"/>
                <w:shd w:val="clear" w:fill="FFFFFF"/>
              </w:rPr>
              <w:t>总投资</w:t>
            </w:r>
            <w:r>
              <w:rPr>
                <w:rFonts w:hint="eastAsia" w:ascii="宋体" w:hAnsi="宋体" w:eastAsia="宋体" w:cs="宋体"/>
                <w:i w:val="0"/>
                <w:iCs w:val="0"/>
                <w:caps w:val="0"/>
                <w:color w:val="auto"/>
                <w:spacing w:val="0"/>
                <w:sz w:val="24"/>
                <w:szCs w:val="24"/>
                <w:highlight w:val="none"/>
                <w:shd w:val="clear" w:fill="FFFFFF"/>
                <w:lang w:val="en-US" w:eastAsia="zh-CN"/>
              </w:rPr>
              <w:t>460</w:t>
            </w:r>
            <w:r>
              <w:rPr>
                <w:rFonts w:hint="eastAsia" w:ascii="宋体" w:hAnsi="宋体" w:eastAsia="宋体" w:cs="宋体"/>
                <w:i w:val="0"/>
                <w:iCs w:val="0"/>
                <w:caps w:val="0"/>
                <w:color w:val="auto"/>
                <w:spacing w:val="0"/>
                <w:sz w:val="24"/>
                <w:szCs w:val="24"/>
                <w:highlight w:val="none"/>
                <w:shd w:val="clear" w:fill="FFFFFF"/>
              </w:rPr>
              <w:t>万元</w:t>
            </w:r>
            <w:r>
              <w:rPr>
                <w:rFonts w:hint="eastAsia" w:ascii="宋体" w:hAnsi="宋体" w:eastAsia="宋体" w:cs="宋体"/>
                <w:i w:val="0"/>
                <w:iCs w:val="0"/>
                <w:caps w:val="0"/>
                <w:color w:val="auto"/>
                <w:spacing w:val="0"/>
                <w:sz w:val="24"/>
                <w:szCs w:val="24"/>
                <w:highlight w:val="none"/>
                <w:shd w:val="clear" w:fill="FFFFFF"/>
                <w:lang w:eastAsia="zh-CN"/>
              </w:rPr>
              <w:t>，</w:t>
            </w:r>
            <w:r>
              <w:rPr>
                <w:rFonts w:hint="eastAsia" w:ascii="宋体" w:hAnsi="宋体" w:eastAsia="宋体" w:cs="宋体"/>
                <w:i w:val="0"/>
                <w:iCs w:val="0"/>
                <w:caps w:val="0"/>
                <w:color w:val="auto"/>
                <w:spacing w:val="0"/>
                <w:sz w:val="24"/>
                <w:szCs w:val="24"/>
                <w:highlight w:val="none"/>
                <w:shd w:val="clear" w:fill="FFFFFF"/>
              </w:rPr>
              <w:t>计划在“十五五”期间，按照每个乡镇至少建设</w:t>
            </w:r>
            <w:r>
              <w:rPr>
                <w:rFonts w:hint="eastAsia" w:ascii="宋体" w:hAnsi="宋体" w:eastAsia="宋体" w:cs="宋体"/>
                <w:i w:val="0"/>
                <w:iCs w:val="0"/>
                <w:caps w:val="0"/>
                <w:color w:val="auto"/>
                <w:spacing w:val="0"/>
                <w:sz w:val="24"/>
                <w:szCs w:val="24"/>
                <w:highlight w:val="none"/>
                <w:shd w:val="clear" w:fill="FFFFFF"/>
                <w:lang w:val="en-US" w:eastAsia="zh-CN"/>
              </w:rPr>
              <w:t>1</w:t>
            </w:r>
            <w:r>
              <w:rPr>
                <w:rFonts w:hint="eastAsia" w:ascii="宋体" w:hAnsi="宋体" w:eastAsia="宋体" w:cs="宋体"/>
                <w:i w:val="0"/>
                <w:iCs w:val="0"/>
                <w:caps w:val="0"/>
                <w:color w:val="auto"/>
                <w:spacing w:val="0"/>
                <w:sz w:val="24"/>
                <w:szCs w:val="24"/>
                <w:highlight w:val="none"/>
                <w:shd w:val="clear" w:fill="FFFFFF"/>
              </w:rPr>
              <w:t>处社区康复服务中心的标准，实现辖区内服务网络全覆盖</w:t>
            </w:r>
            <w:r>
              <w:rPr>
                <w:rFonts w:hint="eastAsia" w:ascii="宋体" w:hAnsi="宋体" w:eastAsia="宋体" w:cs="宋体"/>
                <w:i w:val="0"/>
                <w:iCs w:val="0"/>
                <w:caps w:val="0"/>
                <w:color w:val="auto"/>
                <w:spacing w:val="0"/>
                <w:sz w:val="24"/>
                <w:szCs w:val="24"/>
                <w:highlight w:val="none"/>
                <w:shd w:val="clear" w:fill="FFFFFF"/>
                <w:lang w:eastAsia="zh-CN"/>
              </w:rPr>
              <w:t>。</w:t>
            </w:r>
            <w:r>
              <w:rPr>
                <w:rFonts w:hint="eastAsia" w:ascii="宋体" w:hAnsi="宋体" w:eastAsia="宋体" w:cs="宋体"/>
                <w:i w:val="0"/>
                <w:iCs w:val="0"/>
                <w:caps w:val="0"/>
                <w:color w:val="auto"/>
                <w:spacing w:val="0"/>
                <w:sz w:val="24"/>
                <w:szCs w:val="24"/>
                <w:highlight w:val="none"/>
                <w:shd w:val="clear" w:fill="FFFFFF"/>
                <w:lang w:val="en-US" w:eastAsia="zh-CN"/>
              </w:rPr>
              <w:t>本项目</w:t>
            </w:r>
            <w:r>
              <w:rPr>
                <w:rFonts w:hint="eastAsia" w:ascii="宋体" w:hAnsi="宋体" w:eastAsia="宋体" w:cs="宋体"/>
                <w:i w:val="0"/>
                <w:iCs w:val="0"/>
                <w:caps w:val="0"/>
                <w:color w:val="auto"/>
                <w:spacing w:val="0"/>
                <w:sz w:val="24"/>
                <w:szCs w:val="24"/>
                <w:highlight w:val="none"/>
                <w:shd w:val="clear" w:fill="FFFFFF"/>
              </w:rPr>
              <w:t>旨在全面推进精神障碍患者社区康复服务体系建设，</w:t>
            </w:r>
          </w:p>
        </w:tc>
      </w:tr>
      <w:tr w14:paraId="4F30AE45">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092" w:hRule="atLeast"/>
        </w:trPr>
        <w:tc>
          <w:tcPr>
            <w:tcW w:w="8970" w:type="dxa"/>
            <w:tcBorders>
              <w:top w:val="single" w:color="auto" w:sz="4" w:space="0"/>
              <w:left w:val="single" w:color="auto" w:sz="4" w:space="0"/>
              <w:bottom w:val="single" w:color="auto" w:sz="4" w:space="0"/>
              <w:right w:val="single" w:color="auto" w:sz="4" w:space="0"/>
            </w:tcBorders>
            <w:shd w:val="clear" w:color="auto" w:fill="auto"/>
            <w:tcMar>
              <w:left w:w="105" w:type="dxa"/>
              <w:right w:w="105" w:type="dxa"/>
            </w:tcMar>
          </w:tcPr>
          <w:p w14:paraId="08C1FB65">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157" w:beforeLines="50" w:line="360" w:lineRule="auto"/>
              <w:ind w:firstLine="480" w:firstLineChars="200"/>
              <w:textAlignment w:val="auto"/>
              <w:rPr>
                <w:rFonts w:hint="eastAsia" w:ascii="黑体" w:hAnsi="黑体" w:eastAsia="黑体" w:cs="黑体"/>
                <w:b w:val="0"/>
                <w:bCs w:val="0"/>
                <w:color w:val="auto"/>
                <w:sz w:val="24"/>
                <w:szCs w:val="24"/>
                <w:highlight w:val="none"/>
                <w:lang w:val="en-US" w:eastAsia="zh-CN"/>
              </w:rPr>
            </w:pPr>
            <w:r>
              <w:rPr>
                <w:rFonts w:hint="eastAsia" w:ascii="黑体" w:hAnsi="黑体" w:eastAsia="黑体" w:cs="黑体"/>
                <w:b w:val="0"/>
                <w:bCs w:val="0"/>
                <w:color w:val="auto"/>
                <w:sz w:val="24"/>
                <w:szCs w:val="24"/>
                <w:highlight w:val="none"/>
                <w:lang w:val="en-US" w:eastAsia="zh-CN"/>
              </w:rPr>
              <w:t>2.重度残疾人托养机构建设项目</w:t>
            </w:r>
          </w:p>
          <w:p w14:paraId="63B8CBC3">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i w:val="0"/>
                <w:iCs w:val="0"/>
                <w:caps w:val="0"/>
                <w:color w:val="auto"/>
                <w:spacing w:val="0"/>
                <w:sz w:val="24"/>
                <w:szCs w:val="24"/>
                <w:highlight w:val="none"/>
                <w:shd w:val="clear" w:fill="FFFFFF"/>
                <w:lang w:val="en-US" w:eastAsia="zh-CN"/>
              </w:rPr>
              <w:t>预计</w:t>
            </w:r>
            <w:r>
              <w:rPr>
                <w:rFonts w:hint="eastAsia" w:ascii="宋体" w:hAnsi="宋体" w:eastAsia="宋体" w:cs="宋体"/>
                <w:i w:val="0"/>
                <w:iCs w:val="0"/>
                <w:caps w:val="0"/>
                <w:color w:val="auto"/>
                <w:spacing w:val="0"/>
                <w:sz w:val="24"/>
                <w:szCs w:val="24"/>
                <w:highlight w:val="none"/>
                <w:shd w:val="clear" w:fill="FFFFFF"/>
              </w:rPr>
              <w:t>总投资3200万元</w:t>
            </w:r>
            <w:r>
              <w:rPr>
                <w:rFonts w:hint="eastAsia" w:ascii="宋体" w:hAnsi="宋体" w:eastAsia="宋体" w:cs="宋体"/>
                <w:i w:val="0"/>
                <w:iCs w:val="0"/>
                <w:caps w:val="0"/>
                <w:color w:val="auto"/>
                <w:spacing w:val="0"/>
                <w:sz w:val="24"/>
                <w:szCs w:val="24"/>
                <w:highlight w:val="none"/>
                <w:shd w:val="clear" w:fill="FFFFFF"/>
                <w:lang w:eastAsia="zh-CN"/>
              </w:rPr>
              <w:t>，</w:t>
            </w:r>
            <w:r>
              <w:rPr>
                <w:rFonts w:hint="eastAsia" w:ascii="宋体" w:hAnsi="宋体" w:eastAsia="宋体" w:cs="宋体"/>
                <w:i w:val="0"/>
                <w:iCs w:val="0"/>
                <w:caps w:val="0"/>
                <w:color w:val="auto"/>
                <w:spacing w:val="0"/>
                <w:sz w:val="24"/>
                <w:szCs w:val="24"/>
                <w:highlight w:val="none"/>
                <w:shd w:val="clear" w:fill="FFFFFF"/>
              </w:rPr>
              <w:t>依托现有乡镇福利院基础设施，探索性建设8处重度残疾人专业托养机构，旨在为重度残疾人提供集中、专业的照护与托养服务，缓解家庭照护压力，完善残疾人社会保障与服务体系</w:t>
            </w:r>
            <w:r>
              <w:rPr>
                <w:rFonts w:hint="eastAsia" w:ascii="宋体" w:hAnsi="宋体" w:eastAsia="宋体" w:cs="宋体"/>
                <w:i w:val="0"/>
                <w:iCs w:val="0"/>
                <w:caps w:val="0"/>
                <w:color w:val="auto"/>
                <w:spacing w:val="0"/>
                <w:sz w:val="24"/>
                <w:szCs w:val="24"/>
                <w:highlight w:val="none"/>
                <w:shd w:val="clear" w:fill="FFFFFF"/>
                <w:lang w:eastAsia="zh-CN"/>
              </w:rPr>
              <w:t>。</w:t>
            </w:r>
          </w:p>
        </w:tc>
      </w:tr>
    </w:tbl>
    <w:p w14:paraId="7710F76C">
      <w:pPr>
        <w:snapToGrid w:val="0"/>
        <w:spacing w:before="312" w:beforeLines="100" w:line="360" w:lineRule="auto"/>
        <w:ind w:firstLine="640" w:firstLineChars="200"/>
        <w:outlineLvl w:val="1"/>
        <w:rPr>
          <w:rFonts w:hint="default" w:ascii="黑体" w:hAnsi="黑体" w:eastAsia="黑体" w:cs="黑体"/>
          <w:color w:val="auto"/>
          <w:sz w:val="32"/>
          <w:szCs w:val="32"/>
          <w:highlight w:val="none"/>
          <w:lang w:val="en-US" w:eastAsia="zh-CN"/>
        </w:rPr>
      </w:pPr>
      <w:bookmarkStart w:id="58" w:name="_Toc2693"/>
      <w:bookmarkStart w:id="59" w:name="_Toc11323"/>
      <w:r>
        <w:rPr>
          <w:rFonts w:hint="eastAsia" w:ascii="黑体" w:hAnsi="黑体" w:eastAsia="黑体" w:cs="黑体"/>
          <w:color w:val="auto"/>
          <w:sz w:val="32"/>
          <w:szCs w:val="32"/>
          <w:highlight w:val="none"/>
        </w:rPr>
        <w:t>三、</w:t>
      </w:r>
      <w:r>
        <w:rPr>
          <w:rFonts w:hint="eastAsia" w:ascii="黑体" w:hAnsi="黑体" w:eastAsia="黑体" w:cs="黑体"/>
          <w:color w:val="auto"/>
          <w:sz w:val="32"/>
          <w:szCs w:val="32"/>
          <w:highlight w:val="none"/>
          <w:lang w:val="en-US" w:eastAsia="zh-CN"/>
        </w:rPr>
        <w:t>坚持高质量发展，</w:t>
      </w:r>
      <w:r>
        <w:rPr>
          <w:rFonts w:hint="eastAsia" w:ascii="黑体" w:hAnsi="黑体" w:eastAsia="黑体" w:cs="黑体"/>
          <w:color w:val="auto"/>
          <w:sz w:val="32"/>
          <w:szCs w:val="32"/>
          <w:highlight w:val="none"/>
        </w:rPr>
        <w:t>激活治理新动能</w:t>
      </w:r>
      <w:bookmarkEnd w:id="58"/>
      <w:bookmarkEnd w:id="59"/>
    </w:p>
    <w:p w14:paraId="645DF563">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outlineLvl w:val="2"/>
        <w:rPr>
          <w:rFonts w:hint="default" w:ascii="华文中宋" w:hAnsi="华文中宋" w:eastAsia="华文中宋" w:cs="华文中宋"/>
          <w:color w:val="auto"/>
          <w:sz w:val="32"/>
          <w:szCs w:val="32"/>
          <w:highlight w:val="none"/>
          <w:lang w:val="en-US" w:eastAsia="zh-CN"/>
        </w:rPr>
      </w:pPr>
      <w:bookmarkStart w:id="60" w:name="_Toc2718"/>
      <w:bookmarkStart w:id="61" w:name="_Toc2537"/>
      <w:r>
        <w:rPr>
          <w:rFonts w:hint="eastAsia" w:ascii="华文中宋" w:hAnsi="华文中宋" w:eastAsia="华文中宋" w:cs="华文中宋"/>
          <w:color w:val="auto"/>
          <w:sz w:val="32"/>
          <w:szCs w:val="32"/>
          <w:highlight w:val="none"/>
        </w:rPr>
        <w:t>（一）</w:t>
      </w:r>
      <w:r>
        <w:rPr>
          <w:rFonts w:hint="eastAsia" w:ascii="华文中宋" w:hAnsi="华文中宋" w:eastAsia="华文中宋" w:cs="华文中宋"/>
          <w:color w:val="auto"/>
          <w:sz w:val="32"/>
          <w:szCs w:val="32"/>
          <w:highlight w:val="none"/>
          <w:lang w:val="en-US" w:eastAsia="zh-CN"/>
        </w:rPr>
        <w:t>加强</w:t>
      </w:r>
      <w:r>
        <w:rPr>
          <w:rFonts w:hint="eastAsia" w:ascii="华文中宋" w:hAnsi="华文中宋" w:eastAsia="华文中宋" w:cs="华文中宋"/>
          <w:color w:val="auto"/>
          <w:sz w:val="32"/>
          <w:szCs w:val="32"/>
          <w:highlight w:val="none"/>
        </w:rPr>
        <w:t>社会组织</w:t>
      </w:r>
      <w:bookmarkEnd w:id="60"/>
      <w:r>
        <w:rPr>
          <w:rFonts w:hint="eastAsia" w:ascii="华文中宋" w:hAnsi="华文中宋" w:eastAsia="华文中宋" w:cs="华文中宋"/>
          <w:color w:val="auto"/>
          <w:sz w:val="32"/>
          <w:szCs w:val="32"/>
          <w:highlight w:val="none"/>
          <w:lang w:val="en-US" w:eastAsia="zh-CN"/>
        </w:rPr>
        <w:t>培育管理</w:t>
      </w:r>
      <w:bookmarkEnd w:id="61"/>
    </w:p>
    <w:p w14:paraId="01E2CC10">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360" w:lineRule="auto"/>
        <w:ind w:firstLine="643" w:firstLineChars="200"/>
        <w:jc w:val="both"/>
        <w:textAlignment w:val="auto"/>
        <w:outlineLvl w:val="9"/>
        <w:rPr>
          <w:rFonts w:hint="eastAsia" w:ascii="仿宋_GB2312" w:hAnsi="仿宋_GB2312" w:eastAsia="仿宋_GB2312" w:cs="仿宋_GB2312"/>
          <w:color w:val="auto"/>
          <w:kern w:val="2"/>
          <w:sz w:val="32"/>
          <w:szCs w:val="32"/>
          <w:highlight w:val="none"/>
          <w:lang w:val="en-US" w:eastAsia="zh-CN" w:bidi="ar-SA"/>
        </w:rPr>
      </w:pPr>
      <w:r>
        <w:rPr>
          <w:rFonts w:hint="eastAsia" w:ascii="楷体_GB2312" w:hAnsi="楷体_GB2312" w:eastAsia="楷体_GB2312" w:cs="楷体_GB2312"/>
          <w:b/>
          <w:bCs/>
          <w:color w:val="auto"/>
          <w:kern w:val="0"/>
          <w:sz w:val="32"/>
          <w:szCs w:val="32"/>
          <w:highlight w:val="none"/>
          <w:lang w:val="en-US" w:eastAsia="zh-CN" w:bidi="ar"/>
        </w:rPr>
        <w:t>健全监管制度。</w:t>
      </w:r>
      <w:r>
        <w:rPr>
          <w:rFonts w:hint="eastAsia" w:ascii="仿宋_GB2312" w:hAnsi="仿宋_GB2312" w:eastAsia="仿宋_GB2312" w:cs="仿宋_GB2312"/>
          <w:color w:val="auto"/>
          <w:kern w:val="2"/>
          <w:sz w:val="32"/>
          <w:szCs w:val="32"/>
          <w:highlight w:val="none"/>
          <w:lang w:val="en-US" w:eastAsia="zh-CN" w:bidi="ar-SA"/>
        </w:rPr>
        <w:t>严格落实党委政府研究决定社会组织重大事项制度。理顺行业协会、学会、商会等党建工作管理体制，落实健全行业协会商会退出、终止、注销等管理措施。加强社会组织登记审查与会商，推进登记告知及承诺制度。</w:t>
      </w:r>
      <w:r>
        <w:rPr>
          <w:rFonts w:hint="default" w:ascii="仿宋_GB2312" w:hAnsi="仿宋_GB2312" w:eastAsia="仿宋_GB2312" w:cs="仿宋_GB2312"/>
          <w:color w:val="auto"/>
          <w:kern w:val="2"/>
          <w:sz w:val="32"/>
          <w:szCs w:val="32"/>
          <w:highlight w:val="none"/>
          <w:lang w:val="en-US" w:eastAsia="zh-CN" w:bidi="ar-SA"/>
        </w:rPr>
        <w:t>推行“双随机、一公开”监管与专项整治相结合，持续开展年检与抽查审计。重点整治行业协会商会涉企违规收费、“僵尸型”社会组织等问题</w:t>
      </w:r>
      <w:r>
        <w:rPr>
          <w:rFonts w:hint="eastAsia" w:ascii="仿宋_GB2312" w:hAnsi="仿宋_GB2312" w:eastAsia="仿宋_GB2312" w:cs="仿宋_GB2312"/>
          <w:color w:val="auto"/>
          <w:kern w:val="2"/>
          <w:sz w:val="32"/>
          <w:szCs w:val="32"/>
          <w:highlight w:val="none"/>
          <w:lang w:val="en-US" w:eastAsia="zh-CN" w:bidi="ar-SA"/>
        </w:rPr>
        <w:t>。</w:t>
      </w:r>
      <w:r>
        <w:rPr>
          <w:rFonts w:hint="default" w:ascii="仿宋_GB2312" w:hAnsi="仿宋_GB2312" w:eastAsia="仿宋_GB2312" w:cs="仿宋_GB2312"/>
          <w:color w:val="auto"/>
          <w:kern w:val="2"/>
          <w:sz w:val="32"/>
          <w:szCs w:val="32"/>
          <w:highlight w:val="none"/>
          <w:lang w:val="en-US" w:eastAsia="zh-CN" w:bidi="ar-SA"/>
        </w:rPr>
        <w:t>健全信用监管与失信联合惩戒制度，将违法违规信息纳入信用平台，对严重失信主体依法限制参与政府购买服务</w:t>
      </w:r>
      <w:r>
        <w:rPr>
          <w:rFonts w:hint="eastAsia" w:ascii="仿宋_GB2312" w:hAnsi="仿宋_GB2312" w:eastAsia="仿宋_GB2312" w:cs="仿宋_GB2312"/>
          <w:color w:val="auto"/>
          <w:kern w:val="2"/>
          <w:sz w:val="32"/>
          <w:szCs w:val="32"/>
          <w:highlight w:val="none"/>
          <w:lang w:val="en-US" w:eastAsia="zh-CN" w:bidi="ar-SA"/>
        </w:rPr>
        <w:t>等</w:t>
      </w:r>
      <w:r>
        <w:rPr>
          <w:rFonts w:hint="default" w:ascii="仿宋_GB2312" w:hAnsi="仿宋_GB2312" w:eastAsia="仿宋_GB2312" w:cs="仿宋_GB2312"/>
          <w:color w:val="auto"/>
          <w:kern w:val="2"/>
          <w:sz w:val="32"/>
          <w:szCs w:val="32"/>
          <w:highlight w:val="none"/>
          <w:lang w:val="en-US" w:eastAsia="zh-CN" w:bidi="ar-SA"/>
        </w:rPr>
        <w:t>。畅通退出渠道，依法</w:t>
      </w:r>
      <w:r>
        <w:rPr>
          <w:rFonts w:hint="eastAsia" w:ascii="仿宋_GB2312" w:hAnsi="仿宋_GB2312" w:eastAsia="仿宋_GB2312" w:cs="仿宋_GB2312"/>
          <w:color w:val="auto"/>
          <w:kern w:val="2"/>
          <w:sz w:val="32"/>
          <w:szCs w:val="32"/>
          <w:highlight w:val="none"/>
          <w:lang w:val="en-US" w:eastAsia="zh-CN" w:bidi="ar-SA"/>
        </w:rPr>
        <w:t>规范</w:t>
      </w:r>
      <w:r>
        <w:rPr>
          <w:rFonts w:hint="default" w:ascii="仿宋_GB2312" w:hAnsi="仿宋_GB2312" w:eastAsia="仿宋_GB2312" w:cs="仿宋_GB2312"/>
          <w:color w:val="auto"/>
          <w:kern w:val="2"/>
          <w:sz w:val="32"/>
          <w:szCs w:val="32"/>
          <w:highlight w:val="none"/>
          <w:lang w:val="en-US" w:eastAsia="zh-CN" w:bidi="ar-SA"/>
        </w:rPr>
        <w:t>撤销、注销</w:t>
      </w:r>
      <w:r>
        <w:rPr>
          <w:rFonts w:hint="eastAsia" w:ascii="仿宋_GB2312" w:hAnsi="仿宋_GB2312" w:eastAsia="仿宋_GB2312" w:cs="仿宋_GB2312"/>
          <w:color w:val="auto"/>
          <w:kern w:val="2"/>
          <w:sz w:val="32"/>
          <w:szCs w:val="32"/>
          <w:highlight w:val="none"/>
          <w:lang w:val="en-US" w:eastAsia="zh-CN" w:bidi="ar-SA"/>
        </w:rPr>
        <w:t>、吊销</w:t>
      </w:r>
      <w:r>
        <w:rPr>
          <w:rFonts w:hint="default" w:ascii="仿宋_GB2312" w:hAnsi="仿宋_GB2312" w:eastAsia="仿宋_GB2312" w:cs="仿宋_GB2312"/>
          <w:color w:val="auto"/>
          <w:kern w:val="2"/>
          <w:sz w:val="32"/>
          <w:szCs w:val="32"/>
          <w:highlight w:val="none"/>
          <w:lang w:val="en-US" w:eastAsia="zh-CN" w:bidi="ar-SA"/>
        </w:rPr>
        <w:t>程序，探索推行“兼并重组”模式以优化资源配置</w:t>
      </w:r>
      <w:r>
        <w:rPr>
          <w:rFonts w:hint="eastAsia" w:ascii="仿宋_GB2312" w:hAnsi="仿宋_GB2312" w:eastAsia="仿宋_GB2312" w:cs="仿宋_GB2312"/>
          <w:color w:val="auto"/>
          <w:kern w:val="2"/>
          <w:sz w:val="32"/>
          <w:szCs w:val="32"/>
          <w:highlight w:val="none"/>
          <w:lang w:val="en-US" w:eastAsia="zh-CN" w:bidi="ar-SA"/>
        </w:rPr>
        <w:t>。</w:t>
      </w:r>
    </w:p>
    <w:p w14:paraId="36B417BA">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360" w:lineRule="auto"/>
        <w:ind w:firstLine="643" w:firstLineChars="200"/>
        <w:jc w:val="both"/>
        <w:textAlignment w:val="auto"/>
        <w:outlineLvl w:val="9"/>
        <w:rPr>
          <w:rFonts w:hint="eastAsia" w:ascii="仿宋_GB2312" w:hAnsi="仿宋_GB2312" w:eastAsia="仿宋_GB2312" w:cs="仿宋_GB2312"/>
          <w:color w:val="auto"/>
          <w:kern w:val="2"/>
          <w:sz w:val="32"/>
          <w:szCs w:val="32"/>
          <w:highlight w:val="none"/>
          <w:lang w:val="en-US" w:eastAsia="zh-CN" w:bidi="ar-SA"/>
        </w:rPr>
      </w:pPr>
      <w:r>
        <w:rPr>
          <w:rFonts w:hint="eastAsia" w:ascii="楷体_GB2312" w:hAnsi="楷体_GB2312" w:eastAsia="楷体_GB2312" w:cs="楷体_GB2312"/>
          <w:b/>
          <w:bCs/>
          <w:color w:val="auto"/>
          <w:kern w:val="0"/>
          <w:sz w:val="32"/>
          <w:szCs w:val="32"/>
          <w:highlight w:val="none"/>
          <w:lang w:val="en-US" w:eastAsia="zh-CN" w:bidi="ar"/>
        </w:rPr>
        <w:t>优化培育体系。</w:t>
      </w:r>
      <w:r>
        <w:rPr>
          <w:rFonts w:hint="eastAsia" w:ascii="仿宋_GB2312" w:hAnsi="仿宋_GB2312" w:eastAsia="仿宋_GB2312" w:cs="仿宋_GB2312"/>
          <w:color w:val="auto"/>
          <w:kern w:val="2"/>
          <w:sz w:val="32"/>
          <w:szCs w:val="32"/>
          <w:highlight w:val="none"/>
          <w:lang w:val="en-US" w:eastAsia="zh-CN" w:bidi="ar-SA"/>
        </w:rPr>
        <w:t>围绕国家战略及本市发展大局，重点培育服务新质生产力、战略性新兴产业、科技创新、产业升级、绿色低碳、民生保障及基层治理等领域的社会组织。推动完善政府购买服务、人才激励、财税支持等政策体系，支持社会组织加强项目设计、资源整合与品牌建设，营造公平有序的发展环境，提升其可持续发展与服务能力。</w:t>
      </w:r>
    </w:p>
    <w:p w14:paraId="7B90BE12">
      <w:pPr>
        <w:spacing w:before="156" w:beforeLines="50" w:line="360" w:lineRule="auto"/>
        <w:ind w:firstLine="640" w:firstLineChars="200"/>
        <w:outlineLvl w:val="2"/>
        <w:rPr>
          <w:rFonts w:hint="eastAsia" w:ascii="华文中宋" w:hAnsi="华文中宋" w:eastAsia="华文中宋" w:cs="华文中宋"/>
          <w:color w:val="auto"/>
          <w:sz w:val="32"/>
          <w:szCs w:val="32"/>
          <w:highlight w:val="none"/>
          <w:lang w:eastAsia="zh-CN"/>
        </w:rPr>
      </w:pPr>
      <w:bookmarkStart w:id="62" w:name="_Toc29667"/>
      <w:r>
        <w:rPr>
          <w:rFonts w:hint="eastAsia" w:ascii="华文中宋" w:hAnsi="华文中宋" w:eastAsia="华文中宋" w:cs="华文中宋"/>
          <w:color w:val="auto"/>
          <w:sz w:val="32"/>
          <w:szCs w:val="32"/>
          <w:highlight w:val="none"/>
        </w:rPr>
        <w:t>（二）</w:t>
      </w:r>
      <w:r>
        <w:rPr>
          <w:rFonts w:hint="eastAsia" w:ascii="华文中宋" w:hAnsi="华文中宋" w:eastAsia="华文中宋" w:cs="华文中宋"/>
          <w:color w:val="auto"/>
          <w:sz w:val="32"/>
          <w:szCs w:val="32"/>
          <w:highlight w:val="none"/>
          <w:lang w:eastAsia="zh-CN"/>
        </w:rPr>
        <w:t>推动</w:t>
      </w:r>
      <w:r>
        <w:rPr>
          <w:rFonts w:hint="eastAsia" w:ascii="华文中宋" w:hAnsi="华文中宋" w:eastAsia="华文中宋" w:cs="华文中宋"/>
          <w:color w:val="auto"/>
          <w:sz w:val="32"/>
          <w:szCs w:val="32"/>
          <w:highlight w:val="none"/>
        </w:rPr>
        <w:t>慈善事业高质量发展</w:t>
      </w:r>
      <w:bookmarkEnd w:id="62"/>
    </w:p>
    <w:p w14:paraId="23DE15D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Chars="0" w:rightChars="0" w:firstLine="643" w:firstLineChars="200"/>
        <w:jc w:val="left"/>
        <w:textAlignment w:val="auto"/>
        <w:rPr>
          <w:rFonts w:hint="eastAsia" w:ascii="华文楷体" w:hAnsi="华文楷体" w:eastAsia="华文楷体" w:cs="华文楷体"/>
          <w:b/>
          <w:bCs/>
          <w:color w:val="auto"/>
          <w:kern w:val="2"/>
          <w:sz w:val="32"/>
          <w:szCs w:val="32"/>
          <w:highlight w:val="none"/>
          <w:lang w:val="en-US" w:eastAsia="zh-CN" w:bidi="ar-SA"/>
        </w:rPr>
      </w:pPr>
      <w:r>
        <w:rPr>
          <w:rFonts w:hint="eastAsia" w:ascii="华文楷体" w:hAnsi="华文楷体" w:eastAsia="华文楷体" w:cs="华文楷体"/>
          <w:b/>
          <w:bCs/>
          <w:color w:val="auto"/>
          <w:kern w:val="2"/>
          <w:sz w:val="32"/>
          <w:szCs w:val="32"/>
          <w:highlight w:val="none"/>
          <w:lang w:val="en-US" w:eastAsia="zh-CN" w:bidi="ar-SA"/>
        </w:rPr>
        <w:t>促进慈善事业健康发展。</w:t>
      </w:r>
      <w:r>
        <w:rPr>
          <w:rFonts w:hint="eastAsia" w:ascii="仿宋" w:hAnsi="仿宋" w:eastAsia="仿宋" w:cs="仿宋"/>
          <w:color w:val="auto"/>
          <w:sz w:val="32"/>
          <w:szCs w:val="32"/>
          <w:highlight w:val="none"/>
          <w:lang w:val="en-US" w:eastAsia="zh-CN"/>
        </w:rPr>
        <w:t>持续做好《慈善法》宣传贯彻实施，推动依法行善、依法治善、依法兴善。推动社会各界设立慈善信托，拓宽财富向慈善流通渠道。推进社区公益基金建设，提升“数字公益节”、“幸福家园”村社互助等项目品牌影响力。大力弘扬慈善文化，开展慈善文化“进机关、进企业、进乡村、进社区、进家庭”活动。加强自身建设，凝聚慈善事业新动能。锻造队伍、提升能力，在加强慈善从业人员专业化方面积极探索，加强慈善人才培养，为慈善事业高效发展聚力赋能。</w:t>
      </w:r>
    </w:p>
    <w:p w14:paraId="2BEC05E6">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360" w:lineRule="auto"/>
        <w:ind w:firstLine="643" w:firstLineChars="200"/>
        <w:jc w:val="both"/>
        <w:textAlignment w:val="auto"/>
        <w:outlineLvl w:val="9"/>
        <w:rPr>
          <w:rFonts w:hint="eastAsia" w:ascii="Times New Roman" w:hAnsi="仿宋_GB2312" w:eastAsia="仿宋_GB2312" w:cs="仿宋_GB2312"/>
          <w:b w:val="0"/>
          <w:i w:val="0"/>
          <w:color w:val="auto"/>
          <w:sz w:val="32"/>
          <w:highlight w:val="none"/>
        </w:rPr>
      </w:pPr>
      <w:r>
        <w:rPr>
          <w:rFonts w:hint="eastAsia" w:ascii="华文楷体" w:hAnsi="华文楷体" w:eastAsia="华文楷体" w:cs="华文楷体"/>
          <w:b/>
          <w:bCs/>
          <w:color w:val="auto"/>
          <w:kern w:val="2"/>
          <w:sz w:val="32"/>
          <w:szCs w:val="32"/>
          <w:highlight w:val="none"/>
          <w:lang w:val="en-US" w:eastAsia="zh-CN" w:bidi="ar-SA"/>
        </w:rPr>
        <w:t>加强慈善活动规范管理。</w:t>
      </w:r>
      <w:r>
        <w:rPr>
          <w:rFonts w:hint="eastAsia" w:ascii="Times New Roman" w:hAnsi="仿宋_GB2312" w:eastAsia="仿宋_GB2312" w:cs="仿宋_GB2312"/>
          <w:b w:val="0"/>
          <w:i w:val="0"/>
          <w:color w:val="auto"/>
          <w:sz w:val="32"/>
          <w:highlight w:val="none"/>
        </w:rPr>
        <w:t>深入推进“阳光慈善”工程，建立健全跨部门慈善综合监管机制，强化登记管理机关、业务主管单位及相关职能部门的协同</w:t>
      </w:r>
      <w:r>
        <w:rPr>
          <w:rFonts w:hint="eastAsia" w:ascii="Times New Roman" w:hAnsi="仿宋_GB2312" w:eastAsia="仿宋_GB2312" w:cs="仿宋_GB2312"/>
          <w:b w:val="0"/>
          <w:i w:val="0"/>
          <w:color w:val="auto"/>
          <w:sz w:val="32"/>
          <w:highlight w:val="none"/>
          <w:lang w:eastAsia="zh-CN"/>
        </w:rPr>
        <w:t>配合</w:t>
      </w:r>
      <w:r>
        <w:rPr>
          <w:rFonts w:hint="eastAsia" w:ascii="Times New Roman" w:hAnsi="仿宋_GB2312" w:eastAsia="仿宋_GB2312" w:cs="仿宋_GB2312"/>
          <w:b w:val="0"/>
          <w:i w:val="0"/>
          <w:color w:val="auto"/>
          <w:sz w:val="32"/>
          <w:highlight w:val="none"/>
        </w:rPr>
        <w:t>。健全完善慈善行业自律机制，进一步畅通社会监督渠道，督促慈善组织全面、及时、准确公开慈善活动、资金使用等关键信息，切实保障社会公众知情权、参与权和监督权。完善慈善组织及负责人信用记录机制，构建覆盖慈善活动全流程的规范化管理体系，持续提升慈善事业的社会透明度、公信力和公众认可度。</w:t>
      </w:r>
    </w:p>
    <w:p w14:paraId="06604EE4">
      <w:pPr>
        <w:keepNext w:val="0"/>
        <w:keepLines w:val="0"/>
        <w:pageBreakBefore w:val="0"/>
        <w:widowControl w:val="0"/>
        <w:kinsoku/>
        <w:wordWrap/>
        <w:overflowPunct/>
        <w:topLinePunct w:val="0"/>
        <w:autoSpaceDE/>
        <w:autoSpaceDN/>
        <w:bidi w:val="0"/>
        <w:adjustRightInd/>
        <w:snapToGrid/>
        <w:spacing w:before="157" w:beforeLines="50" w:line="360" w:lineRule="auto"/>
        <w:ind w:firstLine="640" w:firstLineChars="200"/>
        <w:textAlignment w:val="auto"/>
        <w:outlineLvl w:val="2"/>
        <w:rPr>
          <w:rFonts w:hint="eastAsia" w:ascii="华文中宋" w:hAnsi="华文中宋" w:eastAsia="华文中宋" w:cs="华文中宋"/>
          <w:color w:val="auto"/>
          <w:sz w:val="32"/>
          <w:szCs w:val="32"/>
          <w:highlight w:val="none"/>
        </w:rPr>
      </w:pPr>
      <w:bookmarkStart w:id="63" w:name="_Toc7576"/>
      <w:r>
        <w:rPr>
          <w:rFonts w:hint="eastAsia" w:ascii="华文中宋" w:hAnsi="华文中宋" w:eastAsia="华文中宋" w:cs="华文中宋"/>
          <w:color w:val="auto"/>
          <w:sz w:val="32"/>
          <w:szCs w:val="32"/>
          <w:highlight w:val="none"/>
        </w:rPr>
        <w:t>（三）提升区划地名管理水平</w:t>
      </w:r>
      <w:bookmarkEnd w:id="63"/>
    </w:p>
    <w:p w14:paraId="31390B8F">
      <w:pPr>
        <w:keepNext w:val="0"/>
        <w:keepLines w:val="0"/>
        <w:pageBreakBefore w:val="0"/>
        <w:widowControl w:val="0"/>
        <w:kinsoku/>
        <w:wordWrap/>
        <w:overflowPunct/>
        <w:topLinePunct w:val="0"/>
        <w:autoSpaceDE/>
        <w:autoSpaceDN/>
        <w:bidi w:val="0"/>
        <w:adjustRightInd/>
        <w:snapToGrid/>
        <w:spacing w:before="157" w:beforeLines="50" w:line="360" w:lineRule="auto"/>
        <w:ind w:firstLine="643" w:firstLineChars="200"/>
        <w:textAlignment w:val="auto"/>
        <w:rPr>
          <w:rFonts w:hint="eastAsia" w:ascii="仿宋_GB2312" w:hAnsi="仿宋_GB2312" w:eastAsia="仿宋_GB2312" w:cs="仿宋_GB2312"/>
          <w:color w:val="auto"/>
          <w:sz w:val="32"/>
          <w:szCs w:val="32"/>
          <w:highlight w:val="none"/>
        </w:rPr>
      </w:pPr>
      <w:r>
        <w:rPr>
          <w:rFonts w:hint="eastAsia" w:ascii="华文楷体" w:hAnsi="华文楷体" w:eastAsia="华文楷体" w:cs="华文楷体"/>
          <w:b/>
          <w:bCs/>
          <w:color w:val="auto"/>
          <w:kern w:val="2"/>
          <w:sz w:val="32"/>
          <w:szCs w:val="32"/>
          <w:highlight w:val="none"/>
          <w:lang w:val="en-US" w:eastAsia="zh-CN" w:bidi="ar-SA"/>
        </w:rPr>
        <w:t>优化行政区划设置。</w:t>
      </w:r>
      <w:r>
        <w:rPr>
          <w:rFonts w:hint="eastAsia" w:ascii="仿宋_GB2312" w:hAnsi="仿宋_GB2312" w:eastAsia="仿宋_GB2312" w:cs="仿宋_GB2312"/>
          <w:color w:val="auto"/>
          <w:sz w:val="32"/>
          <w:szCs w:val="32"/>
          <w:highlight w:val="none"/>
        </w:rPr>
        <w:t>坚持和加强党的全面领导，以提升区划地名管理效能为核心，深化全市行政区划总体规划研究。审慎推进乡镇、街道行政区划规范管理和管理区（农场）、功能区的行政区划优化调整。</w:t>
      </w:r>
    </w:p>
    <w:p w14:paraId="7D164F01">
      <w:pPr>
        <w:keepNext w:val="0"/>
        <w:keepLines w:val="0"/>
        <w:pageBreakBefore w:val="0"/>
        <w:widowControl w:val="0"/>
        <w:kinsoku/>
        <w:wordWrap/>
        <w:overflowPunct/>
        <w:topLinePunct w:val="0"/>
        <w:autoSpaceDE/>
        <w:autoSpaceDN/>
        <w:bidi w:val="0"/>
        <w:adjustRightInd/>
        <w:snapToGrid/>
        <w:spacing w:before="157" w:beforeLines="50" w:line="360" w:lineRule="auto"/>
        <w:ind w:firstLine="643" w:firstLineChars="200"/>
        <w:textAlignment w:val="auto"/>
        <w:rPr>
          <w:rFonts w:hint="eastAsia" w:ascii="仿宋_GB2312" w:hAnsi="仿宋_GB2312" w:eastAsia="仿宋_GB2312" w:cs="仿宋_GB2312"/>
          <w:color w:val="auto"/>
          <w:sz w:val="32"/>
          <w:szCs w:val="32"/>
          <w:highlight w:val="none"/>
        </w:rPr>
      </w:pPr>
      <w:r>
        <w:rPr>
          <w:rFonts w:hint="eastAsia" w:ascii="华文楷体" w:hAnsi="华文楷体" w:eastAsia="华文楷体" w:cs="华文楷体"/>
          <w:b/>
          <w:bCs/>
          <w:color w:val="auto"/>
          <w:kern w:val="2"/>
          <w:sz w:val="32"/>
          <w:szCs w:val="32"/>
          <w:highlight w:val="none"/>
          <w:lang w:val="en-US" w:eastAsia="zh-CN" w:bidi="ar-SA"/>
        </w:rPr>
        <w:t>加强地名文化保护。</w:t>
      </w:r>
      <w:r>
        <w:rPr>
          <w:rFonts w:hint="eastAsia" w:ascii="仿宋_GB2312" w:hAnsi="仿宋_GB2312" w:eastAsia="仿宋_GB2312" w:cs="仿宋_GB2312"/>
          <w:color w:val="auto"/>
          <w:sz w:val="32"/>
          <w:szCs w:val="32"/>
          <w:highlight w:val="none"/>
        </w:rPr>
        <w:t>深化潜江市域重要地名文化挖掘，推动地名文化成果转化利用，强化地名文化遗产系统性保护，广泛凝聚社会力量参与。围绕“乡村著名行动”指南规范乡村地名标志、地名体制机制建设，加强乡村地名文化与乡村历史文化邮寄融合，促进乡村地名管理服务水平跃升。全面推进乡村地名文化保护、信息服务于应用赋能，激活地名文化价值与传承功能。积极构建全域覆盖、信息共享、多跨协同的地名数字化展示服务体系，充分释放地名文化活力。</w:t>
      </w:r>
    </w:p>
    <w:p w14:paraId="705FDC82">
      <w:pPr>
        <w:ind w:firstLine="643" w:firstLineChars="200"/>
        <w:rPr>
          <w:rFonts w:hint="eastAsia" w:ascii="仿宋_GB2312" w:hAnsi="仿宋_GB2312" w:eastAsia="仿宋_GB2312" w:cs="仿宋_GB2312"/>
          <w:color w:val="auto"/>
          <w:sz w:val="32"/>
          <w:szCs w:val="32"/>
          <w:highlight w:val="none"/>
        </w:rPr>
      </w:pPr>
      <w:r>
        <w:rPr>
          <w:rFonts w:hint="eastAsia" w:ascii="华文楷体" w:hAnsi="华文楷体" w:eastAsia="华文楷体" w:cs="华文楷体"/>
          <w:b/>
          <w:bCs/>
          <w:color w:val="auto"/>
          <w:kern w:val="2"/>
          <w:sz w:val="32"/>
          <w:szCs w:val="32"/>
          <w:highlight w:val="none"/>
          <w:lang w:val="en-US" w:eastAsia="zh-CN" w:bidi="ar-SA"/>
        </w:rPr>
        <w:t>深化勘界成果应用。</w:t>
      </w:r>
      <w:r>
        <w:rPr>
          <w:rFonts w:hint="eastAsia" w:ascii="仿宋_GB2312" w:hAnsi="仿宋_GB2312" w:eastAsia="仿宋_GB2312" w:cs="仿宋_GB2312"/>
          <w:color w:val="auto"/>
          <w:sz w:val="32"/>
          <w:szCs w:val="32"/>
          <w:highlight w:val="none"/>
        </w:rPr>
        <w:t>综合运用全市乡级行政区域界线勘定成果，深入构建市、镇、村三级精细化管理网络。积极推进“城市数字公共基础设施建设”，强化区划地名信息大数据在基层治理、公共服务等领域的深度应用。扎实开展市、镇、村三级行政区域界线联合检查，促进毗邻市州之间经济持续发展，推动乡镇之间合作联动发展，维护村居百姓平安稳定生活。</w:t>
      </w:r>
    </w:p>
    <w:p w14:paraId="00347C8F">
      <w:pPr>
        <w:keepNext w:val="0"/>
        <w:keepLines w:val="0"/>
        <w:pageBreakBefore w:val="0"/>
        <w:widowControl w:val="0"/>
        <w:kinsoku/>
        <w:wordWrap/>
        <w:overflowPunct/>
        <w:topLinePunct w:val="0"/>
        <w:autoSpaceDE/>
        <w:autoSpaceDN/>
        <w:bidi w:val="0"/>
        <w:adjustRightInd/>
        <w:snapToGrid w:val="0"/>
        <w:spacing w:before="156" w:beforeLines="50" w:line="360" w:lineRule="auto"/>
        <w:ind w:firstLine="640" w:firstLineChars="200"/>
        <w:textAlignment w:val="auto"/>
        <w:outlineLvl w:val="1"/>
        <w:rPr>
          <w:rFonts w:ascii="黑体" w:hAnsi="黑体" w:eastAsia="黑体" w:cs="黑体"/>
          <w:color w:val="auto"/>
          <w:sz w:val="32"/>
          <w:szCs w:val="32"/>
          <w:highlight w:val="none"/>
        </w:rPr>
      </w:pPr>
      <w:bookmarkStart w:id="64" w:name="_Toc2895"/>
      <w:bookmarkStart w:id="65" w:name="_Toc22399"/>
      <w:r>
        <w:rPr>
          <w:rFonts w:hint="eastAsia" w:ascii="黑体" w:hAnsi="黑体" w:eastAsia="黑体" w:cs="黑体"/>
          <w:color w:val="auto"/>
          <w:sz w:val="32"/>
          <w:szCs w:val="32"/>
          <w:highlight w:val="none"/>
        </w:rPr>
        <w:t>四、聚力便民惠民</w:t>
      </w:r>
      <w:r>
        <w:rPr>
          <w:rFonts w:hint="eastAsia" w:ascii="黑体" w:hAnsi="黑体" w:eastAsia="黑体" w:cs="黑体"/>
          <w:color w:val="auto"/>
          <w:sz w:val="32"/>
          <w:szCs w:val="32"/>
          <w:highlight w:val="none"/>
          <w:lang w:eastAsia="zh-CN"/>
        </w:rPr>
        <w:t>，</w:t>
      </w:r>
      <w:r>
        <w:rPr>
          <w:rFonts w:hint="eastAsia" w:ascii="黑体" w:hAnsi="黑体" w:eastAsia="黑体" w:cs="黑体"/>
          <w:color w:val="auto"/>
          <w:sz w:val="32"/>
          <w:szCs w:val="32"/>
          <w:highlight w:val="none"/>
        </w:rPr>
        <w:t>促进专项社会事务提质增效</w:t>
      </w:r>
      <w:bookmarkEnd w:id="64"/>
      <w:bookmarkEnd w:id="65"/>
    </w:p>
    <w:p w14:paraId="23098761">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outlineLvl w:val="2"/>
        <w:rPr>
          <w:rFonts w:hint="default" w:ascii="华文中宋" w:hAnsi="华文中宋" w:eastAsia="华文中宋" w:cs="华文中宋"/>
          <w:color w:val="auto"/>
          <w:sz w:val="32"/>
          <w:szCs w:val="32"/>
          <w:highlight w:val="none"/>
          <w:lang w:val="en-US" w:eastAsia="zh-CN"/>
        </w:rPr>
      </w:pPr>
      <w:bookmarkStart w:id="66" w:name="_Toc17314"/>
      <w:bookmarkStart w:id="67" w:name="_Toc31459"/>
      <w:bookmarkStart w:id="68" w:name="_Toc27819"/>
      <w:r>
        <w:rPr>
          <w:rFonts w:hint="eastAsia" w:ascii="华文中宋" w:hAnsi="华文中宋" w:eastAsia="华文中宋" w:cs="华文中宋"/>
          <w:color w:val="auto"/>
          <w:sz w:val="32"/>
          <w:szCs w:val="32"/>
          <w:highlight w:val="none"/>
        </w:rPr>
        <w:t>（</w:t>
      </w:r>
      <w:r>
        <w:rPr>
          <w:rFonts w:hint="eastAsia" w:ascii="华文中宋" w:hAnsi="华文中宋" w:eastAsia="华文中宋" w:cs="华文中宋"/>
          <w:color w:val="auto"/>
          <w:sz w:val="32"/>
          <w:szCs w:val="32"/>
          <w:highlight w:val="none"/>
          <w:lang w:val="en-US" w:eastAsia="zh-CN"/>
        </w:rPr>
        <w:t>一</w:t>
      </w:r>
      <w:r>
        <w:rPr>
          <w:rFonts w:hint="eastAsia" w:ascii="华文中宋" w:hAnsi="华文中宋" w:eastAsia="华文中宋" w:cs="华文中宋"/>
          <w:color w:val="auto"/>
          <w:sz w:val="32"/>
          <w:szCs w:val="32"/>
          <w:highlight w:val="none"/>
        </w:rPr>
        <w:t>）</w:t>
      </w:r>
      <w:bookmarkEnd w:id="66"/>
      <w:r>
        <w:rPr>
          <w:rFonts w:hint="eastAsia" w:ascii="华文中宋" w:hAnsi="华文中宋" w:eastAsia="华文中宋" w:cs="华文中宋"/>
          <w:color w:val="auto"/>
          <w:sz w:val="32"/>
          <w:szCs w:val="32"/>
          <w:highlight w:val="none"/>
          <w:lang w:val="en-US" w:eastAsia="zh-CN"/>
        </w:rPr>
        <w:t>完善殡葬事务管理机制</w:t>
      </w:r>
      <w:bookmarkEnd w:id="67"/>
    </w:p>
    <w:p w14:paraId="4F7DF357">
      <w:pPr>
        <w:keepNext w:val="0"/>
        <w:keepLines w:val="0"/>
        <w:pageBreakBefore w:val="0"/>
        <w:widowControl w:val="0"/>
        <w:kinsoku/>
        <w:wordWrap/>
        <w:overflowPunct w:val="0"/>
        <w:topLinePunct w:val="0"/>
        <w:autoSpaceDE/>
        <w:autoSpaceDN/>
        <w:bidi w:val="0"/>
        <w:adjustRightInd w:val="0"/>
        <w:snapToGrid w:val="0"/>
        <w:spacing w:before="156" w:beforeLines="50" w:line="360" w:lineRule="auto"/>
        <w:ind w:firstLine="641"/>
        <w:textAlignment w:val="auto"/>
        <w:rPr>
          <w:rFonts w:hint="eastAsia" w:ascii="仿宋" w:hAnsi="仿宋" w:eastAsia="仿宋" w:cs="仿宋"/>
          <w:color w:val="auto"/>
          <w:sz w:val="32"/>
          <w:szCs w:val="32"/>
          <w:highlight w:val="none"/>
          <w:lang w:val="en-US" w:eastAsia="zh-CN"/>
        </w:rPr>
      </w:pPr>
      <w:r>
        <w:rPr>
          <w:rFonts w:hint="eastAsia" w:ascii="华文楷体" w:hAnsi="华文楷体" w:eastAsia="华文楷体" w:cs="华文楷体"/>
          <w:b/>
          <w:bCs/>
          <w:color w:val="auto"/>
          <w:kern w:val="2"/>
          <w:sz w:val="32"/>
          <w:szCs w:val="32"/>
          <w:highlight w:val="none"/>
          <w:lang w:val="en-US" w:eastAsia="zh-CN" w:bidi="ar-SA"/>
        </w:rPr>
        <w:t>加强监督管理。</w:t>
      </w:r>
      <w:r>
        <w:rPr>
          <w:rFonts w:hint="default" w:ascii="仿宋" w:hAnsi="仿宋" w:eastAsia="仿宋" w:cs="仿宋"/>
          <w:color w:val="auto"/>
          <w:sz w:val="32"/>
          <w:szCs w:val="32"/>
          <w:highlight w:val="none"/>
          <w:lang w:val="en-US" w:eastAsia="zh-CN"/>
        </w:rPr>
        <w:t>完善配套政策，持续推进殡葬综合改革试点。坚持殡葬服务的公益属性，巩固拓展专项治理成果，加强服务机构监督管理。深入推进丧葬礼俗改革，强化党员干部带头作用，大力倡导文明节俭治丧，推广鲜花祭扫、居家追思、网络祭扫等绿色低碳祭扫方式，助力乡村振兴</w:t>
      </w:r>
      <w:r>
        <w:rPr>
          <w:rFonts w:hint="eastAsia" w:ascii="仿宋" w:hAnsi="仿宋" w:eastAsia="仿宋" w:cs="仿宋"/>
          <w:color w:val="auto"/>
          <w:sz w:val="32"/>
          <w:szCs w:val="32"/>
          <w:highlight w:val="none"/>
          <w:lang w:val="en-US" w:eastAsia="zh-CN"/>
        </w:rPr>
        <w:t>。</w:t>
      </w:r>
    </w:p>
    <w:p w14:paraId="2F0E1D11">
      <w:pPr>
        <w:overflowPunct w:val="0"/>
        <w:adjustRightInd w:val="0"/>
        <w:snapToGrid w:val="0"/>
        <w:spacing w:before="156" w:beforeLines="50" w:line="360" w:lineRule="auto"/>
        <w:ind w:firstLine="643"/>
        <w:rPr>
          <w:rFonts w:hint="eastAsia" w:ascii="仿宋" w:hAnsi="仿宋" w:eastAsia="仿宋" w:cs="仿宋"/>
          <w:color w:val="auto"/>
          <w:sz w:val="32"/>
          <w:szCs w:val="32"/>
          <w:highlight w:val="none"/>
          <w:lang w:val="en-US" w:eastAsia="zh-CN"/>
        </w:rPr>
      </w:pPr>
      <w:r>
        <w:rPr>
          <w:rFonts w:hint="eastAsia" w:ascii="华文楷体" w:hAnsi="华文楷体" w:eastAsia="华文楷体" w:cs="华文楷体"/>
          <w:b/>
          <w:bCs/>
          <w:color w:val="auto"/>
          <w:kern w:val="2"/>
          <w:sz w:val="32"/>
          <w:szCs w:val="32"/>
          <w:highlight w:val="none"/>
          <w:lang w:val="en-US" w:eastAsia="zh-CN" w:bidi="ar-SA"/>
        </w:rPr>
        <w:t>健全基本殡葬服务体系。</w:t>
      </w:r>
      <w:r>
        <w:rPr>
          <w:rFonts w:hint="default" w:ascii="仿宋" w:hAnsi="仿宋" w:eastAsia="仿宋" w:cs="仿宋"/>
          <w:color w:val="auto"/>
          <w:sz w:val="32"/>
          <w:szCs w:val="32"/>
          <w:highlight w:val="none"/>
          <w:lang w:val="en-US" w:eastAsia="zh-CN"/>
        </w:rPr>
        <w:t>“十五五”期间，</w:t>
      </w:r>
      <w:r>
        <w:rPr>
          <w:rFonts w:hint="eastAsia" w:ascii="仿宋" w:hAnsi="仿宋" w:eastAsia="仿宋" w:cs="仿宋"/>
          <w:color w:val="auto"/>
          <w:sz w:val="32"/>
          <w:szCs w:val="32"/>
          <w:highlight w:val="none"/>
          <w:lang w:val="en-US" w:eastAsia="zh-CN"/>
        </w:rPr>
        <w:t>建设集停灵、火化、骨灰寄存、指挥调度等功能于一体的现代化殡葬综合服务场所</w:t>
      </w:r>
      <w:r>
        <w:rPr>
          <w:rFonts w:hint="default" w:ascii="仿宋" w:hAnsi="仿宋" w:eastAsia="仿宋" w:cs="仿宋"/>
          <w:color w:val="auto"/>
          <w:sz w:val="32"/>
          <w:szCs w:val="32"/>
          <w:highlight w:val="none"/>
          <w:lang w:val="en-US" w:eastAsia="zh-CN"/>
        </w:rPr>
        <w:t>，有效整合现有殡葬服务机构，优化殡葬服务</w:t>
      </w:r>
      <w:r>
        <w:rPr>
          <w:rFonts w:hint="eastAsia" w:ascii="仿宋" w:hAnsi="仿宋" w:eastAsia="仿宋" w:cs="仿宋"/>
          <w:color w:val="auto"/>
          <w:sz w:val="32"/>
          <w:szCs w:val="32"/>
          <w:highlight w:val="none"/>
          <w:lang w:val="en-US" w:eastAsia="zh-CN"/>
        </w:rPr>
        <w:t>功能</w:t>
      </w:r>
      <w:r>
        <w:rPr>
          <w:rFonts w:hint="default" w:ascii="仿宋" w:hAnsi="仿宋" w:eastAsia="仿宋" w:cs="仿宋"/>
          <w:color w:val="auto"/>
          <w:sz w:val="32"/>
          <w:szCs w:val="32"/>
          <w:highlight w:val="none"/>
          <w:lang w:val="en-US" w:eastAsia="zh-CN"/>
        </w:rPr>
        <w:t>，为人民群众提供更加经济、实惠、优质的殡葬服</w:t>
      </w:r>
      <w:r>
        <w:rPr>
          <w:rFonts w:hint="default" w:ascii="仿宋_GB2312" w:hAnsi="仿宋_GB2312" w:eastAsia="仿宋_GB2312" w:cs="仿宋_GB2312"/>
          <w:b w:val="0"/>
          <w:bCs w:val="0"/>
          <w:color w:val="auto"/>
          <w:sz w:val="32"/>
          <w:szCs w:val="32"/>
          <w:highlight w:val="none"/>
          <w:lang w:val="en-US" w:eastAsia="zh-CN"/>
        </w:rPr>
        <w:t>务</w:t>
      </w:r>
      <w:r>
        <w:rPr>
          <w:rFonts w:hint="default" w:ascii="仿宋" w:hAnsi="仿宋" w:eastAsia="仿宋" w:cs="仿宋"/>
          <w:color w:val="auto"/>
          <w:sz w:val="32"/>
          <w:szCs w:val="32"/>
          <w:highlight w:val="none"/>
          <w:lang w:val="en-US" w:eastAsia="zh-CN"/>
        </w:rPr>
        <w:t>。按照“先中心村带动、三沿五区跟进、鼓励联片建设、逐步全域覆盖”的路径，实现公益性安葬设施乡镇中心村全覆盖，构建全民公益安葬保障网</w:t>
      </w:r>
      <w:r>
        <w:rPr>
          <w:rFonts w:hint="eastAsia" w:ascii="仿宋" w:hAnsi="仿宋" w:eastAsia="仿宋" w:cs="仿宋"/>
          <w:color w:val="auto"/>
          <w:sz w:val="32"/>
          <w:szCs w:val="32"/>
          <w:highlight w:val="none"/>
          <w:lang w:val="en-US" w:eastAsia="zh-CN"/>
        </w:rPr>
        <w:t>。</w:t>
      </w:r>
    </w:p>
    <w:p w14:paraId="2B340F77">
      <w:pPr>
        <w:keepNext w:val="0"/>
        <w:keepLines w:val="0"/>
        <w:pageBreakBefore w:val="0"/>
        <w:widowControl w:val="0"/>
        <w:kinsoku/>
        <w:wordWrap/>
        <w:overflowPunct w:val="0"/>
        <w:topLinePunct w:val="0"/>
        <w:autoSpaceDE/>
        <w:autoSpaceDN/>
        <w:bidi w:val="0"/>
        <w:adjustRightInd w:val="0"/>
        <w:snapToGrid w:val="0"/>
        <w:spacing w:before="156" w:beforeLines="50" w:after="157" w:afterLines="50" w:line="360" w:lineRule="auto"/>
        <w:ind w:firstLine="641"/>
        <w:textAlignment w:val="auto"/>
        <w:rPr>
          <w:rFonts w:hint="eastAsia" w:ascii="仿宋" w:hAnsi="仿宋" w:eastAsia="仿宋" w:cs="仿宋"/>
          <w:color w:val="auto"/>
          <w:sz w:val="32"/>
          <w:szCs w:val="32"/>
          <w:highlight w:val="none"/>
          <w:lang w:val="en-US" w:eastAsia="zh-CN"/>
        </w:rPr>
      </w:pPr>
      <w:r>
        <w:rPr>
          <w:rFonts w:hint="eastAsia" w:ascii="华文楷体" w:hAnsi="华文楷体" w:eastAsia="华文楷体" w:cs="华文楷体"/>
          <w:b/>
          <w:bCs/>
          <w:color w:val="auto"/>
          <w:kern w:val="2"/>
          <w:sz w:val="32"/>
          <w:szCs w:val="32"/>
          <w:highlight w:val="none"/>
          <w:lang w:val="en-US" w:eastAsia="zh-CN" w:bidi="ar-SA"/>
        </w:rPr>
        <w:t>推动绿色与智慧发展。</w:t>
      </w:r>
      <w:r>
        <w:rPr>
          <w:rFonts w:hint="default" w:ascii="仿宋" w:hAnsi="仿宋" w:eastAsia="仿宋" w:cs="仿宋"/>
          <w:color w:val="auto"/>
          <w:sz w:val="32"/>
          <w:szCs w:val="32"/>
          <w:highlight w:val="none"/>
          <w:lang w:val="en-US" w:eastAsia="zh-CN"/>
        </w:rPr>
        <w:t>深化绿色殡葬改革，大力推广节地生态安葬。增强数字化服务能力，加快发展“互联网+殡葬服务”，推动“智慧殡葬”系统全面接入城市数字化平台，切实提升行业管理效能与便民服务水平</w:t>
      </w:r>
      <w:r>
        <w:rPr>
          <w:rFonts w:hint="eastAsia" w:ascii="仿宋" w:hAnsi="仿宋" w:eastAsia="仿宋" w:cs="仿宋"/>
          <w:color w:val="auto"/>
          <w:sz w:val="32"/>
          <w:szCs w:val="32"/>
          <w:highlight w:val="none"/>
          <w:lang w:val="en-US" w:eastAsia="zh-CN"/>
        </w:rPr>
        <w:t>。</w:t>
      </w:r>
    </w:p>
    <w:tbl>
      <w:tblPr>
        <w:tblStyle w:val="19"/>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autofit"/>
        <w:tblCellMar>
          <w:top w:w="0" w:type="dxa"/>
          <w:left w:w="0" w:type="dxa"/>
          <w:bottom w:w="0" w:type="dxa"/>
          <w:right w:w="0" w:type="dxa"/>
        </w:tblCellMar>
      </w:tblPr>
      <w:tblGrid>
        <w:gridCol w:w="9360"/>
      </w:tblGrid>
      <w:tr w14:paraId="0DF4624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08" w:hRule="atLeast"/>
          <w:jc w:val="center"/>
        </w:trPr>
        <w:tc>
          <w:tcPr>
            <w:tcW w:w="0" w:type="auto"/>
            <w:tcBorders>
              <w:bottom w:val="single" w:color="000000" w:sz="8" w:space="0"/>
            </w:tcBorders>
            <w:shd w:val="clear" w:color="auto" w:fill="FFFFFF" w:themeFill="background1"/>
            <w:tcMar>
              <w:top w:w="72" w:type="dxa"/>
              <w:left w:w="144" w:type="dxa"/>
              <w:bottom w:w="72" w:type="dxa"/>
              <w:right w:w="144" w:type="dxa"/>
            </w:tcMar>
            <w:vAlign w:val="top"/>
          </w:tcPr>
          <w:p w14:paraId="3EFAF380">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auto"/>
                <w:kern w:val="0"/>
                <w:sz w:val="24"/>
                <w:szCs w:val="24"/>
                <w:highlight w:val="none"/>
                <w14:ligatures w14:val="none"/>
              </w:rPr>
            </w:pPr>
            <w:r>
              <w:rPr>
                <w:rFonts w:hint="eastAsia" w:ascii="黑体" w:hAnsi="黑体" w:eastAsia="黑体" w:cs="黑体"/>
                <w:b w:val="0"/>
                <w:bCs w:val="0"/>
                <w:color w:val="auto"/>
                <w:kern w:val="24"/>
                <w:sz w:val="28"/>
                <w:szCs w:val="28"/>
                <w:highlight w:val="none"/>
                <w14:ligatures w14:val="none"/>
              </w:rPr>
              <w:t>专栏</w:t>
            </w:r>
            <w:r>
              <w:rPr>
                <w:rFonts w:hint="eastAsia" w:ascii="黑体" w:hAnsi="黑体" w:eastAsia="黑体" w:cs="黑体"/>
                <w:b w:val="0"/>
                <w:bCs w:val="0"/>
                <w:color w:val="auto"/>
                <w:kern w:val="24"/>
                <w:sz w:val="28"/>
                <w:szCs w:val="28"/>
                <w:highlight w:val="none"/>
                <w:lang w:val="en-US" w:eastAsia="zh-CN"/>
                <w14:ligatures w14:val="none"/>
              </w:rPr>
              <w:t>五  殡葬服务设施</w:t>
            </w:r>
            <w:r>
              <w:rPr>
                <w:rFonts w:hint="eastAsia" w:ascii="黑体" w:hAnsi="黑体" w:eastAsia="黑体" w:cs="黑体"/>
                <w:b w:val="0"/>
                <w:bCs w:val="0"/>
                <w:color w:val="auto"/>
                <w:kern w:val="24"/>
                <w:sz w:val="28"/>
                <w:szCs w:val="28"/>
                <w:highlight w:val="none"/>
                <w14:ligatures w14:val="none"/>
              </w:rPr>
              <w:t>建设项目</w:t>
            </w:r>
          </w:p>
        </w:tc>
      </w:tr>
      <w:tr w14:paraId="6864EC1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22" w:hRule="atLeast"/>
          <w:jc w:val="center"/>
        </w:trPr>
        <w:tc>
          <w:tcPr>
            <w:tcW w:w="0" w:type="auto"/>
            <w:shd w:val="clear" w:color="auto" w:fill="FFFFFF" w:themeFill="background1"/>
            <w:tcMar>
              <w:top w:w="72" w:type="dxa"/>
              <w:left w:w="144" w:type="dxa"/>
              <w:bottom w:w="72" w:type="dxa"/>
              <w:right w:w="144" w:type="dxa"/>
            </w:tcMar>
          </w:tcPr>
          <w:p w14:paraId="1FBD835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黑体" w:hAnsi="黑体" w:eastAsia="黑体" w:cs="黑体"/>
                <w:b w:val="0"/>
                <w:bCs w:val="0"/>
                <w:color w:val="auto"/>
                <w:sz w:val="24"/>
                <w:szCs w:val="24"/>
                <w:highlight w:val="none"/>
                <w:lang w:val="en-US" w:eastAsia="zh-CN"/>
              </w:rPr>
            </w:pPr>
            <w:r>
              <w:rPr>
                <w:rFonts w:hint="eastAsia" w:ascii="黑体" w:hAnsi="黑体" w:eastAsia="黑体" w:cs="黑体"/>
                <w:b w:val="0"/>
                <w:bCs w:val="0"/>
                <w:color w:val="auto"/>
                <w:sz w:val="24"/>
                <w:szCs w:val="24"/>
                <w:highlight w:val="none"/>
                <w:lang w:val="en-US" w:eastAsia="zh-CN"/>
              </w:rPr>
              <w:t>1.潜江市广华寺殡仪服务中心新建项目</w:t>
            </w:r>
          </w:p>
          <w:p w14:paraId="29D6A1E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i w:val="0"/>
                <w:iCs w:val="0"/>
                <w:caps w:val="0"/>
                <w:color w:val="auto"/>
                <w:spacing w:val="0"/>
                <w:sz w:val="24"/>
                <w:szCs w:val="24"/>
                <w:highlight w:val="none"/>
                <w:shd w:val="clear" w:fill="FFFFFF"/>
                <w:lang w:val="en-US" w:eastAsia="zh-CN"/>
              </w:rPr>
              <w:t>预计</w:t>
            </w:r>
            <w:r>
              <w:rPr>
                <w:rFonts w:hint="eastAsia" w:ascii="宋体" w:hAnsi="宋体" w:eastAsia="宋体" w:cs="宋体"/>
                <w:i w:val="0"/>
                <w:iCs w:val="0"/>
                <w:caps w:val="0"/>
                <w:color w:val="auto"/>
                <w:spacing w:val="0"/>
                <w:sz w:val="24"/>
                <w:szCs w:val="24"/>
                <w:highlight w:val="none"/>
                <w:shd w:val="clear" w:fill="FFFFFF"/>
              </w:rPr>
              <w:t>总投资</w:t>
            </w:r>
            <w:r>
              <w:rPr>
                <w:rFonts w:hint="eastAsia" w:ascii="宋体" w:hAnsi="宋体" w:eastAsia="宋体" w:cs="宋体"/>
                <w:i w:val="0"/>
                <w:iCs w:val="0"/>
                <w:caps w:val="0"/>
                <w:color w:val="auto"/>
                <w:spacing w:val="0"/>
                <w:sz w:val="24"/>
                <w:szCs w:val="24"/>
                <w:highlight w:val="none"/>
                <w:shd w:val="clear" w:fill="FFFFFF"/>
                <w:lang w:val="en-US" w:eastAsia="zh-CN"/>
              </w:rPr>
              <w:t>1亿</w:t>
            </w:r>
            <w:r>
              <w:rPr>
                <w:rFonts w:hint="eastAsia" w:ascii="宋体" w:hAnsi="宋体" w:eastAsia="宋体" w:cs="宋体"/>
                <w:i w:val="0"/>
                <w:iCs w:val="0"/>
                <w:caps w:val="0"/>
                <w:color w:val="auto"/>
                <w:spacing w:val="0"/>
                <w:sz w:val="24"/>
                <w:szCs w:val="24"/>
                <w:highlight w:val="none"/>
                <w:shd w:val="clear" w:fill="FFFFFF"/>
              </w:rPr>
              <w:t>元，其中</w:t>
            </w:r>
            <w:r>
              <w:rPr>
                <w:rFonts w:hint="eastAsia" w:ascii="宋体" w:hAnsi="宋体" w:eastAsia="宋体" w:cs="宋体"/>
                <w:i w:val="0"/>
                <w:iCs w:val="0"/>
                <w:caps w:val="0"/>
                <w:color w:val="auto"/>
                <w:spacing w:val="0"/>
                <w:sz w:val="24"/>
                <w:szCs w:val="24"/>
                <w:highlight w:val="none"/>
                <w:shd w:val="clear" w:fill="FFFFFF"/>
                <w:lang w:eastAsia="zh-CN"/>
              </w:rPr>
              <w:t>，</w:t>
            </w:r>
            <w:r>
              <w:rPr>
                <w:rFonts w:hint="eastAsia" w:ascii="宋体" w:hAnsi="宋体" w:eastAsia="宋体" w:cs="宋体"/>
                <w:i w:val="0"/>
                <w:iCs w:val="0"/>
                <w:caps w:val="0"/>
                <w:color w:val="auto"/>
                <w:spacing w:val="0"/>
                <w:sz w:val="24"/>
                <w:szCs w:val="24"/>
                <w:highlight w:val="none"/>
                <w:shd w:val="clear" w:fill="FFFFFF"/>
              </w:rPr>
              <w:t>中央预算内投资</w:t>
            </w:r>
            <w:r>
              <w:rPr>
                <w:rFonts w:hint="eastAsia" w:ascii="宋体" w:hAnsi="宋体" w:eastAsia="宋体" w:cs="宋体"/>
                <w:i w:val="0"/>
                <w:iCs w:val="0"/>
                <w:caps w:val="0"/>
                <w:color w:val="auto"/>
                <w:spacing w:val="0"/>
                <w:sz w:val="24"/>
                <w:szCs w:val="24"/>
                <w:highlight w:val="none"/>
                <w:shd w:val="clear" w:fill="FFFFFF"/>
                <w:lang w:val="en-US" w:eastAsia="zh-CN"/>
              </w:rPr>
              <w:t>3500</w:t>
            </w:r>
            <w:r>
              <w:rPr>
                <w:rFonts w:hint="eastAsia" w:ascii="宋体" w:hAnsi="宋体" w:eastAsia="宋体" w:cs="宋体"/>
                <w:i w:val="0"/>
                <w:iCs w:val="0"/>
                <w:caps w:val="0"/>
                <w:color w:val="auto"/>
                <w:spacing w:val="0"/>
                <w:sz w:val="24"/>
                <w:szCs w:val="24"/>
                <w:highlight w:val="none"/>
                <w:shd w:val="clear" w:fill="FFFFFF"/>
              </w:rPr>
              <w:t>万元。本项目</w:t>
            </w:r>
            <w:r>
              <w:rPr>
                <w:rFonts w:hint="eastAsia" w:ascii="宋体" w:hAnsi="宋体" w:eastAsia="宋体" w:cs="宋体"/>
                <w:i w:val="0"/>
                <w:iCs w:val="0"/>
                <w:caps w:val="0"/>
                <w:color w:val="auto"/>
                <w:spacing w:val="0"/>
                <w:sz w:val="24"/>
                <w:szCs w:val="24"/>
                <w:highlight w:val="none"/>
                <w:shd w:val="clear" w:fill="FFFFFF"/>
                <w:lang w:val="en-US" w:eastAsia="zh-CN"/>
              </w:rPr>
              <w:t>占地面积</w:t>
            </w:r>
            <w:r>
              <w:rPr>
                <w:rFonts w:hint="eastAsia" w:ascii="宋体" w:hAnsi="宋体" w:eastAsia="宋体" w:cs="宋体"/>
                <w:i w:val="0"/>
                <w:iCs w:val="0"/>
                <w:caps w:val="0"/>
                <w:color w:val="auto"/>
                <w:spacing w:val="0"/>
                <w:sz w:val="24"/>
                <w:szCs w:val="24"/>
                <w:highlight w:val="none"/>
                <w:shd w:val="clear" w:fill="FFFFFF"/>
              </w:rPr>
              <w:t>50亩，新建建筑面积</w:t>
            </w:r>
            <w:r>
              <w:rPr>
                <w:rFonts w:hint="eastAsia" w:ascii="宋体" w:hAnsi="宋体" w:eastAsia="宋体" w:cs="宋体"/>
                <w:i w:val="0"/>
                <w:iCs w:val="0"/>
                <w:caps w:val="0"/>
                <w:color w:val="auto"/>
                <w:spacing w:val="0"/>
                <w:sz w:val="24"/>
                <w:szCs w:val="24"/>
                <w:highlight w:val="none"/>
                <w:shd w:val="clear" w:fill="FFFFFF"/>
                <w:lang w:val="en-US" w:eastAsia="zh-CN"/>
              </w:rPr>
              <w:t>14040</w:t>
            </w:r>
            <w:r>
              <w:rPr>
                <w:rFonts w:hint="eastAsia" w:ascii="宋体" w:hAnsi="宋体" w:eastAsia="宋体" w:cs="宋体"/>
                <w:i w:val="0"/>
                <w:iCs w:val="0"/>
                <w:caps w:val="0"/>
                <w:color w:val="auto"/>
                <w:spacing w:val="0"/>
                <w:sz w:val="24"/>
                <w:szCs w:val="24"/>
                <w:highlight w:val="none"/>
                <w:shd w:val="clear" w:fill="FFFFFF"/>
              </w:rPr>
              <w:t>平方米，</w:t>
            </w:r>
            <w:r>
              <w:rPr>
                <w:rFonts w:hint="eastAsia" w:ascii="宋体" w:hAnsi="宋体" w:eastAsia="宋体" w:cs="宋体"/>
                <w:i w:val="0"/>
                <w:iCs w:val="0"/>
                <w:caps w:val="0"/>
                <w:color w:val="auto"/>
                <w:spacing w:val="0"/>
                <w:sz w:val="24"/>
                <w:szCs w:val="24"/>
                <w:highlight w:val="none"/>
                <w:shd w:val="clear" w:fill="FFFFFF"/>
                <w:lang w:val="en-US" w:eastAsia="zh-CN"/>
              </w:rPr>
              <w:t>主要建设内容：综合服务用房、火化区、骨灰寄存区、遗体处理区、悼念区(停灵大厅)、焚烧池、垃圾站、配电房、门房、公共卫生间、多功能用房等以及相关配套基础设施。预期</w:t>
            </w:r>
            <w:r>
              <w:rPr>
                <w:rFonts w:hint="eastAsia" w:ascii="宋体" w:hAnsi="宋体" w:eastAsia="宋体" w:cs="宋体"/>
                <w:i w:val="0"/>
                <w:iCs w:val="0"/>
                <w:caps w:val="0"/>
                <w:color w:val="auto"/>
                <w:spacing w:val="0"/>
                <w:sz w:val="24"/>
                <w:szCs w:val="24"/>
                <w:highlight w:val="none"/>
                <w:shd w:val="clear" w:fill="FFFFFF"/>
              </w:rPr>
              <w:t>形成集停灵、火化、骨灰寄存及指挥调度等功能于一体的一站式殡葬服务</w:t>
            </w:r>
            <w:r>
              <w:rPr>
                <w:rFonts w:hint="eastAsia" w:ascii="宋体" w:hAnsi="宋体" w:eastAsia="宋体" w:cs="宋体"/>
                <w:i w:val="0"/>
                <w:iCs w:val="0"/>
                <w:caps w:val="0"/>
                <w:color w:val="auto"/>
                <w:spacing w:val="0"/>
                <w:sz w:val="24"/>
                <w:szCs w:val="24"/>
                <w:highlight w:val="none"/>
                <w:shd w:val="clear" w:fill="FFFFFF"/>
                <w:lang w:val="en-US" w:eastAsia="zh-CN"/>
              </w:rPr>
              <w:t>场所</w:t>
            </w:r>
            <w:r>
              <w:rPr>
                <w:rFonts w:hint="eastAsia" w:ascii="宋体" w:hAnsi="宋体" w:eastAsia="宋体" w:cs="宋体"/>
                <w:i w:val="0"/>
                <w:iCs w:val="0"/>
                <w:caps w:val="0"/>
                <w:color w:val="auto"/>
                <w:spacing w:val="0"/>
                <w:sz w:val="24"/>
                <w:szCs w:val="24"/>
                <w:highlight w:val="none"/>
                <w:shd w:val="clear" w:fill="FFFFFF"/>
              </w:rPr>
              <w:t>，以提升服务集约化水平，满足群众治丧需求。</w:t>
            </w:r>
          </w:p>
        </w:tc>
      </w:tr>
      <w:tr w14:paraId="62F9CB2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68" w:hRule="atLeast"/>
          <w:jc w:val="center"/>
        </w:trPr>
        <w:tc>
          <w:tcPr>
            <w:tcW w:w="0" w:type="auto"/>
            <w:shd w:val="clear" w:color="auto" w:fill="FFFFFF" w:themeFill="background1"/>
            <w:tcMar>
              <w:top w:w="72" w:type="dxa"/>
              <w:left w:w="144" w:type="dxa"/>
              <w:bottom w:w="72" w:type="dxa"/>
              <w:right w:w="144" w:type="dxa"/>
            </w:tcMar>
          </w:tcPr>
          <w:p w14:paraId="7CB32CCE">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360" w:lineRule="auto"/>
              <w:ind w:firstLine="480" w:firstLineChars="200"/>
              <w:textAlignment w:val="auto"/>
              <w:rPr>
                <w:rFonts w:hint="eastAsia" w:ascii="黑体" w:hAnsi="黑体" w:eastAsia="黑体" w:cs="黑体"/>
                <w:b w:val="0"/>
                <w:bCs w:val="0"/>
                <w:color w:val="auto"/>
                <w:sz w:val="24"/>
                <w:szCs w:val="24"/>
                <w:highlight w:val="none"/>
                <w:lang w:val="en-US" w:eastAsia="zh-CN"/>
              </w:rPr>
            </w:pPr>
            <w:r>
              <w:rPr>
                <w:rFonts w:hint="eastAsia" w:ascii="黑体" w:hAnsi="黑体" w:eastAsia="黑体" w:cs="黑体"/>
                <w:b w:val="0"/>
                <w:bCs w:val="0"/>
                <w:color w:val="auto"/>
                <w:sz w:val="24"/>
                <w:szCs w:val="24"/>
                <w:highlight w:val="none"/>
                <w:lang w:val="en-US" w:eastAsia="zh-CN"/>
              </w:rPr>
              <w:t>2.潜江市农村公益性公墓建设以奖代补项目</w:t>
            </w:r>
          </w:p>
          <w:p w14:paraId="02E26B8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i w:val="0"/>
                <w:iCs w:val="0"/>
                <w:caps w:val="0"/>
                <w:color w:val="auto"/>
                <w:spacing w:val="0"/>
                <w:sz w:val="24"/>
                <w:szCs w:val="24"/>
                <w:highlight w:val="none"/>
                <w:shd w:val="clear" w:fill="FFFFFF"/>
              </w:rPr>
              <w:t>计划总投资1</w:t>
            </w:r>
            <w:r>
              <w:rPr>
                <w:rFonts w:hint="eastAsia" w:ascii="宋体" w:hAnsi="宋体" w:eastAsia="宋体" w:cs="宋体"/>
                <w:i w:val="0"/>
                <w:iCs w:val="0"/>
                <w:caps w:val="0"/>
                <w:color w:val="auto"/>
                <w:spacing w:val="0"/>
                <w:sz w:val="24"/>
                <w:szCs w:val="24"/>
                <w:highlight w:val="none"/>
                <w:shd w:val="clear" w:fill="FFFFFF"/>
                <w:lang w:val="en-US" w:eastAsia="zh-CN"/>
              </w:rPr>
              <w:t>2</w:t>
            </w:r>
            <w:r>
              <w:rPr>
                <w:rFonts w:hint="eastAsia" w:ascii="宋体" w:hAnsi="宋体" w:eastAsia="宋体" w:cs="宋体"/>
                <w:i w:val="0"/>
                <w:iCs w:val="0"/>
                <w:caps w:val="0"/>
                <w:color w:val="auto"/>
                <w:spacing w:val="0"/>
                <w:sz w:val="24"/>
                <w:szCs w:val="24"/>
                <w:highlight w:val="none"/>
                <w:shd w:val="clear" w:fill="FFFFFF"/>
              </w:rPr>
              <w:t>000万元</w:t>
            </w:r>
            <w:r>
              <w:rPr>
                <w:rFonts w:hint="eastAsia" w:ascii="宋体" w:hAnsi="宋体" w:eastAsia="宋体" w:cs="宋体"/>
                <w:i w:val="0"/>
                <w:iCs w:val="0"/>
                <w:caps w:val="0"/>
                <w:color w:val="auto"/>
                <w:spacing w:val="0"/>
                <w:sz w:val="24"/>
                <w:szCs w:val="24"/>
                <w:highlight w:val="none"/>
                <w:shd w:val="clear" w:fill="FFFFFF"/>
                <w:lang w:eastAsia="zh-CN"/>
              </w:rPr>
              <w:t>，</w:t>
            </w:r>
            <w:r>
              <w:rPr>
                <w:rFonts w:hint="eastAsia" w:ascii="宋体" w:hAnsi="宋体" w:eastAsia="宋体" w:cs="宋体"/>
                <w:i w:val="0"/>
                <w:iCs w:val="0"/>
                <w:caps w:val="0"/>
                <w:color w:val="auto"/>
                <w:spacing w:val="0"/>
                <w:sz w:val="24"/>
                <w:szCs w:val="24"/>
                <w:highlight w:val="none"/>
                <w:shd w:val="clear" w:fill="FFFFFF"/>
              </w:rPr>
              <w:t>新建公益性安葬设施</w:t>
            </w:r>
            <w:r>
              <w:rPr>
                <w:rFonts w:hint="eastAsia" w:ascii="宋体" w:hAnsi="宋体" w:eastAsia="宋体" w:cs="宋体"/>
                <w:i w:val="0"/>
                <w:iCs w:val="0"/>
                <w:caps w:val="0"/>
                <w:color w:val="auto"/>
                <w:spacing w:val="0"/>
                <w:sz w:val="24"/>
                <w:szCs w:val="24"/>
                <w:highlight w:val="none"/>
                <w:shd w:val="clear" w:fill="FFFFFF"/>
                <w:lang w:eastAsia="zh-CN"/>
              </w:rPr>
              <w:t>。</w:t>
            </w:r>
            <w:r>
              <w:rPr>
                <w:rFonts w:hint="eastAsia" w:ascii="宋体" w:hAnsi="宋体" w:eastAsia="宋体" w:cs="宋体"/>
                <w:i w:val="0"/>
                <w:iCs w:val="0"/>
                <w:caps w:val="0"/>
                <w:color w:val="auto"/>
                <w:spacing w:val="0"/>
                <w:sz w:val="24"/>
                <w:szCs w:val="24"/>
                <w:highlight w:val="none"/>
                <w:shd w:val="clear" w:fill="FFFFFF"/>
              </w:rPr>
              <w:t>拟新增建设用地1502亩，规划总建筑面积约100万平方米。主要建设内容</w:t>
            </w:r>
            <w:r>
              <w:rPr>
                <w:rFonts w:hint="eastAsia" w:ascii="宋体" w:hAnsi="宋体" w:eastAsia="宋体" w:cs="宋体"/>
                <w:i w:val="0"/>
                <w:iCs w:val="0"/>
                <w:caps w:val="0"/>
                <w:color w:val="auto"/>
                <w:spacing w:val="0"/>
                <w:sz w:val="24"/>
                <w:szCs w:val="24"/>
                <w:highlight w:val="none"/>
                <w:shd w:val="clear" w:fill="FFFFFF"/>
                <w:lang w:eastAsia="zh-CN"/>
              </w:rPr>
              <w:t>：</w:t>
            </w:r>
            <w:r>
              <w:rPr>
                <w:rFonts w:hint="eastAsia" w:ascii="宋体" w:hAnsi="宋体" w:eastAsia="宋体" w:cs="宋体"/>
                <w:i w:val="0"/>
                <w:iCs w:val="0"/>
                <w:caps w:val="0"/>
                <w:color w:val="auto"/>
                <w:spacing w:val="0"/>
                <w:sz w:val="24"/>
                <w:szCs w:val="24"/>
                <w:highlight w:val="none"/>
                <w:shd w:val="clear" w:fill="FFFFFF"/>
              </w:rPr>
              <w:t>新建覆盖目标行政村的公益性安葬设施（如公墓、骨灰堂等）及相关配套设施</w:t>
            </w:r>
            <w:r>
              <w:rPr>
                <w:rFonts w:hint="eastAsia" w:ascii="宋体" w:hAnsi="宋体" w:eastAsia="宋体" w:cs="宋体"/>
                <w:i w:val="0"/>
                <w:iCs w:val="0"/>
                <w:caps w:val="0"/>
                <w:color w:val="auto"/>
                <w:spacing w:val="0"/>
                <w:sz w:val="24"/>
                <w:szCs w:val="24"/>
                <w:highlight w:val="none"/>
                <w:shd w:val="clear" w:fill="FFFFFF"/>
                <w:lang w:eastAsia="zh-CN"/>
              </w:rPr>
              <w:t>。</w:t>
            </w:r>
            <w:r>
              <w:rPr>
                <w:rFonts w:hint="eastAsia" w:ascii="宋体" w:hAnsi="宋体" w:eastAsia="宋体" w:cs="宋体"/>
                <w:i w:val="0"/>
                <w:iCs w:val="0"/>
                <w:caps w:val="0"/>
                <w:color w:val="auto"/>
                <w:spacing w:val="0"/>
                <w:sz w:val="24"/>
                <w:szCs w:val="24"/>
                <w:highlight w:val="none"/>
                <w:shd w:val="clear" w:fill="FFFFFF"/>
              </w:rPr>
              <w:t>旨在“十五五”期间实现辖区内</w:t>
            </w:r>
            <w:r>
              <w:rPr>
                <w:rFonts w:hint="eastAsia" w:ascii="宋体" w:hAnsi="宋体" w:eastAsia="宋体" w:cs="宋体"/>
                <w:i w:val="0"/>
                <w:iCs w:val="0"/>
                <w:caps w:val="0"/>
                <w:color w:val="auto"/>
                <w:spacing w:val="0"/>
                <w:sz w:val="24"/>
                <w:szCs w:val="24"/>
                <w:highlight w:val="none"/>
                <w:shd w:val="clear" w:fill="FFFFFF"/>
                <w:lang w:val="en-US" w:eastAsia="zh-CN"/>
              </w:rPr>
              <w:t>329</w:t>
            </w:r>
            <w:r>
              <w:rPr>
                <w:rFonts w:hint="eastAsia" w:ascii="宋体" w:hAnsi="宋体" w:eastAsia="宋体" w:cs="宋体"/>
                <w:i w:val="0"/>
                <w:iCs w:val="0"/>
                <w:caps w:val="0"/>
                <w:color w:val="auto"/>
                <w:spacing w:val="0"/>
                <w:sz w:val="24"/>
                <w:szCs w:val="24"/>
                <w:highlight w:val="none"/>
                <w:shd w:val="clear" w:fill="FFFFFF"/>
              </w:rPr>
              <w:t>个行政村公益性安葬设施全覆盖，并完成20余万座散葬旧坟的搬迁工作，系统改善农村殡葬环境。</w:t>
            </w:r>
          </w:p>
        </w:tc>
      </w:tr>
      <w:tr w14:paraId="795DDCF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665" w:hRule="atLeast"/>
          <w:jc w:val="center"/>
        </w:trPr>
        <w:tc>
          <w:tcPr>
            <w:tcW w:w="0" w:type="auto"/>
            <w:shd w:val="clear" w:color="auto" w:fill="FFFFFF" w:themeFill="background1"/>
            <w:tcMar>
              <w:top w:w="72" w:type="dxa"/>
              <w:left w:w="144" w:type="dxa"/>
              <w:bottom w:w="72" w:type="dxa"/>
              <w:right w:w="144" w:type="dxa"/>
            </w:tcMar>
          </w:tcPr>
          <w:p w14:paraId="68D2C09B">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360" w:lineRule="auto"/>
              <w:ind w:firstLine="480" w:firstLineChars="200"/>
              <w:textAlignment w:val="auto"/>
              <w:rPr>
                <w:rFonts w:hint="default" w:ascii="黑体" w:hAnsi="黑体" w:eastAsia="黑体" w:cs="黑体"/>
                <w:b w:val="0"/>
                <w:bCs w:val="0"/>
                <w:color w:val="auto"/>
                <w:sz w:val="24"/>
                <w:szCs w:val="24"/>
                <w:highlight w:val="none"/>
                <w:lang w:val="en-US" w:eastAsia="zh-CN"/>
              </w:rPr>
            </w:pPr>
            <w:r>
              <w:rPr>
                <w:rFonts w:hint="eastAsia" w:ascii="黑体" w:hAnsi="黑体" w:eastAsia="黑体" w:cs="黑体"/>
                <w:b w:val="0"/>
                <w:bCs w:val="0"/>
                <w:color w:val="auto"/>
                <w:sz w:val="24"/>
                <w:szCs w:val="24"/>
                <w:highlight w:val="none"/>
                <w:lang w:val="en-US" w:eastAsia="zh-CN"/>
              </w:rPr>
              <w:t>3.潜江市紫云公墓节地生态安葬建设项目</w:t>
            </w:r>
          </w:p>
          <w:p w14:paraId="7B0ED23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i w:val="0"/>
                <w:iCs w:val="0"/>
                <w:caps w:val="0"/>
                <w:color w:val="auto"/>
                <w:spacing w:val="0"/>
                <w:sz w:val="24"/>
                <w:szCs w:val="24"/>
                <w:highlight w:val="none"/>
                <w:shd w:val="clear" w:fill="FFFFFF"/>
                <w:lang w:eastAsia="zh-CN"/>
              </w:rPr>
              <w:t>计划投资500万元，拟新增10亩用地，</w:t>
            </w:r>
            <w:r>
              <w:rPr>
                <w:rFonts w:hint="eastAsia" w:ascii="宋体" w:hAnsi="宋体" w:eastAsia="宋体" w:cs="宋体"/>
                <w:i w:val="0"/>
                <w:iCs w:val="0"/>
                <w:caps w:val="0"/>
                <w:color w:val="auto"/>
                <w:spacing w:val="0"/>
                <w:sz w:val="24"/>
                <w:szCs w:val="24"/>
                <w:highlight w:val="none"/>
                <w:shd w:val="clear" w:fill="FFFFFF"/>
                <w:lang w:val="en-US" w:eastAsia="zh-CN"/>
              </w:rPr>
              <w:t>开展潜江市紫云公墓</w:t>
            </w:r>
            <w:r>
              <w:rPr>
                <w:rFonts w:hint="eastAsia" w:ascii="宋体" w:hAnsi="宋体" w:eastAsia="宋体" w:cs="宋体"/>
                <w:i w:val="0"/>
                <w:iCs w:val="0"/>
                <w:caps w:val="0"/>
                <w:color w:val="auto"/>
                <w:spacing w:val="0"/>
                <w:sz w:val="24"/>
                <w:szCs w:val="24"/>
                <w:highlight w:val="none"/>
                <w:shd w:val="clear" w:fill="FFFFFF"/>
              </w:rPr>
              <w:t>扩建工程</w:t>
            </w:r>
            <w:r>
              <w:rPr>
                <w:rFonts w:hint="eastAsia" w:ascii="宋体" w:hAnsi="宋体" w:eastAsia="宋体" w:cs="宋体"/>
                <w:i w:val="0"/>
                <w:iCs w:val="0"/>
                <w:caps w:val="0"/>
                <w:color w:val="auto"/>
                <w:spacing w:val="0"/>
                <w:sz w:val="24"/>
                <w:szCs w:val="24"/>
                <w:highlight w:val="none"/>
                <w:shd w:val="clear" w:fill="FFFFFF"/>
                <w:lang w:eastAsia="zh-CN"/>
              </w:rPr>
              <w:t>，以缓解</w:t>
            </w:r>
            <w:r>
              <w:rPr>
                <w:rFonts w:hint="eastAsia" w:ascii="宋体" w:hAnsi="宋体" w:eastAsia="宋体" w:cs="宋体"/>
                <w:i w:val="0"/>
                <w:iCs w:val="0"/>
                <w:caps w:val="0"/>
                <w:color w:val="auto"/>
                <w:spacing w:val="0"/>
                <w:sz w:val="24"/>
                <w:szCs w:val="24"/>
                <w:highlight w:val="none"/>
                <w:shd w:val="clear" w:fill="FFFFFF"/>
                <w:lang w:val="en-US" w:eastAsia="zh-CN"/>
              </w:rPr>
              <w:t>节地生态</w:t>
            </w:r>
            <w:r>
              <w:rPr>
                <w:rFonts w:hint="eastAsia" w:ascii="宋体" w:hAnsi="宋体" w:eastAsia="宋体" w:cs="宋体"/>
                <w:i w:val="0"/>
                <w:iCs w:val="0"/>
                <w:caps w:val="0"/>
                <w:color w:val="auto"/>
                <w:spacing w:val="0"/>
                <w:sz w:val="24"/>
                <w:szCs w:val="24"/>
                <w:highlight w:val="none"/>
                <w:shd w:val="clear" w:fill="FFFFFF"/>
                <w:lang w:eastAsia="zh-CN"/>
              </w:rPr>
              <w:t>墓位紧张。项目将建设生态安葬区，大力推广壁葬、树葬、</w:t>
            </w:r>
            <w:r>
              <w:rPr>
                <w:rFonts w:hint="eastAsia" w:ascii="宋体" w:hAnsi="宋体" w:eastAsia="宋体" w:cs="宋体"/>
                <w:i w:val="0"/>
                <w:iCs w:val="0"/>
                <w:caps w:val="0"/>
                <w:color w:val="auto"/>
                <w:spacing w:val="0"/>
                <w:sz w:val="24"/>
                <w:szCs w:val="24"/>
                <w:highlight w:val="none"/>
                <w:shd w:val="clear" w:fill="FFFFFF"/>
                <w:lang w:val="en-US" w:eastAsia="zh-CN"/>
              </w:rPr>
              <w:t>草坪葬</w:t>
            </w:r>
            <w:r>
              <w:rPr>
                <w:rFonts w:hint="eastAsia" w:ascii="宋体" w:hAnsi="宋体" w:eastAsia="宋体" w:cs="宋体"/>
                <w:i w:val="0"/>
                <w:iCs w:val="0"/>
                <w:caps w:val="0"/>
                <w:color w:val="auto"/>
                <w:spacing w:val="0"/>
                <w:sz w:val="24"/>
                <w:szCs w:val="24"/>
                <w:highlight w:val="none"/>
                <w:shd w:val="clear" w:fill="FFFFFF"/>
                <w:lang w:eastAsia="zh-CN"/>
              </w:rPr>
              <w:t>等节地葬法。打造</w:t>
            </w:r>
            <w:r>
              <w:rPr>
                <w:rFonts w:hint="eastAsia" w:ascii="宋体" w:hAnsi="宋体" w:eastAsia="宋体" w:cs="宋体"/>
                <w:i w:val="0"/>
                <w:iCs w:val="0"/>
                <w:caps w:val="0"/>
                <w:color w:val="auto"/>
                <w:spacing w:val="0"/>
                <w:sz w:val="24"/>
                <w:szCs w:val="24"/>
                <w:highlight w:val="none"/>
                <w:shd w:val="clear" w:fill="FFFFFF"/>
                <w:lang w:val="en-US" w:eastAsia="zh-CN"/>
              </w:rPr>
              <w:t>20</w:t>
            </w:r>
            <w:r>
              <w:rPr>
                <w:rFonts w:hint="eastAsia" w:ascii="宋体" w:hAnsi="宋体" w:eastAsia="宋体" w:cs="宋体"/>
                <w:i w:val="0"/>
                <w:iCs w:val="0"/>
                <w:caps w:val="0"/>
                <w:color w:val="auto"/>
                <w:spacing w:val="0"/>
                <w:sz w:val="24"/>
                <w:szCs w:val="24"/>
                <w:highlight w:val="none"/>
                <w:shd w:val="clear" w:fill="FFFFFF"/>
                <w:lang w:eastAsia="zh-CN"/>
              </w:rPr>
              <w:t>00个</w:t>
            </w:r>
            <w:r>
              <w:rPr>
                <w:rFonts w:hint="eastAsia" w:ascii="宋体" w:hAnsi="宋体" w:eastAsia="宋体" w:cs="宋体"/>
                <w:i w:val="0"/>
                <w:iCs w:val="0"/>
                <w:caps w:val="0"/>
                <w:color w:val="auto"/>
                <w:spacing w:val="0"/>
                <w:sz w:val="24"/>
                <w:szCs w:val="24"/>
                <w:highlight w:val="none"/>
                <w:shd w:val="clear" w:fill="FFFFFF"/>
                <w:lang w:val="en-US" w:eastAsia="zh-CN"/>
              </w:rPr>
              <w:t>生态</w:t>
            </w:r>
            <w:r>
              <w:rPr>
                <w:rFonts w:hint="eastAsia" w:ascii="宋体" w:hAnsi="宋体" w:eastAsia="宋体" w:cs="宋体"/>
                <w:i w:val="0"/>
                <w:iCs w:val="0"/>
                <w:caps w:val="0"/>
                <w:color w:val="auto"/>
                <w:spacing w:val="0"/>
                <w:sz w:val="24"/>
                <w:szCs w:val="24"/>
                <w:highlight w:val="none"/>
                <w:shd w:val="clear" w:fill="FFFFFF"/>
                <w:lang w:eastAsia="zh-CN"/>
              </w:rPr>
              <w:t>、艺术性的墓穴（</w:t>
            </w:r>
            <w:r>
              <w:rPr>
                <w:rFonts w:hint="eastAsia" w:ascii="宋体" w:hAnsi="宋体" w:eastAsia="宋体" w:cs="宋体"/>
                <w:i w:val="0"/>
                <w:iCs w:val="0"/>
                <w:caps w:val="0"/>
                <w:color w:val="auto"/>
                <w:spacing w:val="0"/>
                <w:sz w:val="24"/>
                <w:szCs w:val="24"/>
                <w:highlight w:val="none"/>
                <w:shd w:val="clear" w:fill="FFFFFF"/>
                <w:lang w:val="en-US" w:eastAsia="zh-CN"/>
              </w:rPr>
              <w:t>卧碑、立碑</w:t>
            </w:r>
            <w:r>
              <w:rPr>
                <w:rFonts w:hint="eastAsia" w:ascii="宋体" w:hAnsi="宋体" w:eastAsia="宋体" w:cs="宋体"/>
                <w:i w:val="0"/>
                <w:iCs w:val="0"/>
                <w:caps w:val="0"/>
                <w:color w:val="auto"/>
                <w:spacing w:val="0"/>
                <w:sz w:val="24"/>
                <w:szCs w:val="24"/>
                <w:highlight w:val="none"/>
                <w:shd w:val="clear" w:fill="FFFFFF"/>
                <w:lang w:eastAsia="zh-CN"/>
              </w:rPr>
              <w:t>）。同时，逐步推进经营性公墓向公益性转型，优化资源配置，践行绿色殡葬理念，推动公墓实现可持续、高质量发展。</w:t>
            </w:r>
          </w:p>
        </w:tc>
      </w:tr>
      <w:tr w14:paraId="37B4A58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665" w:hRule="atLeast"/>
          <w:jc w:val="center"/>
        </w:trPr>
        <w:tc>
          <w:tcPr>
            <w:tcW w:w="0" w:type="auto"/>
            <w:shd w:val="clear" w:color="auto" w:fill="FFFFFF" w:themeFill="background1"/>
            <w:tcMar>
              <w:top w:w="72" w:type="dxa"/>
              <w:left w:w="144" w:type="dxa"/>
              <w:bottom w:w="72" w:type="dxa"/>
              <w:right w:w="144" w:type="dxa"/>
            </w:tcMar>
          </w:tcPr>
          <w:p w14:paraId="4934A586">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360" w:lineRule="auto"/>
              <w:ind w:firstLine="480" w:firstLineChars="200"/>
              <w:textAlignment w:val="auto"/>
              <w:rPr>
                <w:rFonts w:hint="eastAsia" w:ascii="黑体" w:hAnsi="黑体" w:eastAsia="黑体" w:cs="黑体"/>
                <w:b w:val="0"/>
                <w:bCs w:val="0"/>
                <w:color w:val="auto"/>
                <w:sz w:val="24"/>
                <w:szCs w:val="24"/>
                <w:highlight w:val="none"/>
                <w:lang w:val="en-US" w:eastAsia="zh-CN"/>
              </w:rPr>
            </w:pPr>
            <w:r>
              <w:rPr>
                <w:rFonts w:hint="eastAsia" w:ascii="黑体" w:hAnsi="黑体" w:eastAsia="黑体" w:cs="黑体"/>
                <w:b w:val="0"/>
                <w:bCs w:val="0"/>
                <w:color w:val="auto"/>
                <w:sz w:val="24"/>
                <w:szCs w:val="24"/>
                <w:highlight w:val="none"/>
                <w:lang w:val="en-US" w:eastAsia="zh-CN"/>
              </w:rPr>
              <w:t>4.潜江市殡仪馆设施设备升级改造项目</w:t>
            </w:r>
          </w:p>
          <w:p w14:paraId="4125591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i w:val="0"/>
                <w:iCs w:val="0"/>
                <w:caps w:val="0"/>
                <w:color w:val="auto"/>
                <w:spacing w:val="0"/>
                <w:sz w:val="24"/>
                <w:szCs w:val="24"/>
                <w:highlight w:val="none"/>
                <w:shd w:val="clear" w:fill="FFFFFF"/>
                <w:lang w:eastAsia="zh-CN"/>
              </w:rPr>
            </w:pPr>
            <w:r>
              <w:rPr>
                <w:rFonts w:hint="eastAsia" w:ascii="宋体" w:hAnsi="宋体" w:eastAsia="宋体" w:cs="宋体"/>
                <w:i w:val="0"/>
                <w:iCs w:val="0"/>
                <w:caps w:val="0"/>
                <w:color w:val="auto"/>
                <w:spacing w:val="0"/>
                <w:sz w:val="24"/>
                <w:szCs w:val="24"/>
                <w:highlight w:val="none"/>
                <w:shd w:val="clear" w:fill="FFFFFF"/>
                <w:lang w:eastAsia="zh-CN"/>
              </w:rPr>
              <w:t>计划总投资2000万元，对潜江市殡仪馆设施设备进行系统性升级改造。更新火化炉、尾气处理设备及新风系统，确保排放达标、改善空气质量；购置冷藏棺、瞻仰棺及殡仪专用车辆，提升遗体接运与存放保障能力；优化悼念厅空调、电子显示屏等设施，改善治丧环境与服务体验；更新办公设备，提高管理效率与信息化水平。项目完成后，将进一步完善硬件设施，满足群众基本殡葬需求，落实环保要求，推动殡葬服务向规范化、现代化、绿色化发展。</w:t>
            </w:r>
          </w:p>
        </w:tc>
      </w:tr>
    </w:tbl>
    <w:p w14:paraId="21A2A665">
      <w:pPr>
        <w:ind w:firstLine="640" w:firstLineChars="200"/>
        <w:outlineLvl w:val="2"/>
        <w:rPr>
          <w:rFonts w:ascii="华文中宋" w:hAnsi="华文中宋" w:eastAsia="华文中宋" w:cs="华文中宋"/>
          <w:b w:val="0"/>
          <w:bCs w:val="0"/>
          <w:color w:val="auto"/>
          <w:sz w:val="32"/>
          <w:szCs w:val="32"/>
          <w:highlight w:val="none"/>
        </w:rPr>
      </w:pPr>
      <w:bookmarkStart w:id="69" w:name="_Toc31453"/>
      <w:r>
        <w:rPr>
          <w:rFonts w:hint="eastAsia" w:ascii="华文中宋" w:hAnsi="华文中宋" w:eastAsia="华文中宋" w:cs="华文中宋"/>
          <w:b w:val="0"/>
          <w:bCs w:val="0"/>
          <w:color w:val="auto"/>
          <w:sz w:val="32"/>
          <w:szCs w:val="32"/>
          <w:highlight w:val="none"/>
        </w:rPr>
        <w:t>（</w:t>
      </w:r>
      <w:r>
        <w:rPr>
          <w:rFonts w:hint="eastAsia" w:ascii="华文中宋" w:hAnsi="华文中宋" w:eastAsia="华文中宋" w:cs="华文中宋"/>
          <w:b w:val="0"/>
          <w:bCs w:val="0"/>
          <w:color w:val="auto"/>
          <w:sz w:val="32"/>
          <w:szCs w:val="32"/>
          <w:highlight w:val="none"/>
          <w:lang w:val="en-US" w:eastAsia="zh-CN"/>
        </w:rPr>
        <w:t>二</w:t>
      </w:r>
      <w:r>
        <w:rPr>
          <w:rFonts w:hint="eastAsia" w:ascii="华文中宋" w:hAnsi="华文中宋" w:eastAsia="华文中宋" w:cs="华文中宋"/>
          <w:b w:val="0"/>
          <w:bCs w:val="0"/>
          <w:color w:val="auto"/>
          <w:sz w:val="32"/>
          <w:szCs w:val="32"/>
          <w:highlight w:val="none"/>
        </w:rPr>
        <w:t>）加强婚姻管理服务</w:t>
      </w:r>
      <w:bookmarkEnd w:id="68"/>
      <w:bookmarkEnd w:id="69"/>
    </w:p>
    <w:p w14:paraId="18E226E2">
      <w:pPr>
        <w:keepNext w:val="0"/>
        <w:keepLines w:val="0"/>
        <w:pageBreakBefore w:val="0"/>
        <w:widowControl w:val="0"/>
        <w:kinsoku/>
        <w:wordWrap/>
        <w:overflowPunct/>
        <w:topLinePunct w:val="0"/>
        <w:autoSpaceDE/>
        <w:autoSpaceDN/>
        <w:bidi w:val="0"/>
        <w:adjustRightInd/>
        <w:snapToGrid/>
        <w:spacing w:before="157" w:beforeLines="50" w:line="360" w:lineRule="auto"/>
        <w:ind w:firstLine="643" w:firstLineChars="200"/>
        <w:textAlignment w:val="auto"/>
        <w:rPr>
          <w:rFonts w:hint="eastAsia" w:ascii="华文仿宋" w:hAnsi="华文仿宋" w:eastAsia="华文仿宋" w:cs="华文仿宋"/>
          <w:color w:val="auto"/>
          <w:sz w:val="32"/>
          <w:szCs w:val="32"/>
          <w:highlight w:val="none"/>
          <w:lang w:val="en-US" w:eastAsia="zh-CN"/>
        </w:rPr>
      </w:pPr>
      <w:r>
        <w:rPr>
          <w:rFonts w:hint="eastAsia" w:ascii="华文楷体" w:hAnsi="华文楷体" w:eastAsia="华文楷体" w:cs="华文楷体"/>
          <w:b/>
          <w:bCs/>
          <w:color w:val="auto"/>
          <w:kern w:val="2"/>
          <w:sz w:val="32"/>
          <w:szCs w:val="32"/>
          <w:highlight w:val="none"/>
          <w:lang w:val="en-US" w:eastAsia="zh-CN" w:bidi="ar-SA"/>
        </w:rPr>
        <w:t>推进婚姻登记服务规范化与智能化。</w:t>
      </w:r>
      <w:r>
        <w:rPr>
          <w:rFonts w:hint="eastAsia" w:ascii="华文仿宋" w:hAnsi="华文仿宋" w:eastAsia="华文仿宋" w:cs="华文仿宋"/>
          <w:color w:val="auto"/>
          <w:sz w:val="32"/>
          <w:szCs w:val="32"/>
          <w:highlight w:val="none"/>
          <w:lang w:val="en-US" w:eastAsia="zh-CN"/>
        </w:rPr>
        <w:t>加强婚姻登记机关规范化、标准化建设，优化“互联网+婚姻服务”。持续推进婚姻登记信息化，推动实现婚姻登记数字化、智能化。巩固优化婚姻登记“全国通办”，提升服务便捷性。</w:t>
      </w:r>
    </w:p>
    <w:p w14:paraId="6464C975">
      <w:pPr>
        <w:keepNext w:val="0"/>
        <w:keepLines w:val="0"/>
        <w:pageBreakBefore w:val="0"/>
        <w:widowControl w:val="0"/>
        <w:kinsoku/>
        <w:wordWrap/>
        <w:overflowPunct/>
        <w:topLinePunct w:val="0"/>
        <w:autoSpaceDE/>
        <w:autoSpaceDN/>
        <w:bidi w:val="0"/>
        <w:adjustRightInd/>
        <w:snapToGrid/>
        <w:spacing w:before="157" w:beforeLines="50" w:line="360" w:lineRule="auto"/>
        <w:ind w:firstLine="643" w:firstLineChars="200"/>
        <w:textAlignment w:val="auto"/>
        <w:rPr>
          <w:rFonts w:hint="eastAsia" w:ascii="华文仿宋" w:hAnsi="华文仿宋" w:eastAsia="华文仿宋" w:cs="华文仿宋"/>
          <w:color w:val="auto"/>
          <w:sz w:val="32"/>
          <w:szCs w:val="32"/>
          <w:highlight w:val="none"/>
          <w:lang w:val="en-US" w:eastAsia="zh-CN"/>
        </w:rPr>
      </w:pPr>
      <w:r>
        <w:rPr>
          <w:rFonts w:hint="eastAsia" w:ascii="华文楷体" w:hAnsi="华文楷体" w:eastAsia="华文楷体" w:cs="华文楷体"/>
          <w:b/>
          <w:bCs/>
          <w:color w:val="auto"/>
          <w:kern w:val="2"/>
          <w:sz w:val="32"/>
          <w:szCs w:val="32"/>
          <w:highlight w:val="none"/>
          <w:lang w:val="en-US" w:eastAsia="zh-CN" w:bidi="ar-SA"/>
        </w:rPr>
        <w:t>健全婚姻家庭辅导服务体系。</w:t>
      </w:r>
      <w:r>
        <w:rPr>
          <w:rFonts w:hint="eastAsia" w:ascii="华文仿宋" w:hAnsi="华文仿宋" w:eastAsia="华文仿宋" w:cs="华文仿宋"/>
          <w:color w:val="auto"/>
          <w:sz w:val="32"/>
          <w:szCs w:val="32"/>
          <w:highlight w:val="none"/>
          <w:lang w:val="en-US" w:eastAsia="zh-CN"/>
        </w:rPr>
        <w:t>拓展婚姻家庭辅导服务内涵与模式，扩大婚姻登记机关内设辅导室的覆盖面。引入专业社工、心理咨询师及政府购买服务，搭建多层次、广覆盖、便捷化的服务平台，为公众提供包括婚前指导、关系调适、心理疏导、纠纷化解及离婚冷静期内咨询在内的全方位专业服务。加强与专业调解组织、心理咨询机构的合作，建立有效转介机制，探索婚姻家庭辅导专业队伍的培育工作，弘扬优良家风，促进家庭和睦与社会和谐。</w:t>
      </w:r>
    </w:p>
    <w:p w14:paraId="31ABED12">
      <w:pPr>
        <w:keepNext w:val="0"/>
        <w:keepLines w:val="0"/>
        <w:pageBreakBefore w:val="0"/>
        <w:widowControl w:val="0"/>
        <w:kinsoku/>
        <w:wordWrap/>
        <w:overflowPunct/>
        <w:topLinePunct w:val="0"/>
        <w:autoSpaceDE/>
        <w:autoSpaceDN/>
        <w:bidi w:val="0"/>
        <w:adjustRightInd/>
        <w:snapToGrid/>
        <w:spacing w:after="157" w:afterLines="50" w:line="360" w:lineRule="auto"/>
        <w:ind w:firstLine="643" w:firstLineChars="200"/>
        <w:textAlignment w:val="auto"/>
        <w:rPr>
          <w:rFonts w:hint="eastAsia" w:ascii="华文仿宋" w:hAnsi="华文仿宋" w:eastAsia="华文仿宋" w:cs="华文仿宋"/>
          <w:color w:val="auto"/>
          <w:sz w:val="32"/>
          <w:szCs w:val="32"/>
          <w:highlight w:val="none"/>
          <w:lang w:val="en-US" w:eastAsia="zh-CN"/>
        </w:rPr>
      </w:pPr>
      <w:r>
        <w:rPr>
          <w:rFonts w:hint="eastAsia" w:ascii="华文楷体" w:hAnsi="华文楷体" w:eastAsia="华文楷体" w:cs="华文楷体"/>
          <w:b/>
          <w:bCs/>
          <w:color w:val="auto"/>
          <w:kern w:val="2"/>
          <w:sz w:val="32"/>
          <w:szCs w:val="32"/>
          <w:highlight w:val="none"/>
          <w:lang w:val="en-US" w:eastAsia="zh-CN" w:bidi="ar-SA"/>
        </w:rPr>
        <w:t>深化婚俗改革。</w:t>
      </w:r>
      <w:r>
        <w:rPr>
          <w:rFonts w:hint="eastAsia" w:ascii="华文仿宋" w:hAnsi="华文仿宋" w:eastAsia="华文仿宋" w:cs="华文仿宋"/>
          <w:color w:val="auto"/>
          <w:sz w:val="32"/>
          <w:szCs w:val="32"/>
          <w:highlight w:val="none"/>
          <w:lang w:val="en-US" w:eastAsia="zh-CN"/>
        </w:rPr>
        <w:t>积极开展婚俗改革，通过开展爱家辅导、倡导移风易俗等活动，营造积极健康的婚姻家庭文化。争取上级支持，加强婚俗文化阵地建设。</w:t>
      </w:r>
    </w:p>
    <w:p w14:paraId="56D5A28E">
      <w:pPr>
        <w:keepNext/>
        <w:keepLines/>
        <w:pageBreakBefore w:val="0"/>
        <w:widowControl w:val="0"/>
        <w:kinsoku/>
        <w:wordWrap/>
        <w:overflowPunct/>
        <w:topLinePunct w:val="0"/>
        <w:autoSpaceDE/>
        <w:autoSpaceDN/>
        <w:bidi w:val="0"/>
        <w:adjustRightInd/>
        <w:snapToGrid/>
        <w:spacing w:before="313" w:beforeLines="100" w:line="360" w:lineRule="auto"/>
        <w:ind w:firstLine="640" w:firstLineChars="200"/>
        <w:textAlignment w:val="auto"/>
        <w:outlineLvl w:val="2"/>
        <w:rPr>
          <w:rFonts w:hint="default" w:ascii="华文中宋" w:hAnsi="华文中宋" w:eastAsia="华文中宋" w:cs="华文中宋"/>
          <w:color w:val="auto"/>
          <w:sz w:val="32"/>
          <w:szCs w:val="32"/>
          <w:highlight w:val="none"/>
          <w:lang w:val="en-US" w:eastAsia="zh-CN"/>
        </w:rPr>
      </w:pPr>
      <w:bookmarkStart w:id="70" w:name="_Toc25645"/>
      <w:r>
        <w:rPr>
          <w:rFonts w:hint="eastAsia" w:ascii="华文中宋" w:hAnsi="华文中宋" w:eastAsia="华文中宋" w:cs="华文中宋"/>
          <w:color w:val="auto"/>
          <w:sz w:val="32"/>
          <w:szCs w:val="32"/>
          <w:highlight w:val="none"/>
          <w:lang w:val="en-US" w:eastAsia="zh-CN"/>
        </w:rPr>
        <w:t>（三）推动救助管理服务转型升级</w:t>
      </w:r>
      <w:bookmarkEnd w:id="70"/>
    </w:p>
    <w:p w14:paraId="61F9CF3C">
      <w:pPr>
        <w:keepNext w:val="0"/>
        <w:keepLines w:val="0"/>
        <w:pageBreakBefore w:val="0"/>
        <w:widowControl w:val="0"/>
        <w:kinsoku/>
        <w:wordWrap/>
        <w:overflowPunct w:val="0"/>
        <w:topLinePunct w:val="0"/>
        <w:autoSpaceDE/>
        <w:autoSpaceDN/>
        <w:bidi w:val="0"/>
        <w:adjustRightInd w:val="0"/>
        <w:snapToGrid w:val="0"/>
        <w:spacing w:before="156" w:beforeLines="50" w:after="157" w:afterLines="50" w:line="360" w:lineRule="auto"/>
        <w:ind w:firstLine="641"/>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提升救助管理工作效能。进一步加强同公安、城管、卫健、大数据等部门的协同联动，推动相关信息数据共享，完善突发情况多部门应急响应机制。依托市镇两级联席会议协调机制，定期会商研究，协调解决工作中存在的困难与问题。在保障基本生活、医疗及返乡救助的同时，根据受助对象的实际需求，拓展提供心理辅导、就业培训、法律援助等多元化服务。不断完善纵向到底、横向到边的工作网络，依托各区（镇、街道）党群服务中心、便民服务大厅等公共资源，持续推进临时救助点建设工作。积极争取上级支持，推动站内基础设施整体提档升级，为精神障碍康复站点提供场地支持。加强救助宣传，引导社会组织、专业社工、志愿者、爱心企业等力量参与救助服务，构建政府主导、社会协同、公众参与的多元救助生态。</w:t>
      </w:r>
    </w:p>
    <w:p w14:paraId="041C0163">
      <w:pPr>
        <w:keepNext w:val="0"/>
        <w:keepLines w:val="0"/>
        <w:pageBreakBefore w:val="0"/>
        <w:widowControl w:val="0"/>
        <w:kinsoku/>
        <w:wordWrap/>
        <w:overflowPunct w:val="0"/>
        <w:topLinePunct w:val="0"/>
        <w:autoSpaceDE/>
        <w:autoSpaceDN/>
        <w:bidi w:val="0"/>
        <w:adjustRightInd w:val="0"/>
        <w:snapToGrid w:val="0"/>
        <w:spacing w:before="156" w:beforeLines="50" w:after="157" w:afterLines="50" w:line="360" w:lineRule="auto"/>
        <w:ind w:firstLine="641"/>
        <w:textAlignment w:val="auto"/>
        <w:rPr>
          <w:rFonts w:hint="eastAsia" w:ascii="仿宋" w:hAnsi="仿宋" w:eastAsia="仿宋" w:cs="仿宋"/>
          <w:color w:val="auto"/>
          <w:sz w:val="32"/>
          <w:szCs w:val="32"/>
          <w:highlight w:val="none"/>
          <w:lang w:val="en-US" w:eastAsia="zh-CN"/>
        </w:rPr>
      </w:pPr>
    </w:p>
    <w:p w14:paraId="6426FB31">
      <w:pPr>
        <w:keepNext w:val="0"/>
        <w:keepLines w:val="0"/>
        <w:pageBreakBefore w:val="0"/>
        <w:widowControl w:val="0"/>
        <w:kinsoku/>
        <w:wordWrap/>
        <w:overflowPunct w:val="0"/>
        <w:topLinePunct w:val="0"/>
        <w:autoSpaceDE/>
        <w:autoSpaceDN/>
        <w:bidi w:val="0"/>
        <w:adjustRightInd w:val="0"/>
        <w:snapToGrid w:val="0"/>
        <w:spacing w:before="156" w:beforeLines="50" w:after="157" w:afterLines="50" w:line="360" w:lineRule="auto"/>
        <w:ind w:firstLine="641"/>
        <w:textAlignment w:val="auto"/>
        <w:rPr>
          <w:rFonts w:hint="eastAsia" w:ascii="仿宋" w:hAnsi="仿宋" w:eastAsia="仿宋" w:cs="仿宋"/>
          <w:color w:val="auto"/>
          <w:sz w:val="32"/>
          <w:szCs w:val="32"/>
          <w:highlight w:val="none"/>
          <w:lang w:val="en-US" w:eastAsia="zh-CN"/>
        </w:rPr>
      </w:pPr>
    </w:p>
    <w:p w14:paraId="28500BEF">
      <w:pPr>
        <w:keepNext w:val="0"/>
        <w:keepLines w:val="0"/>
        <w:pageBreakBefore w:val="0"/>
        <w:widowControl w:val="0"/>
        <w:kinsoku/>
        <w:wordWrap/>
        <w:overflowPunct/>
        <w:topLinePunct w:val="0"/>
        <w:autoSpaceDE/>
        <w:autoSpaceDN/>
        <w:bidi w:val="0"/>
        <w:adjustRightInd/>
        <w:snapToGrid w:val="0"/>
        <w:spacing w:before="469" w:beforeLines="150" w:after="313" w:afterLines="100" w:line="360" w:lineRule="auto"/>
        <w:ind w:firstLine="320" w:firstLineChars="100"/>
        <w:jc w:val="center"/>
        <w:textAlignment w:val="auto"/>
        <w:outlineLvl w:val="0"/>
        <w:rPr>
          <w:rFonts w:hint="eastAsia" w:ascii="黑体" w:hAnsi="黑体" w:eastAsia="黑体"/>
          <w:color w:val="auto"/>
          <w:sz w:val="32"/>
          <w:szCs w:val="32"/>
          <w:highlight w:val="none"/>
          <w:lang w:eastAsia="zh-CN"/>
        </w:rPr>
      </w:pPr>
      <w:bookmarkStart w:id="71" w:name="_Toc13685"/>
      <w:r>
        <w:rPr>
          <w:rFonts w:hint="eastAsia" w:ascii="黑体" w:hAnsi="黑体" w:eastAsia="黑体"/>
          <w:color w:val="auto"/>
          <w:sz w:val="32"/>
          <w:szCs w:val="32"/>
          <w:highlight w:val="none"/>
        </w:rPr>
        <w:t>第</w:t>
      </w:r>
      <w:r>
        <w:rPr>
          <w:rFonts w:hint="eastAsia" w:ascii="黑体" w:hAnsi="黑体" w:eastAsia="黑体"/>
          <w:color w:val="auto"/>
          <w:sz w:val="32"/>
          <w:szCs w:val="32"/>
          <w:highlight w:val="none"/>
          <w:lang w:val="en-US" w:eastAsia="zh-CN"/>
        </w:rPr>
        <w:t>四</w:t>
      </w:r>
      <w:r>
        <w:rPr>
          <w:rFonts w:hint="eastAsia" w:ascii="黑体" w:hAnsi="黑体" w:eastAsia="黑体"/>
          <w:color w:val="auto"/>
          <w:sz w:val="32"/>
          <w:szCs w:val="32"/>
          <w:highlight w:val="none"/>
        </w:rPr>
        <w:t>章  保障措施</w:t>
      </w:r>
      <w:bookmarkEnd w:id="71"/>
    </w:p>
    <w:p w14:paraId="3FA647E5">
      <w:pPr>
        <w:snapToGrid w:val="0"/>
        <w:spacing w:before="156" w:beforeLines="50" w:line="360" w:lineRule="auto"/>
        <w:ind w:firstLine="640" w:firstLineChars="200"/>
        <w:outlineLvl w:val="1"/>
        <w:rPr>
          <w:rFonts w:ascii="黑体" w:hAnsi="黑体" w:eastAsia="黑体" w:cs="黑体"/>
          <w:color w:val="auto"/>
          <w:sz w:val="32"/>
          <w:szCs w:val="32"/>
          <w:highlight w:val="none"/>
        </w:rPr>
      </w:pPr>
      <w:bookmarkStart w:id="72" w:name="_Toc32551"/>
      <w:bookmarkStart w:id="73" w:name="_Toc25073"/>
      <w:bookmarkStart w:id="74" w:name="_Toc5472"/>
      <w:bookmarkStart w:id="75" w:name="_Toc14331"/>
      <w:bookmarkStart w:id="76" w:name="_Toc32751"/>
      <w:r>
        <w:rPr>
          <w:rFonts w:hint="eastAsia" w:ascii="黑体" w:hAnsi="黑体" w:eastAsia="黑体" w:cs="黑体"/>
          <w:color w:val="auto"/>
          <w:sz w:val="32"/>
          <w:szCs w:val="32"/>
          <w:highlight w:val="none"/>
        </w:rPr>
        <w:t>一、加强党建引领</w:t>
      </w:r>
      <w:bookmarkEnd w:id="72"/>
      <w:bookmarkEnd w:id="73"/>
      <w:bookmarkEnd w:id="74"/>
    </w:p>
    <w:bookmarkEnd w:id="75"/>
    <w:p w14:paraId="2608FE31">
      <w:pPr>
        <w:ind w:firstLine="640" w:firstLineChars="200"/>
        <w:rPr>
          <w:rFonts w:hint="eastAsia" w:ascii="仿宋" w:hAnsi="仿宋" w:eastAsia="仿宋" w:cs="仿宋"/>
          <w:sz w:val="32"/>
          <w:szCs w:val="32"/>
          <w:lang w:eastAsia="zh-CN"/>
        </w:rPr>
      </w:pPr>
      <w:bookmarkStart w:id="77" w:name="_Toc31204"/>
      <w:bookmarkStart w:id="78" w:name="_Toc1021"/>
      <w:bookmarkStart w:id="79" w:name="_Toc4853"/>
      <w:bookmarkStart w:id="80" w:name="_Toc16289"/>
      <w:r>
        <w:rPr>
          <w:rFonts w:hint="eastAsia" w:ascii="仿宋" w:hAnsi="仿宋" w:eastAsia="仿宋" w:cs="仿宋"/>
          <w:sz w:val="32"/>
          <w:szCs w:val="32"/>
          <w:lang w:val="en-US" w:eastAsia="zh-CN"/>
        </w:rPr>
        <w:t>坚持和加强党对民政局工作的全面领导，严格落实“第一议题”，学习传达习近平总书记重要讲话、重要指示批示精神，特别是习近平总书记关于民政工作的重要论述，聚焦民生实事项目落地见效，扎实推进重点工作，以实际行动坚定拥护“两个确立”、坚决做到“两个维护”。把党的创新理论武装作为首要政治任务，将党员教育培训与民政事业高质量发展深度融合，锻造政治坚定、作风优良、业务精湛、为民务实的党员队伍。坚定不移推进全面从严治党，坚持无禁区、全覆盖、零容忍，一体推进不敢腐、不能腐、不想腐，坚决整治侵害群众利益的腐败问题。</w:t>
      </w:r>
      <w:r>
        <w:rPr>
          <w:rFonts w:hint="eastAsia" w:ascii="仿宋" w:hAnsi="仿宋" w:eastAsia="仿宋" w:cs="仿宋"/>
          <w:sz w:val="32"/>
          <w:szCs w:val="32"/>
          <w:lang w:eastAsia="zh-CN"/>
        </w:rPr>
        <w:t>持之以恒强化作风建设，驰而不息纠“四风”，深入落实中央八项规定及其实施细则精神，坚决防范和纠治形式主义、官僚主义。扎实走好新时代党的群众路线，想群众之所想、急群众之所急，用心用情解决人民群众急难愁盼问题。</w:t>
      </w:r>
    </w:p>
    <w:p w14:paraId="460D261A">
      <w:pPr>
        <w:overflowPunct w:val="0"/>
        <w:spacing w:before="156" w:beforeLines="50" w:line="360" w:lineRule="auto"/>
        <w:ind w:firstLine="643" w:firstLineChars="0"/>
        <w:outlineLvl w:val="1"/>
        <w:rPr>
          <w:rFonts w:ascii="黑体" w:hAnsi="黑体" w:eastAsia="黑体" w:cs="黑体"/>
          <w:color w:val="auto"/>
          <w:sz w:val="32"/>
          <w:szCs w:val="32"/>
          <w:highlight w:val="none"/>
        </w:rPr>
      </w:pPr>
      <w:r>
        <w:rPr>
          <w:rFonts w:hint="eastAsia" w:ascii="黑体" w:hAnsi="黑体" w:eastAsia="黑体" w:cs="黑体"/>
          <w:color w:val="auto"/>
          <w:sz w:val="32"/>
          <w:szCs w:val="32"/>
          <w:highlight w:val="none"/>
        </w:rPr>
        <w:t>二、强化统筹布局</w:t>
      </w:r>
      <w:bookmarkEnd w:id="77"/>
    </w:p>
    <w:p w14:paraId="6E642233">
      <w:pPr>
        <w:widowControl/>
        <w:kinsoku w:val="0"/>
        <w:autoSpaceDE w:val="0"/>
        <w:autoSpaceDN w:val="0"/>
        <w:spacing w:before="156" w:beforeLines="50" w:line="360" w:lineRule="auto"/>
        <w:ind w:firstLine="640" w:firstLineChars="200"/>
        <w:textAlignment w:val="baseline"/>
        <w:rPr>
          <w:rFonts w:ascii="仿宋" w:hAnsi="仿宋" w:eastAsia="仿宋" w:cs="仿宋"/>
          <w:snapToGrid w:val="0"/>
          <w:color w:val="auto"/>
          <w:kern w:val="0"/>
          <w:sz w:val="32"/>
          <w:szCs w:val="32"/>
          <w:highlight w:val="none"/>
        </w:rPr>
      </w:pPr>
      <w:r>
        <w:rPr>
          <w:rFonts w:hint="eastAsia" w:ascii="仿宋" w:hAnsi="仿宋" w:eastAsia="仿宋" w:cs="仿宋"/>
          <w:snapToGrid w:val="0"/>
          <w:color w:val="auto"/>
          <w:kern w:val="0"/>
          <w:sz w:val="32"/>
          <w:szCs w:val="32"/>
          <w:highlight w:val="none"/>
        </w:rPr>
        <w:t>按照老年人口密度、需求变化等因素，结合现有养老服务、殡葬、社会福利等领域的设施分布，</w:t>
      </w:r>
      <w:r>
        <w:rPr>
          <w:rFonts w:hint="eastAsia" w:eastAsia="仿宋_GB2312" w:cs="仿宋_GB2312" w:asciiTheme="minorEastAsia" w:hAnsiTheme="minorEastAsia"/>
          <w:color w:val="auto"/>
          <w:sz w:val="32"/>
          <w:szCs w:val="32"/>
          <w:highlight w:val="none"/>
        </w:rPr>
        <w:t>科学确定设施等级体系、服务半径和建设标准，</w:t>
      </w:r>
      <w:r>
        <w:rPr>
          <w:rFonts w:hint="eastAsia" w:ascii="仿宋" w:hAnsi="仿宋" w:eastAsia="仿宋" w:cs="仿宋"/>
          <w:snapToGrid w:val="0"/>
          <w:color w:val="auto"/>
          <w:kern w:val="0"/>
          <w:sz w:val="32"/>
          <w:szCs w:val="32"/>
          <w:highlight w:val="none"/>
        </w:rPr>
        <w:t>合理规划民政设施项目，并</w:t>
      </w:r>
      <w:r>
        <w:rPr>
          <w:rFonts w:hint="eastAsia" w:eastAsia="仿宋_GB2312" w:cs="仿宋_GB2312" w:asciiTheme="minorEastAsia" w:hAnsiTheme="minorEastAsia"/>
          <w:color w:val="auto"/>
          <w:sz w:val="32"/>
          <w:szCs w:val="32"/>
          <w:highlight w:val="none"/>
        </w:rPr>
        <w:t>主动融入国民经济与社会发展规划、国土空间总体规划，确保项目实施落地，避免重复建设和资源错配。</w:t>
      </w:r>
    </w:p>
    <w:p w14:paraId="6F079048">
      <w:pPr>
        <w:overflowPunct w:val="0"/>
        <w:spacing w:before="156" w:beforeLines="50" w:line="360" w:lineRule="auto"/>
        <w:ind w:firstLine="643" w:firstLineChars="0"/>
        <w:outlineLvl w:val="1"/>
        <w:rPr>
          <w:rFonts w:ascii="黑体" w:hAnsi="黑体" w:eastAsia="黑体" w:cs="黑体"/>
          <w:color w:val="auto"/>
          <w:sz w:val="32"/>
          <w:szCs w:val="32"/>
          <w:highlight w:val="none"/>
        </w:rPr>
      </w:pPr>
      <w:bookmarkStart w:id="81" w:name="_Toc4320"/>
      <w:bookmarkStart w:id="82" w:name="_Toc13489"/>
      <w:bookmarkStart w:id="83" w:name="_Toc9581"/>
      <w:r>
        <w:rPr>
          <w:rFonts w:hint="eastAsia" w:ascii="黑体" w:hAnsi="黑体" w:eastAsia="黑体" w:cs="黑体"/>
          <w:color w:val="auto"/>
          <w:sz w:val="32"/>
          <w:szCs w:val="32"/>
          <w:highlight w:val="none"/>
        </w:rPr>
        <w:t>三、</w:t>
      </w:r>
      <w:r>
        <w:rPr>
          <w:rFonts w:hint="eastAsia" w:ascii="黑体" w:hAnsi="黑体" w:eastAsia="黑体" w:cs="黑体"/>
          <w:color w:val="auto"/>
          <w:sz w:val="32"/>
          <w:szCs w:val="32"/>
          <w:highlight w:val="none"/>
          <w:lang w:val="en-US" w:eastAsia="zh-CN"/>
        </w:rPr>
        <w:t>健全投入保障机制</w:t>
      </w:r>
      <w:bookmarkEnd w:id="81"/>
      <w:bookmarkEnd w:id="82"/>
      <w:bookmarkEnd w:id="83"/>
    </w:p>
    <w:bookmarkEnd w:id="78"/>
    <w:p w14:paraId="2F51292C">
      <w:pPr>
        <w:widowControl/>
        <w:kinsoku w:val="0"/>
        <w:autoSpaceDE w:val="0"/>
        <w:autoSpaceDN w:val="0"/>
        <w:spacing w:before="156" w:beforeLines="50" w:line="360" w:lineRule="auto"/>
        <w:ind w:firstLine="640" w:firstLineChars="200"/>
        <w:textAlignment w:val="baseline"/>
        <w:rPr>
          <w:rFonts w:hint="eastAsia" w:ascii="仿宋" w:hAnsi="仿宋" w:eastAsia="仿宋" w:cs="仿宋"/>
          <w:snapToGrid w:val="0"/>
          <w:color w:val="auto"/>
          <w:kern w:val="0"/>
          <w:sz w:val="32"/>
          <w:szCs w:val="32"/>
          <w:highlight w:val="none"/>
          <w:lang w:eastAsia="zh-CN"/>
        </w:rPr>
      </w:pPr>
      <w:r>
        <w:rPr>
          <w:rFonts w:hint="eastAsia" w:ascii="仿宋" w:hAnsi="仿宋" w:eastAsia="仿宋" w:cs="仿宋"/>
          <w:snapToGrid w:val="0"/>
          <w:color w:val="auto"/>
          <w:kern w:val="0"/>
          <w:sz w:val="32"/>
          <w:szCs w:val="32"/>
          <w:highlight w:val="none"/>
        </w:rPr>
        <w:t>健全财政支持机制，加大对兜底性、基础性民政事业的财政投入，引导资金更多向基本民生保障、基层社会治理、基本社会服务等重点领域倾斜。建立完善以人口为基础、与实际需求相适应的民政事业经费保障机制，明确划分民政事业的事权与财权，合理确定经费支出责任。加强民政事业经费支出预算管理，完善项目评审和全过程绩效管理监督检查机制，切实提高经费使用效率</w:t>
      </w:r>
      <w:r>
        <w:rPr>
          <w:rFonts w:hint="eastAsia" w:ascii="仿宋" w:hAnsi="仿宋" w:eastAsia="仿宋" w:cs="仿宋"/>
          <w:snapToGrid w:val="0"/>
          <w:color w:val="auto"/>
          <w:kern w:val="0"/>
          <w:sz w:val="32"/>
          <w:szCs w:val="32"/>
          <w:highlight w:val="none"/>
          <w:lang w:eastAsia="zh-CN"/>
        </w:rPr>
        <w:t>。</w:t>
      </w:r>
      <w:r>
        <w:rPr>
          <w:rFonts w:hint="eastAsia" w:ascii="仿宋" w:hAnsi="仿宋" w:eastAsia="仿宋" w:cs="仿宋"/>
          <w:snapToGrid w:val="0"/>
          <w:color w:val="auto"/>
          <w:kern w:val="0"/>
          <w:sz w:val="32"/>
          <w:szCs w:val="32"/>
          <w:highlight w:val="none"/>
        </w:rPr>
        <w:t>鼓励和引导各类社会资金参与民政事业发展，畅通多元化投入渠道，保障民政事业健康发展。充分发挥财政资金杠杆作用，综合运用税费减免、资金引导、培育孵化、人才支持、精神奖励、共建共治等多种手段，多渠道、多方式支持社会资本参与民政事业，形成政府主导、社会参与的多元投入格局</w:t>
      </w:r>
      <w:r>
        <w:rPr>
          <w:rFonts w:hint="eastAsia" w:ascii="仿宋" w:hAnsi="仿宋" w:eastAsia="仿宋" w:cs="仿宋"/>
          <w:snapToGrid w:val="0"/>
          <w:color w:val="auto"/>
          <w:kern w:val="0"/>
          <w:sz w:val="32"/>
          <w:szCs w:val="32"/>
          <w:highlight w:val="none"/>
          <w:lang w:eastAsia="zh-CN"/>
        </w:rPr>
        <w:t>。</w:t>
      </w:r>
    </w:p>
    <w:bookmarkEnd w:id="79"/>
    <w:p w14:paraId="7B290A47">
      <w:pPr>
        <w:numPr>
          <w:ilvl w:val="0"/>
          <w:numId w:val="0"/>
        </w:numPr>
        <w:overflowPunct w:val="0"/>
        <w:spacing w:before="156" w:beforeLines="50" w:line="360" w:lineRule="auto"/>
        <w:ind w:firstLine="643" w:firstLineChars="0"/>
        <w:outlineLvl w:val="1"/>
        <w:rPr>
          <w:rFonts w:hint="default" w:ascii="黑体" w:hAnsi="黑体" w:eastAsia="黑体" w:cs="黑体"/>
          <w:color w:val="auto"/>
          <w:sz w:val="32"/>
          <w:szCs w:val="32"/>
          <w:highlight w:val="none"/>
          <w:lang w:val="en-US" w:eastAsia="zh-CN"/>
        </w:rPr>
      </w:pPr>
      <w:bookmarkStart w:id="84" w:name="_Toc19879"/>
      <w:bookmarkStart w:id="85" w:name="_Toc24941"/>
      <w:bookmarkStart w:id="86" w:name="_Toc19008"/>
      <w:bookmarkStart w:id="87" w:name="_Toc14197"/>
      <w:r>
        <w:rPr>
          <w:rFonts w:hint="eastAsia" w:ascii="黑体" w:hAnsi="黑体" w:eastAsia="黑体" w:cs="黑体"/>
          <w:color w:val="auto"/>
          <w:kern w:val="2"/>
          <w:sz w:val="32"/>
          <w:szCs w:val="32"/>
          <w:highlight w:val="none"/>
          <w:lang w:val="en-US" w:eastAsia="zh-CN" w:bidi="ar-SA"/>
        </w:rPr>
        <w:t>四、</w:t>
      </w:r>
      <w:bookmarkEnd w:id="84"/>
      <w:bookmarkEnd w:id="85"/>
      <w:bookmarkStart w:id="88" w:name="_Toc19114"/>
      <w:r>
        <w:rPr>
          <w:rFonts w:hint="eastAsia" w:ascii="黑体" w:hAnsi="黑体" w:eastAsia="黑体" w:cs="黑体"/>
          <w:color w:val="auto"/>
          <w:sz w:val="32"/>
          <w:szCs w:val="32"/>
          <w:highlight w:val="none"/>
          <w:lang w:val="en-US" w:eastAsia="zh-CN"/>
        </w:rPr>
        <w:t>加强民政人才队伍建设</w:t>
      </w:r>
      <w:bookmarkEnd w:id="86"/>
    </w:p>
    <w:p w14:paraId="132941CE">
      <w:pPr>
        <w:widowControl/>
        <w:kinsoku w:val="0"/>
        <w:autoSpaceDE w:val="0"/>
        <w:autoSpaceDN w:val="0"/>
        <w:spacing w:before="156" w:beforeLines="50" w:line="360" w:lineRule="auto"/>
        <w:ind w:firstLine="640" w:firstLineChars="200"/>
        <w:textAlignment w:val="baseline"/>
        <w:rPr>
          <w:rFonts w:hint="eastAsia" w:ascii="仿宋" w:hAnsi="仿宋" w:eastAsia="仿宋" w:cs="仿宋"/>
          <w:snapToGrid w:val="0"/>
          <w:color w:val="auto"/>
          <w:kern w:val="0"/>
          <w:sz w:val="32"/>
          <w:szCs w:val="32"/>
          <w:highlight w:val="none"/>
        </w:rPr>
      </w:pPr>
      <w:r>
        <w:rPr>
          <w:rFonts w:hint="eastAsia" w:ascii="仿宋" w:hAnsi="仿宋" w:eastAsia="仿宋" w:cs="仿宋"/>
          <w:snapToGrid w:val="0"/>
          <w:color w:val="auto"/>
          <w:kern w:val="0"/>
          <w:sz w:val="32"/>
          <w:szCs w:val="32"/>
          <w:highlight w:val="none"/>
        </w:rPr>
        <w:t>坚持以党的政治建设为统领加强领导班子建设，着力提高民政干部履职能力。强化干部教育培训，健全精准高效的培训体系，聚焦基层民政工作人员实操需求，开展分层分类培训，提升干部队伍专业化水平。严格干部管理监督，以正确的选人用人导向激发干事创业的热情和责任担当，强化对敢担当善作为干部的激励和保护。健全引育用留机制，拓宽引才渠道、完善激励保障，充实人才储备，为民政事业高质量发展筑牢人才根基。</w:t>
      </w:r>
    </w:p>
    <w:bookmarkEnd w:id="80"/>
    <w:bookmarkEnd w:id="87"/>
    <w:bookmarkEnd w:id="88"/>
    <w:p w14:paraId="10E610D1">
      <w:pPr>
        <w:snapToGrid w:val="0"/>
        <w:spacing w:before="156" w:beforeLines="50" w:line="360" w:lineRule="auto"/>
        <w:ind w:firstLine="640" w:firstLineChars="200"/>
        <w:outlineLvl w:val="1"/>
        <w:rPr>
          <w:rFonts w:hint="eastAsia" w:ascii="黑体" w:hAnsi="黑体" w:eastAsia="黑体" w:cs="黑体"/>
          <w:color w:val="auto"/>
          <w:sz w:val="32"/>
          <w:szCs w:val="32"/>
          <w:highlight w:val="none"/>
        </w:rPr>
      </w:pPr>
      <w:bookmarkStart w:id="89" w:name="_Toc13119"/>
      <w:bookmarkStart w:id="90" w:name="_Toc10072"/>
      <w:r>
        <w:rPr>
          <w:rFonts w:hint="eastAsia" w:ascii="黑体" w:hAnsi="黑体" w:eastAsia="黑体" w:cs="黑体"/>
          <w:color w:val="auto"/>
          <w:sz w:val="32"/>
          <w:szCs w:val="32"/>
          <w:highlight w:val="none"/>
          <w:lang w:val="en-US" w:eastAsia="zh-CN"/>
        </w:rPr>
        <w:t>五</w:t>
      </w:r>
      <w:r>
        <w:rPr>
          <w:rFonts w:hint="eastAsia" w:ascii="黑体" w:hAnsi="黑体" w:eastAsia="黑体" w:cs="黑体"/>
          <w:color w:val="auto"/>
          <w:sz w:val="32"/>
          <w:szCs w:val="32"/>
          <w:highlight w:val="none"/>
        </w:rPr>
        <w:t>、推进民政数字化转型</w:t>
      </w:r>
      <w:bookmarkEnd w:id="89"/>
      <w:bookmarkEnd w:id="90"/>
    </w:p>
    <w:p w14:paraId="474D79D7">
      <w:pPr>
        <w:snapToGrid w:val="0"/>
        <w:spacing w:before="156" w:beforeLines="50" w:line="360" w:lineRule="auto"/>
        <w:ind w:firstLine="640" w:firstLineChars="200"/>
        <w:rPr>
          <w:rFonts w:hint="eastAsia" w:eastAsia="仿宋_GB2312" w:cs="仿宋_GB2312" w:asciiTheme="minorEastAsia" w:hAnsiTheme="minorEastAsia"/>
          <w:color w:val="auto"/>
          <w:sz w:val="32"/>
          <w:szCs w:val="32"/>
          <w:highlight w:val="none"/>
        </w:rPr>
      </w:pPr>
      <w:r>
        <w:rPr>
          <w:rFonts w:hint="eastAsia" w:eastAsia="仿宋_GB2312" w:cs="仿宋_GB2312" w:asciiTheme="minorEastAsia" w:hAnsiTheme="minorEastAsia"/>
          <w:color w:val="auto"/>
          <w:sz w:val="32"/>
          <w:szCs w:val="32"/>
          <w:highlight w:val="none"/>
        </w:rPr>
        <w:t>以数据整合、场景应用为重点，全方位推进</w:t>
      </w:r>
      <w:r>
        <w:rPr>
          <w:rFonts w:hint="eastAsia" w:eastAsia="仿宋_GB2312" w:cs="仿宋_GB2312" w:asciiTheme="minorEastAsia" w:hAnsiTheme="minorEastAsia"/>
          <w:color w:val="auto"/>
          <w:sz w:val="32"/>
          <w:szCs w:val="32"/>
          <w:highlight w:val="none"/>
          <w:lang w:eastAsia="zh-CN"/>
        </w:rPr>
        <w:t>潜江</w:t>
      </w:r>
      <w:r>
        <w:rPr>
          <w:rFonts w:hint="eastAsia" w:eastAsia="仿宋_GB2312" w:cs="仿宋_GB2312" w:asciiTheme="minorEastAsia" w:hAnsiTheme="minorEastAsia"/>
          <w:color w:val="auto"/>
          <w:sz w:val="32"/>
          <w:szCs w:val="32"/>
          <w:highlight w:val="none"/>
        </w:rPr>
        <w:t>民政数字化转型，推进民政全领域一体化平台建设，加快实施养老、救助、婚姻、殡葬等信息系统升级改造，优化系统功能，支撑民政业务。加大民政数据治理力度，持续开展数据的归集、共享、开放和应用。落实网络安全责任，提升民政网络安全防范能力。</w:t>
      </w:r>
    </w:p>
    <w:p w14:paraId="1B903154">
      <w:pPr>
        <w:overflowPunct w:val="0"/>
        <w:spacing w:before="156" w:beforeLines="50" w:line="360" w:lineRule="auto"/>
        <w:ind w:firstLine="643" w:firstLineChars="0"/>
        <w:outlineLvl w:val="1"/>
        <w:rPr>
          <w:rFonts w:ascii="黑体" w:hAnsi="黑体" w:eastAsia="黑体" w:cs="黑体"/>
          <w:color w:val="auto"/>
          <w:sz w:val="32"/>
          <w:szCs w:val="32"/>
          <w:highlight w:val="none"/>
        </w:rPr>
      </w:pPr>
      <w:bookmarkStart w:id="91" w:name="_Toc10204"/>
      <w:bookmarkStart w:id="92" w:name="_Toc21666"/>
      <w:bookmarkStart w:id="93" w:name="_Toc786"/>
      <w:r>
        <w:rPr>
          <w:rFonts w:hint="eastAsia" w:ascii="黑体" w:hAnsi="黑体" w:eastAsia="黑体" w:cs="黑体"/>
          <w:color w:val="auto"/>
          <w:sz w:val="32"/>
          <w:szCs w:val="32"/>
          <w:highlight w:val="none"/>
          <w:lang w:val="en-US" w:eastAsia="zh-CN"/>
        </w:rPr>
        <w:t>六</w:t>
      </w:r>
      <w:r>
        <w:rPr>
          <w:rFonts w:hint="eastAsia" w:ascii="黑体" w:hAnsi="黑体" w:eastAsia="黑体" w:cs="黑体"/>
          <w:color w:val="auto"/>
          <w:sz w:val="32"/>
          <w:szCs w:val="32"/>
          <w:highlight w:val="none"/>
        </w:rPr>
        <w:t>、加强监测评估</w:t>
      </w:r>
      <w:bookmarkEnd w:id="91"/>
      <w:bookmarkEnd w:id="92"/>
    </w:p>
    <w:p w14:paraId="6021D692">
      <w:pPr>
        <w:overflowPunct w:val="0"/>
        <w:adjustRightInd w:val="0"/>
        <w:snapToGrid w:val="0"/>
        <w:spacing w:before="156" w:beforeLines="50" w:line="360" w:lineRule="auto"/>
        <w:ind w:firstLine="640" w:firstLineChars="200"/>
        <w:rPr>
          <w:rFonts w:eastAsia="仿宋_GB2312" w:cs="仿宋_GB2312" w:asciiTheme="minorEastAsia" w:hAnsiTheme="minorEastAsia"/>
          <w:color w:val="auto"/>
          <w:sz w:val="32"/>
          <w:szCs w:val="32"/>
          <w:highlight w:val="none"/>
        </w:rPr>
      </w:pPr>
      <w:r>
        <w:rPr>
          <w:rFonts w:hint="eastAsia" w:ascii="仿宋" w:hAnsi="仿宋" w:eastAsia="仿宋" w:cs="仿宋"/>
          <w:snapToGrid w:val="0"/>
          <w:color w:val="auto"/>
          <w:kern w:val="0"/>
          <w:sz w:val="32"/>
          <w:szCs w:val="32"/>
          <w:highlight w:val="none"/>
        </w:rPr>
        <w:t>建立规划实施评估机制，加强规划实施情况年度监测分析、中期评估、督促检查，开展第三方评估，科学精准评估规划落地情况，并适时向社会公布评估结果。发挥社会群众、服务对象的监督作用。</w:t>
      </w:r>
      <w:r>
        <w:rPr>
          <w:rFonts w:hint="eastAsia" w:eastAsia="仿宋_GB2312" w:cs="仿宋_GB2312" w:asciiTheme="minorEastAsia" w:hAnsiTheme="minorEastAsia"/>
          <w:color w:val="auto"/>
          <w:sz w:val="32"/>
          <w:szCs w:val="32"/>
          <w:highlight w:val="none"/>
        </w:rPr>
        <w:t>动态掌握重点领域、重点项目的实施进展，综合采用实地调研、定期通报、综合评估等形式，扎实推进规划实施。</w:t>
      </w:r>
      <w:bookmarkEnd w:id="76"/>
      <w:bookmarkEnd w:id="93"/>
    </w:p>
    <w:sectPr>
      <w:footerReference r:id="rId4" w:type="default"/>
      <w:pgSz w:w="11906" w:h="16838"/>
      <w:pgMar w:top="1383" w:right="1417" w:bottom="1440" w:left="1417"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楷体">
    <w:altName w:val="方正楷体_GBK"/>
    <w:panose1 w:val="02010609060101010101"/>
    <w:charset w:val="86"/>
    <w:family w:val="auto"/>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华文中宋">
    <w:altName w:val="汉仪中宋简"/>
    <w:panose1 w:val="02010600040101010101"/>
    <w:charset w:val="86"/>
    <w:family w:val="auto"/>
    <w:pitch w:val="default"/>
    <w:sig w:usb0="00000000" w:usb1="00000000" w:usb2="00000000" w:usb3="00000000" w:csb0="0004009F" w:csb1="DFD70000"/>
  </w:font>
  <w:font w:name="汉仪中宋简">
    <w:panose1 w:val="02010600000101010101"/>
    <w:charset w:val="86"/>
    <w:family w:val="auto"/>
    <w:pitch w:val="default"/>
    <w:sig w:usb0="00000001" w:usb1="080E0800" w:usb2="00000002" w:usb3="00000000" w:csb0="00040000" w:csb1="00000000"/>
  </w:font>
  <w:font w:name="仿宋_GB2312">
    <w:altName w:val="方正仿宋_GBK"/>
    <w:panose1 w:val="00000000000000000000"/>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华文楷体">
    <w:altName w:val="方正楷体_GBK"/>
    <w:panose1 w:val="02010600040101010101"/>
    <w:charset w:val="86"/>
    <w:family w:val="auto"/>
    <w:pitch w:val="default"/>
    <w:sig w:usb0="00000000" w:usb1="00000000" w:usb2="00000000" w:usb3="00000000" w:csb0="0004009F" w:csb1="DFD70000"/>
  </w:font>
  <w:font w:name="国标仿宋">
    <w:panose1 w:val="02000500000000000000"/>
    <w:charset w:val="86"/>
    <w:family w:val="auto"/>
    <w:pitch w:val="default"/>
    <w:sig w:usb0="A00002BF" w:usb1="38C77CFA" w:usb2="00000016" w:usb3="00000000" w:csb0="00060007" w:csb1="00000000"/>
  </w:font>
  <w:font w:name="华文仿宋">
    <w:altName w:val="汉仪仿宋简"/>
    <w:panose1 w:val="02010600040101010101"/>
    <w:charset w:val="86"/>
    <w:family w:val="auto"/>
    <w:pitch w:val="default"/>
    <w:sig w:usb0="00000000" w:usb1="00000000" w:usb2="00000000" w:usb3="00000000" w:csb0="0004009F" w:csb1="DFD70000"/>
  </w:font>
  <w:font w:name="汉仪仿宋简">
    <w:panose1 w:val="02010600000101010101"/>
    <w:charset w:val="86"/>
    <w:family w:val="auto"/>
    <w:pitch w:val="default"/>
    <w:sig w:usb0="00000001" w:usb1="080E0800" w:usb2="00000002" w:usb3="00000000" w:csb0="00040000" w:csb1="00000000"/>
  </w:font>
  <w:font w:name="楷体_GB2312">
    <w:altName w:val="方正楷体_GBK"/>
    <w:panose1 w:val="02010609030101010101"/>
    <w:charset w:val="86"/>
    <w:family w:val="auto"/>
    <w:pitch w:val="default"/>
    <w:sig w:usb0="00000000" w:usb1="00000000" w:usb2="00000000" w:usb3="00000000" w:csb0="00040000" w:csb1="00000000"/>
  </w:font>
  <w:font w:name="Noto Sans CJK JP Bold">
    <w:panose1 w:val="020B0800000000000000"/>
    <w:charset w:val="86"/>
    <w:family w:val="auto"/>
    <w:pitch w:val="default"/>
    <w:sig w:usb0="30000003" w:usb1="2BDF3C10" w:usb2="00000016" w:usb3="00000000" w:csb0="602E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93E7AC">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AE1094">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CAE1094">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953F81">
    <w:pPr>
      <w:pStyle w:val="11"/>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559441">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3C559441">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7C13"/>
    <w:rsid w:val="000D5D93"/>
    <w:rsid w:val="000E5B74"/>
    <w:rsid w:val="001E30C8"/>
    <w:rsid w:val="00420180"/>
    <w:rsid w:val="00572A91"/>
    <w:rsid w:val="006C648B"/>
    <w:rsid w:val="006E097B"/>
    <w:rsid w:val="006F7C13"/>
    <w:rsid w:val="007930EA"/>
    <w:rsid w:val="008B5A7E"/>
    <w:rsid w:val="00B26F33"/>
    <w:rsid w:val="013108A6"/>
    <w:rsid w:val="02A37247"/>
    <w:rsid w:val="034E748A"/>
    <w:rsid w:val="05714345"/>
    <w:rsid w:val="06614229"/>
    <w:rsid w:val="06A317B7"/>
    <w:rsid w:val="07AF20CC"/>
    <w:rsid w:val="08711C7D"/>
    <w:rsid w:val="0A0B50CF"/>
    <w:rsid w:val="0A325073"/>
    <w:rsid w:val="0B1C7E8E"/>
    <w:rsid w:val="0B252225"/>
    <w:rsid w:val="0B41524D"/>
    <w:rsid w:val="0D1D75F3"/>
    <w:rsid w:val="0EF83554"/>
    <w:rsid w:val="108F8EB0"/>
    <w:rsid w:val="11B85B3D"/>
    <w:rsid w:val="12D27B90"/>
    <w:rsid w:val="151A266A"/>
    <w:rsid w:val="157633EA"/>
    <w:rsid w:val="177D5037"/>
    <w:rsid w:val="17E23913"/>
    <w:rsid w:val="17EE46A5"/>
    <w:rsid w:val="188938F1"/>
    <w:rsid w:val="18FBF370"/>
    <w:rsid w:val="19401E23"/>
    <w:rsid w:val="1AC217DA"/>
    <w:rsid w:val="1E477A1D"/>
    <w:rsid w:val="1EBE2B93"/>
    <w:rsid w:val="20111794"/>
    <w:rsid w:val="20B41D10"/>
    <w:rsid w:val="21226B96"/>
    <w:rsid w:val="21E13260"/>
    <w:rsid w:val="22F33663"/>
    <w:rsid w:val="239F1F14"/>
    <w:rsid w:val="244119C2"/>
    <w:rsid w:val="24743B45"/>
    <w:rsid w:val="25F5268F"/>
    <w:rsid w:val="26955FF5"/>
    <w:rsid w:val="26EE1664"/>
    <w:rsid w:val="27FE6BEF"/>
    <w:rsid w:val="28EA3BEC"/>
    <w:rsid w:val="29DA08EE"/>
    <w:rsid w:val="29DB91A2"/>
    <w:rsid w:val="2BDBE374"/>
    <w:rsid w:val="2CFE0D4A"/>
    <w:rsid w:val="2E6F342E"/>
    <w:rsid w:val="2ED7155A"/>
    <w:rsid w:val="2F7BC96E"/>
    <w:rsid w:val="2FEF0D98"/>
    <w:rsid w:val="2FFECE31"/>
    <w:rsid w:val="302C418E"/>
    <w:rsid w:val="303F76FD"/>
    <w:rsid w:val="325D5A49"/>
    <w:rsid w:val="32C1089D"/>
    <w:rsid w:val="34230CEA"/>
    <w:rsid w:val="359F58E9"/>
    <w:rsid w:val="35C984F2"/>
    <w:rsid w:val="36051E20"/>
    <w:rsid w:val="360B187E"/>
    <w:rsid w:val="37BF5224"/>
    <w:rsid w:val="37E6F4CC"/>
    <w:rsid w:val="37FD5C87"/>
    <w:rsid w:val="37FFC814"/>
    <w:rsid w:val="3877A7F2"/>
    <w:rsid w:val="38AD60AD"/>
    <w:rsid w:val="397BF703"/>
    <w:rsid w:val="39EB0C49"/>
    <w:rsid w:val="3A73E40E"/>
    <w:rsid w:val="3A7DABBE"/>
    <w:rsid w:val="3B335003"/>
    <w:rsid w:val="3B552ADD"/>
    <w:rsid w:val="3B5BB273"/>
    <w:rsid w:val="3BA744FC"/>
    <w:rsid w:val="3BEFCD6C"/>
    <w:rsid w:val="3BF2C5B9"/>
    <w:rsid w:val="3D5FC9E0"/>
    <w:rsid w:val="3D654BC6"/>
    <w:rsid w:val="3EFF2291"/>
    <w:rsid w:val="3F4FAE46"/>
    <w:rsid w:val="3F875962"/>
    <w:rsid w:val="3FFEC7C0"/>
    <w:rsid w:val="3FFF5519"/>
    <w:rsid w:val="3FFFAAEA"/>
    <w:rsid w:val="3FFFDD0E"/>
    <w:rsid w:val="41291867"/>
    <w:rsid w:val="41583C21"/>
    <w:rsid w:val="42EC4060"/>
    <w:rsid w:val="453401F9"/>
    <w:rsid w:val="47836563"/>
    <w:rsid w:val="49F660A0"/>
    <w:rsid w:val="4AFB2925"/>
    <w:rsid w:val="4B733AA1"/>
    <w:rsid w:val="4B8A2C55"/>
    <w:rsid w:val="4BAE52DF"/>
    <w:rsid w:val="4C786D95"/>
    <w:rsid w:val="4D6B54B7"/>
    <w:rsid w:val="4D9E1851"/>
    <w:rsid w:val="4DB3A520"/>
    <w:rsid w:val="4DCDCB28"/>
    <w:rsid w:val="4E7960D8"/>
    <w:rsid w:val="4EDA46FF"/>
    <w:rsid w:val="4F6E275D"/>
    <w:rsid w:val="4FB9B0C3"/>
    <w:rsid w:val="4FF49244"/>
    <w:rsid w:val="4FFD5BDD"/>
    <w:rsid w:val="50A13664"/>
    <w:rsid w:val="50AC4ED0"/>
    <w:rsid w:val="51DF48FC"/>
    <w:rsid w:val="52FF59EF"/>
    <w:rsid w:val="53634EBA"/>
    <w:rsid w:val="53EF4D74"/>
    <w:rsid w:val="557D063C"/>
    <w:rsid w:val="557FB712"/>
    <w:rsid w:val="56FE711B"/>
    <w:rsid w:val="577F7212"/>
    <w:rsid w:val="587A6C75"/>
    <w:rsid w:val="58D12C9E"/>
    <w:rsid w:val="595D7771"/>
    <w:rsid w:val="5972691C"/>
    <w:rsid w:val="5996622D"/>
    <w:rsid w:val="5AE27401"/>
    <w:rsid w:val="5BE5651D"/>
    <w:rsid w:val="5BFC2080"/>
    <w:rsid w:val="5D521F6E"/>
    <w:rsid w:val="5DBE8E17"/>
    <w:rsid w:val="5E37D9F9"/>
    <w:rsid w:val="5FB200D2"/>
    <w:rsid w:val="5FBA8429"/>
    <w:rsid w:val="5FBFD682"/>
    <w:rsid w:val="5FCF0179"/>
    <w:rsid w:val="5FF00BCA"/>
    <w:rsid w:val="5FF5EA71"/>
    <w:rsid w:val="5FF74294"/>
    <w:rsid w:val="5FFB478A"/>
    <w:rsid w:val="5FFE7D8A"/>
    <w:rsid w:val="611217CC"/>
    <w:rsid w:val="61C1375D"/>
    <w:rsid w:val="61FDA471"/>
    <w:rsid w:val="62573980"/>
    <w:rsid w:val="660E0591"/>
    <w:rsid w:val="66A001EE"/>
    <w:rsid w:val="66F146A8"/>
    <w:rsid w:val="67DF80B8"/>
    <w:rsid w:val="67F7169E"/>
    <w:rsid w:val="67FF2C20"/>
    <w:rsid w:val="6B7049A5"/>
    <w:rsid w:val="6CAF1238"/>
    <w:rsid w:val="6CDC0AF5"/>
    <w:rsid w:val="6CDF32CA"/>
    <w:rsid w:val="6CFF4346"/>
    <w:rsid w:val="6D0D7C60"/>
    <w:rsid w:val="6D49739B"/>
    <w:rsid w:val="6D620092"/>
    <w:rsid w:val="6D7DEA18"/>
    <w:rsid w:val="6DF5B911"/>
    <w:rsid w:val="6DF7ECBB"/>
    <w:rsid w:val="6DFB853F"/>
    <w:rsid w:val="6F573DE7"/>
    <w:rsid w:val="6FFE74E0"/>
    <w:rsid w:val="703B4AE4"/>
    <w:rsid w:val="71305530"/>
    <w:rsid w:val="719B6B49"/>
    <w:rsid w:val="71E1DCA4"/>
    <w:rsid w:val="726B3654"/>
    <w:rsid w:val="75BF2879"/>
    <w:rsid w:val="75DECBD8"/>
    <w:rsid w:val="75FEE931"/>
    <w:rsid w:val="76843F62"/>
    <w:rsid w:val="768B0AE7"/>
    <w:rsid w:val="76F78429"/>
    <w:rsid w:val="76FF8A2F"/>
    <w:rsid w:val="777FA9EC"/>
    <w:rsid w:val="77A92C7B"/>
    <w:rsid w:val="77D952F4"/>
    <w:rsid w:val="77EF599B"/>
    <w:rsid w:val="77F73088"/>
    <w:rsid w:val="77FB3CFE"/>
    <w:rsid w:val="788068E3"/>
    <w:rsid w:val="78F9B195"/>
    <w:rsid w:val="79374F51"/>
    <w:rsid w:val="7ABCEB17"/>
    <w:rsid w:val="7ABD7B80"/>
    <w:rsid w:val="7AD3744D"/>
    <w:rsid w:val="7B27AD9B"/>
    <w:rsid w:val="7B5D6256"/>
    <w:rsid w:val="7B6F558A"/>
    <w:rsid w:val="7BE36A0F"/>
    <w:rsid w:val="7BED4631"/>
    <w:rsid w:val="7BFC800E"/>
    <w:rsid w:val="7BFE87FD"/>
    <w:rsid w:val="7CFF71E8"/>
    <w:rsid w:val="7D75F8B5"/>
    <w:rsid w:val="7D921CD2"/>
    <w:rsid w:val="7DEFEC4F"/>
    <w:rsid w:val="7DF7A419"/>
    <w:rsid w:val="7E1A2ECF"/>
    <w:rsid w:val="7E65C338"/>
    <w:rsid w:val="7EBFCAE7"/>
    <w:rsid w:val="7EC565EC"/>
    <w:rsid w:val="7EF73321"/>
    <w:rsid w:val="7EF74EB4"/>
    <w:rsid w:val="7EF7CBFE"/>
    <w:rsid w:val="7EFD307B"/>
    <w:rsid w:val="7F6BA8C1"/>
    <w:rsid w:val="7F7762BA"/>
    <w:rsid w:val="7F7FAA51"/>
    <w:rsid w:val="7F7FF210"/>
    <w:rsid w:val="7F9FAE78"/>
    <w:rsid w:val="7FB6FFFB"/>
    <w:rsid w:val="7FDD37EE"/>
    <w:rsid w:val="7FEFCC59"/>
    <w:rsid w:val="7FF8EEB1"/>
    <w:rsid w:val="7FFE2284"/>
    <w:rsid w:val="87EFBFFE"/>
    <w:rsid w:val="8F7EFD11"/>
    <w:rsid w:val="8FF7A2E1"/>
    <w:rsid w:val="95FF8A44"/>
    <w:rsid w:val="9D7F102C"/>
    <w:rsid w:val="9DF6780D"/>
    <w:rsid w:val="9FAFC3BD"/>
    <w:rsid w:val="9FEF3B92"/>
    <w:rsid w:val="A57FDBEB"/>
    <w:rsid w:val="AC6BA573"/>
    <w:rsid w:val="AC6BDA2F"/>
    <w:rsid w:val="AEDFB5C9"/>
    <w:rsid w:val="AF3A0C22"/>
    <w:rsid w:val="AFDFC34C"/>
    <w:rsid w:val="B3E52329"/>
    <w:rsid w:val="B5B3212D"/>
    <w:rsid w:val="B5DF3485"/>
    <w:rsid w:val="BAD3E24F"/>
    <w:rsid w:val="BB9D8DE2"/>
    <w:rsid w:val="BBDDA3E6"/>
    <w:rsid w:val="BBFAE31E"/>
    <w:rsid w:val="BEBC95B6"/>
    <w:rsid w:val="BF7A25CF"/>
    <w:rsid w:val="BFAF13CA"/>
    <w:rsid w:val="BFBF4BC4"/>
    <w:rsid w:val="BFCF991D"/>
    <w:rsid w:val="BFD26A5F"/>
    <w:rsid w:val="BFEDB316"/>
    <w:rsid w:val="C7DF2506"/>
    <w:rsid w:val="CB6FFC83"/>
    <w:rsid w:val="CBD64130"/>
    <w:rsid w:val="CBDF61D3"/>
    <w:rsid w:val="CE7F5C91"/>
    <w:rsid w:val="CF6FF75C"/>
    <w:rsid w:val="D3E6B569"/>
    <w:rsid w:val="D6BFF415"/>
    <w:rsid w:val="D6DD0CB4"/>
    <w:rsid w:val="D73751B0"/>
    <w:rsid w:val="D7B7FF47"/>
    <w:rsid w:val="D7F71B7F"/>
    <w:rsid w:val="DCBE2D45"/>
    <w:rsid w:val="DD7BD810"/>
    <w:rsid w:val="DDB65A3A"/>
    <w:rsid w:val="DDE535BE"/>
    <w:rsid w:val="DF1FD0B6"/>
    <w:rsid w:val="DFF74C94"/>
    <w:rsid w:val="E4BF7158"/>
    <w:rsid w:val="E5E3E815"/>
    <w:rsid w:val="E6DF8C50"/>
    <w:rsid w:val="E7CD2A3E"/>
    <w:rsid w:val="E8DB33C5"/>
    <w:rsid w:val="E9BFADE6"/>
    <w:rsid w:val="EBF90D4D"/>
    <w:rsid w:val="EBFF0E1B"/>
    <w:rsid w:val="EF376478"/>
    <w:rsid w:val="EF9C82F0"/>
    <w:rsid w:val="EFAB9732"/>
    <w:rsid w:val="EFE97A4B"/>
    <w:rsid w:val="F0FCE04F"/>
    <w:rsid w:val="F1F7384D"/>
    <w:rsid w:val="F1FF7829"/>
    <w:rsid w:val="F26B1A25"/>
    <w:rsid w:val="F3BBCB0F"/>
    <w:rsid w:val="F3BFCD46"/>
    <w:rsid w:val="F3FCE3EA"/>
    <w:rsid w:val="F57C882A"/>
    <w:rsid w:val="F5FB210D"/>
    <w:rsid w:val="F67F2F1C"/>
    <w:rsid w:val="F67FEE08"/>
    <w:rsid w:val="F6DF6D3F"/>
    <w:rsid w:val="F77DFED8"/>
    <w:rsid w:val="F79DEA9F"/>
    <w:rsid w:val="F7AEA392"/>
    <w:rsid w:val="F7BDD8E1"/>
    <w:rsid w:val="F7DFAB19"/>
    <w:rsid w:val="F8CF7CE5"/>
    <w:rsid w:val="F9CE62AB"/>
    <w:rsid w:val="FA24E422"/>
    <w:rsid w:val="FA5F8AC0"/>
    <w:rsid w:val="FA9F4A38"/>
    <w:rsid w:val="FAADE6B2"/>
    <w:rsid w:val="FAE6B0BA"/>
    <w:rsid w:val="FBDEF09B"/>
    <w:rsid w:val="FBDF97FC"/>
    <w:rsid w:val="FBE578F5"/>
    <w:rsid w:val="FBFEC2AA"/>
    <w:rsid w:val="FC7FF39F"/>
    <w:rsid w:val="FD7D29D6"/>
    <w:rsid w:val="FD9713B6"/>
    <w:rsid w:val="FDDFC56F"/>
    <w:rsid w:val="FE7FDA97"/>
    <w:rsid w:val="FEB8BF0E"/>
    <w:rsid w:val="FEEB2F61"/>
    <w:rsid w:val="FEF447C8"/>
    <w:rsid w:val="FEF68DA7"/>
    <w:rsid w:val="FEFDB0F4"/>
    <w:rsid w:val="FF5E443A"/>
    <w:rsid w:val="FF6F86E7"/>
    <w:rsid w:val="FF7B5D22"/>
    <w:rsid w:val="FF8F62F7"/>
    <w:rsid w:val="FFDEA1A4"/>
    <w:rsid w:val="FFED7965"/>
    <w:rsid w:val="FFF347B6"/>
    <w:rsid w:val="FFF7E3A6"/>
    <w:rsid w:val="FFFE0234"/>
    <w:rsid w:val="FFFE67D0"/>
    <w:rsid w:val="FFFFCC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jc w:val="center"/>
      <w:outlineLvl w:val="0"/>
    </w:pPr>
    <w:rPr>
      <w:b/>
      <w:kern w:val="44"/>
      <w:sz w:val="32"/>
    </w:rPr>
  </w:style>
  <w:style w:type="paragraph" w:styleId="3">
    <w:name w:val="heading 2"/>
    <w:basedOn w:val="1"/>
    <w:next w:val="1"/>
    <w:semiHidden/>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qFormat/>
    <w:uiPriority w:val="0"/>
    <w:pPr>
      <w:keepNext/>
      <w:keepLines/>
      <w:spacing w:line="360" w:lineRule="auto"/>
      <w:jc w:val="left"/>
      <w:outlineLvl w:val="2"/>
    </w:pPr>
    <w:rPr>
      <w:rFonts w:eastAsia="宋体" w:cs="Times New Roman"/>
      <w:b/>
      <w:bCs/>
      <w:sz w:val="28"/>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left="720"/>
    </w:pPr>
    <w:rPr>
      <w:rFonts w:ascii="Times New Roman" w:hAnsi="Times New Roman" w:eastAsia="宋体" w:cs="Times New Roman"/>
    </w:rPr>
  </w:style>
  <w:style w:type="paragraph" w:styleId="6">
    <w:name w:val="annotation text"/>
    <w:basedOn w:val="1"/>
    <w:qFormat/>
    <w:uiPriority w:val="0"/>
    <w:pPr>
      <w:jc w:val="left"/>
    </w:pPr>
  </w:style>
  <w:style w:type="paragraph" w:styleId="7">
    <w:name w:val="Body Text"/>
    <w:basedOn w:val="1"/>
    <w:qFormat/>
    <w:uiPriority w:val="0"/>
    <w:pPr>
      <w:spacing w:after="120"/>
    </w:pPr>
  </w:style>
  <w:style w:type="paragraph" w:styleId="8">
    <w:name w:val="Body Text Indent"/>
    <w:basedOn w:val="1"/>
    <w:next w:val="1"/>
    <w:qFormat/>
    <w:uiPriority w:val="99"/>
    <w:pPr>
      <w:ind w:firstLine="600"/>
    </w:pPr>
  </w:style>
  <w:style w:type="paragraph" w:styleId="9">
    <w:name w:val="toc 3"/>
    <w:basedOn w:val="1"/>
    <w:next w:val="1"/>
    <w:qFormat/>
    <w:uiPriority w:val="0"/>
    <w:pPr>
      <w:ind w:left="840" w:leftChars="400"/>
    </w:pPr>
  </w:style>
  <w:style w:type="paragraph" w:styleId="10">
    <w:name w:val="Plain Text"/>
    <w:basedOn w:val="1"/>
    <w:qFormat/>
    <w:uiPriority w:val="0"/>
    <w:rPr>
      <w:rFonts w:ascii="宋体" w:hAnsi="Courier New" w:eastAsia="宋体" w:cs="Times New Roman"/>
    </w:rPr>
  </w:style>
  <w:style w:type="paragraph" w:styleId="11">
    <w:name w:val="footer"/>
    <w:basedOn w:val="1"/>
    <w:link w:val="25"/>
    <w:qFormat/>
    <w:uiPriority w:val="0"/>
    <w:pPr>
      <w:tabs>
        <w:tab w:val="center" w:pos="4153"/>
        <w:tab w:val="right" w:pos="8306"/>
      </w:tabs>
      <w:snapToGrid w:val="0"/>
      <w:jc w:val="left"/>
    </w:pPr>
    <w:rPr>
      <w:sz w:val="18"/>
      <w:szCs w:val="18"/>
    </w:rPr>
  </w:style>
  <w:style w:type="paragraph" w:styleId="12">
    <w:name w:val="header"/>
    <w:basedOn w:val="1"/>
    <w:link w:val="24"/>
    <w:qFormat/>
    <w:uiPriority w:val="0"/>
    <w:pPr>
      <w:pBdr>
        <w:bottom w:val="single" w:color="auto" w:sz="6" w:space="1"/>
      </w:pBdr>
      <w:tabs>
        <w:tab w:val="center" w:pos="4153"/>
        <w:tab w:val="right" w:pos="8306"/>
      </w:tabs>
      <w:snapToGrid w:val="0"/>
      <w:jc w:val="center"/>
    </w:pPr>
    <w:rPr>
      <w:sz w:val="18"/>
      <w:szCs w:val="18"/>
    </w:rPr>
  </w:style>
  <w:style w:type="paragraph" w:styleId="13">
    <w:name w:val="toc 1"/>
    <w:basedOn w:val="1"/>
    <w:next w:val="1"/>
    <w:qFormat/>
    <w:uiPriority w:val="0"/>
  </w:style>
  <w:style w:type="paragraph" w:styleId="14">
    <w:name w:val="footnote text"/>
    <w:basedOn w:val="1"/>
    <w:qFormat/>
    <w:uiPriority w:val="0"/>
    <w:pPr>
      <w:snapToGrid w:val="0"/>
      <w:spacing w:line="400" w:lineRule="exact"/>
      <w:jc w:val="left"/>
    </w:pPr>
    <w:rPr>
      <w:sz w:val="24"/>
    </w:rPr>
  </w:style>
  <w:style w:type="paragraph" w:styleId="15">
    <w:name w:val="Body Text Indent 3"/>
    <w:basedOn w:val="1"/>
    <w:qFormat/>
    <w:uiPriority w:val="0"/>
    <w:pPr>
      <w:spacing w:after="120"/>
      <w:ind w:left="420" w:leftChars="200"/>
    </w:pPr>
    <w:rPr>
      <w:sz w:val="16"/>
      <w:szCs w:val="16"/>
    </w:rPr>
  </w:style>
  <w:style w:type="paragraph" w:styleId="16">
    <w:name w:val="toc 2"/>
    <w:basedOn w:val="1"/>
    <w:next w:val="1"/>
    <w:qFormat/>
    <w:uiPriority w:val="0"/>
    <w:pPr>
      <w:ind w:left="420" w:leftChars="200"/>
    </w:pPr>
  </w:style>
  <w:style w:type="paragraph" w:styleId="17">
    <w:name w:val="Normal (Web)"/>
    <w:basedOn w:val="1"/>
    <w:qFormat/>
    <w:uiPriority w:val="99"/>
    <w:pPr>
      <w:spacing w:beforeAutospacing="1" w:afterAutospacing="1"/>
      <w:jc w:val="left"/>
    </w:pPr>
    <w:rPr>
      <w:rFonts w:cs="Times New Roman"/>
      <w:kern w:val="0"/>
      <w:sz w:val="24"/>
    </w:rPr>
  </w:style>
  <w:style w:type="paragraph" w:styleId="18">
    <w:name w:val="Body Text First Indent 2"/>
    <w:basedOn w:val="8"/>
    <w:next w:val="1"/>
    <w:qFormat/>
    <w:uiPriority w:val="0"/>
    <w:pPr>
      <w:spacing w:after="120"/>
      <w:ind w:left="420" w:leftChars="200" w:firstLine="420" w:firstLineChars="200"/>
    </w:pPr>
    <w:rPr>
      <w:rFonts w:ascii="Times New Roman"/>
      <w:szCs w:val="20"/>
    </w:rPr>
  </w:style>
  <w:style w:type="table" w:styleId="20">
    <w:name w:val="Table Grid"/>
    <w:basedOn w:val="1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2">
    <w:name w:val="Strong"/>
    <w:basedOn w:val="21"/>
    <w:qFormat/>
    <w:uiPriority w:val="0"/>
    <w:rPr>
      <w:b/>
    </w:rPr>
  </w:style>
  <w:style w:type="paragraph" w:customStyle="1" w:styleId="23">
    <w:name w:val="Plain Text1"/>
    <w:basedOn w:val="1"/>
    <w:qFormat/>
    <w:uiPriority w:val="99"/>
    <w:rPr>
      <w:rFonts w:ascii="宋体" w:hAnsi="Courier New" w:eastAsia="宋体" w:cs="宋体"/>
    </w:rPr>
  </w:style>
  <w:style w:type="character" w:customStyle="1" w:styleId="24">
    <w:name w:val="页眉 Char"/>
    <w:basedOn w:val="21"/>
    <w:link w:val="12"/>
    <w:qFormat/>
    <w:uiPriority w:val="0"/>
    <w:rPr>
      <w:kern w:val="2"/>
      <w:sz w:val="18"/>
      <w:szCs w:val="18"/>
    </w:rPr>
  </w:style>
  <w:style w:type="character" w:customStyle="1" w:styleId="25">
    <w:name w:val="页脚 Char"/>
    <w:basedOn w:val="21"/>
    <w:link w:val="11"/>
    <w:qFormat/>
    <w:uiPriority w:val="0"/>
    <w:rPr>
      <w:kern w:val="2"/>
      <w:sz w:val="18"/>
      <w:szCs w:val="18"/>
    </w:rPr>
  </w:style>
  <w:style w:type="paragraph" w:styleId="26">
    <w:name w:val="List Paragraph"/>
    <w:basedOn w:val="1"/>
    <w:unhideWhenUsed/>
    <w:qFormat/>
    <w:uiPriority w:val="99"/>
    <w:pPr>
      <w:ind w:firstLine="420" w:firstLineChars="200"/>
    </w:pPr>
  </w:style>
  <w:style w:type="character" w:customStyle="1" w:styleId="27">
    <w:name w:val="font41"/>
    <w:qFormat/>
    <w:uiPriority w:val="0"/>
    <w:rPr>
      <w:rFonts w:hint="eastAsia" w:ascii="宋体" w:hAnsi="宋体" w:eastAsia="宋体" w:cs="宋体"/>
      <w:color w:val="000000"/>
      <w:sz w:val="18"/>
      <w:szCs w:val="18"/>
      <w:u w:val="none"/>
    </w:rPr>
  </w:style>
  <w:style w:type="character" w:customStyle="1" w:styleId="28">
    <w:name w:val="font11"/>
    <w:qFormat/>
    <w:uiPriority w:val="0"/>
    <w:rPr>
      <w:rFonts w:ascii="楷体" w:hAnsi="楷体" w:eastAsia="楷体" w:cs="楷体"/>
      <w:color w:val="000000"/>
      <w:sz w:val="18"/>
      <w:szCs w:val="18"/>
      <w:u w:val="none"/>
    </w:rPr>
  </w:style>
  <w:style w:type="paragraph" w:customStyle="1" w:styleId="29">
    <w:name w:val="首行缩进"/>
    <w:basedOn w:val="1"/>
    <w:qFormat/>
    <w:uiPriority w:val="0"/>
    <w:pPr>
      <w:ind w:firstLine="480" w:firstLineChars="200"/>
    </w:pPr>
    <w:rPr>
      <w:rFonts w:ascii="Calibri" w:hAnsi="Calibri" w:eastAsia="宋体" w:cs="Times New Roman"/>
      <w:lang w:val="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46</Pages>
  <Words>6237</Words>
  <Characters>6465</Characters>
  <Lines>134</Lines>
  <Paragraphs>37</Paragraphs>
  <TotalTime>12</TotalTime>
  <ScaleCrop>false</ScaleCrop>
  <LinksUpToDate>false</LinksUpToDate>
  <CharactersWithSpaces>6620</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2025-08-29T16:28:00Z</dcterms:created>
  <dc:creator>HP</dc:creator>
  <cp:lastModifiedBy>bangongshi</cp:lastModifiedBy>
  <dcterms:modified xsi:type="dcterms:W3CDTF">2026-07-09T09:49:29Z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KSOTemplateDocerSaveRecord">
    <vt:lpwstr>eyJoZGlkIjoiNDQ3NmQyM2Q0MWI0ZjhkNzU3NjM0MDBhMmViNDU4NzYiLCJ1c2VySWQiOiI5MzQ4NzkxOTAifQ==</vt:lpwstr>
  </property>
  <property fmtid="{D5CDD505-2E9C-101B-9397-08002B2CF9AE}" pid="4" name="ICV">
    <vt:lpwstr>F01B2B32D39041B194F41F4B4E99778B_13</vt:lpwstr>
  </property>
</Properties>
</file>