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both"/>
        <w:rPr>
          <w:rFonts w:hint="eastAsia" w:ascii="方正小标宋_GBK" w:hAnsi="方正小标宋_GBK" w:eastAsia="方正小标宋_GBK" w:cs="方正小标宋_GBK"/>
          <w:b/>
          <w:bCs/>
          <w:sz w:val="56"/>
          <w:szCs w:val="56"/>
        </w:rPr>
      </w:pPr>
      <w:bookmarkStart w:id="0" w:name="_Toc9631"/>
    </w:p>
    <w:p>
      <w:pPr>
        <w:keepNext w:val="0"/>
        <w:keepLines w:val="0"/>
        <w:pageBreakBefore w:val="0"/>
        <w:widowControl w:val="0"/>
        <w:kinsoku/>
        <w:wordWrap/>
        <w:overflowPunct/>
        <w:topLinePunct w:val="0"/>
        <w:autoSpaceDE/>
        <w:autoSpaceDN/>
        <w:bidi w:val="0"/>
        <w:adjustRightInd/>
        <w:snapToGrid/>
        <w:spacing w:line="720" w:lineRule="exact"/>
        <w:ind w:firstLine="0" w:firstLineChars="0"/>
        <w:jc w:val="center"/>
        <w:textAlignment w:val="auto"/>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潜江市</w:t>
      </w:r>
      <w:r>
        <w:rPr>
          <w:rFonts w:hint="eastAsia" w:ascii="方正小标宋_GBK" w:hAnsi="方正小标宋_GBK" w:eastAsia="方正小标宋_GBK" w:cs="方正小标宋_GBK"/>
          <w:b w:val="0"/>
          <w:bCs w:val="0"/>
          <w:sz w:val="44"/>
          <w:szCs w:val="44"/>
          <w:lang w:eastAsia="zh-CN"/>
        </w:rPr>
        <w:t>“</w:t>
      </w:r>
      <w:r>
        <w:rPr>
          <w:rFonts w:hint="eastAsia" w:ascii="方正小标宋_GBK" w:hAnsi="方正小标宋_GBK" w:eastAsia="方正小标宋_GBK" w:cs="方正小标宋_GBK"/>
          <w:b w:val="0"/>
          <w:bCs w:val="0"/>
          <w:sz w:val="44"/>
          <w:szCs w:val="44"/>
          <w:lang w:val="en-US" w:eastAsia="zh-CN"/>
        </w:rPr>
        <w:t>十四五”</w:t>
      </w:r>
      <w:r>
        <w:rPr>
          <w:rFonts w:hint="eastAsia" w:ascii="方正小标宋_GBK" w:hAnsi="方正小标宋_GBK" w:eastAsia="方正小标宋_GBK" w:cs="方正小标宋_GBK"/>
          <w:b w:val="0"/>
          <w:bCs w:val="0"/>
          <w:sz w:val="44"/>
          <w:szCs w:val="44"/>
        </w:rPr>
        <w:t>农业农村现代化</w:t>
      </w:r>
      <w:r>
        <w:rPr>
          <w:rFonts w:hint="eastAsia" w:ascii="方正小标宋_GBK" w:hAnsi="方正小标宋_GBK" w:eastAsia="方正小标宋_GBK" w:cs="方正小标宋_GBK"/>
          <w:b w:val="0"/>
          <w:bCs w:val="0"/>
          <w:sz w:val="44"/>
          <w:szCs w:val="44"/>
          <w:lang w:val="en-US" w:eastAsia="zh-CN"/>
        </w:rPr>
        <w:t>发展规划</w:t>
      </w:r>
      <w:bookmarkEnd w:id="0"/>
      <w:r>
        <w:rPr>
          <w:rFonts w:hint="eastAsia" w:ascii="方正小标宋_GBK" w:hAnsi="方正小标宋_GBK" w:eastAsia="方正小标宋_GBK" w:cs="方正小标宋_GBK"/>
          <w:b w:val="0"/>
          <w:bCs w:val="0"/>
          <w:sz w:val="44"/>
          <w:szCs w:val="44"/>
          <w:lang w:val="en-US" w:eastAsia="zh-CN"/>
        </w:rPr>
        <w:t>（2021-2025年）</w:t>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b w:val="0"/>
          <w:bCs w:val="0"/>
        </w:rPr>
      </w:pPr>
      <w:r>
        <w:rPr>
          <w:rFonts w:hint="eastAsia" w:ascii="黑体" w:hAnsi="黑体" w:eastAsia="黑体" w:cs="黑体"/>
          <w:b w:val="0"/>
          <w:bCs w:val="0"/>
          <w:sz w:val="44"/>
          <w:szCs w:val="44"/>
          <w:highlight w:val="none"/>
        </w:rPr>
        <w:t>目</w:t>
      </w:r>
      <w:r>
        <w:rPr>
          <w:rFonts w:hint="eastAsia" w:ascii="黑体" w:hAnsi="黑体" w:eastAsia="黑体" w:cs="黑体"/>
          <w:b w:val="0"/>
          <w:bCs w:val="0"/>
          <w:sz w:val="44"/>
          <w:szCs w:val="44"/>
          <w:highlight w:val="none"/>
          <w:lang w:val="en-US" w:eastAsia="zh-CN"/>
        </w:rPr>
        <w:t xml:space="preserve"> </w:t>
      </w:r>
      <w:r>
        <w:rPr>
          <w:rFonts w:hint="eastAsia" w:ascii="黑体" w:hAnsi="黑体" w:eastAsia="黑体" w:cs="黑体"/>
          <w:b w:val="0"/>
          <w:bCs w:val="0"/>
          <w:sz w:val="44"/>
          <w:szCs w:val="44"/>
          <w:highlight w:val="none"/>
        </w:rPr>
        <w:t xml:space="preserve"> 录</w:t>
      </w:r>
    </w:p>
    <w:sdt>
      <w:sdtPr>
        <w:rPr>
          <w:rFonts w:hint="default" w:ascii="Times New Roman" w:hAnsi="Times New Roman" w:eastAsia="宋体" w:cs="Times New Roman"/>
          <w:kern w:val="2"/>
          <w:sz w:val="21"/>
          <w:szCs w:val="24"/>
          <w:lang w:val="en-US" w:eastAsia="zh-CN" w:bidi="ar-SA"/>
        </w:rPr>
        <w:id w:val="147456597"/>
        <w15:color w:val="DBDBDB"/>
        <w:docPartObj>
          <w:docPartGallery w:val="Table of Contents"/>
          <w:docPartUnique/>
        </w:docPartObj>
      </w:sdtPr>
      <w:sdtEndPr>
        <w:rPr>
          <w:rFonts w:hint="eastAsia" w:ascii="黑体" w:hAnsi="黑体" w:eastAsia="黑体" w:cs="仿宋_GB2312"/>
          <w:b/>
          <w:kern w:val="2"/>
          <w:sz w:val="32"/>
          <w:szCs w:val="40"/>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left"/>
            <w:textAlignment w:val="auto"/>
            <w:outlineLvl w:val="9"/>
            <w:rPr>
              <w:rFonts w:hint="default" w:ascii="Times New Roman" w:hAnsi="Times New Roman" w:eastAsia="黑体" w:cs="Times New Roman"/>
              <w:b/>
              <w:kern w:val="2"/>
              <w:sz w:val="32"/>
              <w:szCs w:val="40"/>
              <w:lang w:val="en-US" w:eastAsia="zh-CN" w:bidi="ar-SA"/>
            </w:rPr>
          </w:pPr>
          <w:bookmarkStart w:id="1" w:name="_Toc13599"/>
          <w:bookmarkStart w:id="2" w:name="_Toc18775"/>
          <w:bookmarkStart w:id="3" w:name="_Toc12048"/>
          <w:bookmarkStart w:id="4" w:name="_Toc29876"/>
          <w:bookmarkStart w:id="5" w:name="_Toc5711"/>
          <w:r>
            <w:rPr>
              <w:rFonts w:hint="default" w:ascii="Times New Roman" w:hAnsi="Times New Roman" w:eastAsia="黑体" w:cs="Times New Roman"/>
              <w:b/>
              <w:sz w:val="40"/>
              <w:szCs w:val="40"/>
            </w:rPr>
            <w:fldChar w:fldCharType="begin"/>
          </w:r>
          <w:r>
            <w:rPr>
              <w:rFonts w:hint="default" w:ascii="Times New Roman" w:hAnsi="Times New Roman" w:eastAsia="黑体" w:cs="Times New Roman"/>
              <w:b/>
              <w:sz w:val="40"/>
              <w:szCs w:val="40"/>
            </w:rPr>
            <w:instrText xml:space="preserve">TOC \o "1-2" \h \u </w:instrText>
          </w:r>
          <w:r>
            <w:rPr>
              <w:rFonts w:hint="default" w:ascii="Times New Roman" w:hAnsi="Times New Roman" w:eastAsia="黑体" w:cs="Times New Roman"/>
              <w:b/>
              <w:sz w:val="40"/>
              <w:szCs w:val="40"/>
            </w:rPr>
            <w:fldChar w:fldCharType="separate"/>
          </w:r>
        </w:p>
        <w:p>
          <w:pPr>
            <w:pStyle w:val="17"/>
            <w:keepNext w:val="0"/>
            <w:keepLines w:val="0"/>
            <w:pageBreakBefore w:val="0"/>
            <w:widowControl w:val="0"/>
            <w:tabs>
              <w:tab w:val="right" w:leader="dot" w:pos="8300"/>
            </w:tabs>
            <w:kinsoku/>
            <w:wordWrap/>
            <w:overflowPunct w:val="0"/>
            <w:topLinePunct w:val="0"/>
            <w:autoSpaceDE/>
            <w:autoSpaceDN/>
            <w:bidi w:val="0"/>
            <w:adjustRightInd/>
            <w:snapToGrid/>
            <w:ind w:left="0" w:firstLine="0" w:firstLineChars="0"/>
            <w:jc w:val="both"/>
            <w:textAlignment w:val="auto"/>
            <w:rPr>
              <w:rFonts w:hint="default" w:ascii="Times New Roman" w:hAnsi="Times New Roman" w:eastAsia="黑体" w:cs="Times New Roman"/>
              <w:b w:val="0"/>
              <w:bCs w:val="0"/>
            </w:rPr>
          </w:pP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HYPERLINK \l _Toc6867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4"/>
              <w:highlight w:val="none"/>
              <w:lang w:val="en-US" w:eastAsia="zh-CN"/>
            </w:rPr>
            <w:t>序</w:t>
          </w:r>
          <w:r>
            <w:rPr>
              <w:rFonts w:hint="default" w:ascii="Times New Roman" w:hAnsi="Times New Roman" w:eastAsia="黑体" w:cs="Times New Roman"/>
              <w:b w:val="0"/>
              <w:bCs w:val="0"/>
              <w:szCs w:val="44"/>
              <w:highlight w:val="none"/>
            </w:rPr>
            <w:t xml:space="preserve">  言</w:t>
          </w:r>
          <w:r>
            <w:rPr>
              <w:rFonts w:hint="default" w:ascii="Times New Roman" w:hAnsi="Times New Roman" w:eastAsia="黑体" w:cs="Times New Roman"/>
              <w:b w:val="0"/>
              <w:bCs w:val="0"/>
            </w:rPr>
            <w:tab/>
          </w:r>
          <w:r>
            <w:rPr>
              <w:rFonts w:hint="default" w:ascii="Times New Roman" w:hAnsi="Times New Roman" w:eastAsia="黑体" w:cs="Times New Roman"/>
              <w:b w:val="0"/>
              <w:bCs w:val="0"/>
            </w:rPr>
            <w:fldChar w:fldCharType="begin"/>
          </w:r>
          <w:r>
            <w:rPr>
              <w:rFonts w:hint="default" w:ascii="Times New Roman" w:hAnsi="Times New Roman" w:eastAsia="黑体" w:cs="Times New Roman"/>
              <w:b w:val="0"/>
              <w:bCs w:val="0"/>
            </w:rPr>
            <w:instrText xml:space="preserve"> PAGEREF _Toc6867 \h </w:instrText>
          </w:r>
          <w:r>
            <w:rPr>
              <w:rFonts w:hint="default" w:ascii="Times New Roman" w:hAnsi="Times New Roman" w:eastAsia="黑体" w:cs="Times New Roman"/>
              <w:b w:val="0"/>
              <w:bCs w:val="0"/>
            </w:rPr>
            <w:fldChar w:fldCharType="separate"/>
          </w:r>
          <w:r>
            <w:rPr>
              <w:rFonts w:hint="default" w:ascii="Times New Roman" w:hAnsi="Times New Roman" w:eastAsia="黑体" w:cs="Times New Roman"/>
              <w:b w:val="0"/>
              <w:bCs w:val="0"/>
            </w:rPr>
            <w:t>5</w:t>
          </w:r>
          <w:r>
            <w:rPr>
              <w:rFonts w:hint="default" w:ascii="Times New Roman" w:hAnsi="Times New Roman" w:eastAsia="黑体" w:cs="Times New Roman"/>
              <w:b w:val="0"/>
              <w:bCs w:val="0"/>
            </w:rPr>
            <w:fldChar w:fldCharType="end"/>
          </w:r>
          <w:r>
            <w:rPr>
              <w:rFonts w:hint="default" w:ascii="Times New Roman" w:hAnsi="Times New Roman" w:eastAsia="黑体" w:cs="Times New Roman"/>
              <w:b w:val="0"/>
              <w:bCs w:val="0"/>
              <w:szCs w:val="40"/>
            </w:rPr>
            <w:fldChar w:fldCharType="end"/>
          </w:r>
        </w:p>
        <w:p>
          <w:pPr>
            <w:pStyle w:val="17"/>
            <w:keepNext w:val="0"/>
            <w:keepLines w:val="0"/>
            <w:pageBreakBefore w:val="0"/>
            <w:widowControl w:val="0"/>
            <w:tabs>
              <w:tab w:val="right" w:leader="dot" w:pos="8300"/>
            </w:tabs>
            <w:kinsoku/>
            <w:wordWrap/>
            <w:overflowPunct w:val="0"/>
            <w:topLinePunct w:val="0"/>
            <w:autoSpaceDE/>
            <w:autoSpaceDN/>
            <w:bidi w:val="0"/>
            <w:adjustRightInd/>
            <w:snapToGrid/>
            <w:ind w:left="0" w:firstLine="0" w:firstLineChars="0"/>
            <w:jc w:val="both"/>
            <w:textAlignment w:val="auto"/>
            <w:rPr>
              <w:rFonts w:hint="default" w:ascii="Times New Roman" w:hAnsi="Times New Roman" w:eastAsia="黑体" w:cs="Times New Roman"/>
              <w:b w:val="0"/>
              <w:bCs w:val="0"/>
              <w:szCs w:val="40"/>
            </w:rPr>
          </w:pP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HYPERLINK \l _Toc18634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lang w:val="en-US" w:eastAsia="zh-CN"/>
            </w:rPr>
            <w:t>第一章 “十四五”发展形势</w:t>
          </w:r>
          <w:r>
            <w:rPr>
              <w:rFonts w:hint="default" w:ascii="Times New Roman" w:hAnsi="Times New Roman" w:eastAsia="黑体" w:cs="Times New Roman"/>
              <w:b w:val="0"/>
              <w:bCs w:val="0"/>
              <w:szCs w:val="40"/>
            </w:rPr>
            <w:tab/>
          </w: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PAGEREF _Toc18634 \h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rPr>
            <w:t>6</w:t>
          </w:r>
          <w:r>
            <w:rPr>
              <w:rFonts w:hint="default" w:ascii="Times New Roman" w:hAnsi="Times New Roman" w:eastAsia="黑体" w:cs="Times New Roman"/>
              <w:b w:val="0"/>
              <w:bCs w:val="0"/>
              <w:szCs w:val="40"/>
            </w:rPr>
            <w:fldChar w:fldCharType="end"/>
          </w:r>
          <w:r>
            <w:rPr>
              <w:rFonts w:hint="default" w:ascii="Times New Roman" w:hAnsi="Times New Roman" w:eastAsia="黑体"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_Toc24868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mallCaps w:val="0"/>
              <w:szCs w:val="32"/>
              <w:lang w:val="en-US" w:eastAsia="zh-CN"/>
            </w:rPr>
            <w:t>第一节 “十三五”发展成效</w:t>
          </w:r>
          <w:r>
            <w:rPr>
              <w:rFonts w:hint="default" w:ascii="Times New Roman" w:hAnsi="Times New Roman" w:eastAsia="楷体_GB2312" w:cs="Times New Roman"/>
              <w:b w:val="0"/>
              <w:bCs w:val="0"/>
            </w:rPr>
            <w:tab/>
          </w:r>
          <w:r>
            <w:rPr>
              <w:rFonts w:hint="default" w:ascii="Times New Roman" w:hAnsi="Times New Roman" w:eastAsia="楷体_GB2312" w:cs="Times New Roman"/>
              <w:b w:val="0"/>
              <w:bCs w:val="0"/>
            </w:rPr>
            <w:fldChar w:fldCharType="begin"/>
          </w:r>
          <w:r>
            <w:rPr>
              <w:rFonts w:hint="default" w:ascii="Times New Roman" w:hAnsi="Times New Roman" w:eastAsia="楷体_GB2312" w:cs="Times New Roman"/>
              <w:b w:val="0"/>
              <w:bCs w:val="0"/>
            </w:rPr>
            <w:instrText xml:space="preserve"> PAGEREF _Toc24868 \h </w:instrText>
          </w:r>
          <w:r>
            <w:rPr>
              <w:rFonts w:hint="default" w:ascii="Times New Roman" w:hAnsi="Times New Roman" w:eastAsia="楷体_GB2312" w:cs="Times New Roman"/>
              <w:b w:val="0"/>
              <w:bCs w:val="0"/>
            </w:rPr>
            <w:fldChar w:fldCharType="separate"/>
          </w:r>
          <w:r>
            <w:rPr>
              <w:rFonts w:hint="default" w:ascii="Times New Roman" w:hAnsi="Times New Roman" w:eastAsia="楷体_GB2312" w:cs="Times New Roman"/>
              <w:b w:val="0"/>
              <w:bCs w:val="0"/>
            </w:rPr>
            <w:t>6</w:t>
          </w:r>
          <w:r>
            <w:rPr>
              <w:rFonts w:hint="default" w:ascii="Times New Roman" w:hAnsi="Times New Roman" w:eastAsia="楷体_GB2312" w:cs="Times New Roman"/>
              <w:b w:val="0"/>
              <w:bCs w:val="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_Toc31365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mallCaps w:val="0"/>
              <w:szCs w:val="32"/>
              <w:lang w:val="en-US" w:eastAsia="zh-CN"/>
            </w:rPr>
            <w:t>第二节 “十四五”发展机遇</w:t>
          </w:r>
          <w:r>
            <w:rPr>
              <w:rFonts w:hint="default" w:ascii="Times New Roman" w:hAnsi="Times New Roman" w:eastAsia="楷体_GB2312" w:cs="Times New Roman"/>
              <w:b w:val="0"/>
              <w:bCs w:val="0"/>
            </w:rPr>
            <w:tab/>
          </w:r>
          <w:r>
            <w:rPr>
              <w:rFonts w:hint="default" w:ascii="Times New Roman" w:hAnsi="Times New Roman" w:eastAsia="楷体_GB2312" w:cs="Times New Roman"/>
              <w:b w:val="0"/>
              <w:bCs w:val="0"/>
            </w:rPr>
            <w:fldChar w:fldCharType="begin"/>
          </w:r>
          <w:r>
            <w:rPr>
              <w:rFonts w:hint="default" w:ascii="Times New Roman" w:hAnsi="Times New Roman" w:eastAsia="楷体_GB2312" w:cs="Times New Roman"/>
              <w:b w:val="0"/>
              <w:bCs w:val="0"/>
            </w:rPr>
            <w:instrText xml:space="preserve"> PAGEREF _Toc31365 \h </w:instrText>
          </w:r>
          <w:r>
            <w:rPr>
              <w:rFonts w:hint="default" w:ascii="Times New Roman" w:hAnsi="Times New Roman" w:eastAsia="楷体_GB2312" w:cs="Times New Roman"/>
              <w:b w:val="0"/>
              <w:bCs w:val="0"/>
            </w:rPr>
            <w:fldChar w:fldCharType="separate"/>
          </w:r>
          <w:r>
            <w:rPr>
              <w:rFonts w:hint="default" w:ascii="Times New Roman" w:hAnsi="Times New Roman" w:eastAsia="楷体_GB2312" w:cs="Times New Roman"/>
              <w:b w:val="0"/>
              <w:bCs w:val="0"/>
            </w:rPr>
            <w:t>10</w:t>
          </w:r>
          <w:r>
            <w:rPr>
              <w:rFonts w:hint="default" w:ascii="Times New Roman" w:hAnsi="Times New Roman" w:eastAsia="楷体_GB2312" w:cs="Times New Roman"/>
              <w:b w:val="0"/>
              <w:bCs w:val="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_Toc27526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mallCaps w:val="0"/>
              <w:szCs w:val="32"/>
              <w:lang w:val="en-US" w:eastAsia="zh-CN"/>
            </w:rPr>
            <w:t>第三节 “十四五”发展挑战</w:t>
          </w:r>
          <w:r>
            <w:rPr>
              <w:rFonts w:hint="default" w:ascii="Times New Roman" w:hAnsi="Times New Roman" w:eastAsia="楷体_GB2312" w:cs="Times New Roman"/>
              <w:b w:val="0"/>
              <w:bCs w:val="0"/>
            </w:rPr>
            <w:tab/>
          </w:r>
          <w:r>
            <w:rPr>
              <w:rFonts w:hint="default" w:ascii="Times New Roman" w:hAnsi="Times New Roman" w:eastAsia="楷体_GB2312" w:cs="Times New Roman"/>
              <w:b w:val="0"/>
              <w:bCs w:val="0"/>
            </w:rPr>
            <w:fldChar w:fldCharType="begin"/>
          </w:r>
          <w:r>
            <w:rPr>
              <w:rFonts w:hint="default" w:ascii="Times New Roman" w:hAnsi="Times New Roman" w:eastAsia="楷体_GB2312" w:cs="Times New Roman"/>
              <w:b w:val="0"/>
              <w:bCs w:val="0"/>
            </w:rPr>
            <w:instrText xml:space="preserve"> PAGEREF _Toc27526 \h </w:instrText>
          </w:r>
          <w:r>
            <w:rPr>
              <w:rFonts w:hint="default" w:ascii="Times New Roman" w:hAnsi="Times New Roman" w:eastAsia="楷体_GB2312" w:cs="Times New Roman"/>
              <w:b w:val="0"/>
              <w:bCs w:val="0"/>
            </w:rPr>
            <w:fldChar w:fldCharType="separate"/>
          </w:r>
          <w:r>
            <w:rPr>
              <w:rFonts w:hint="default" w:ascii="Times New Roman" w:hAnsi="Times New Roman" w:eastAsia="楷体_GB2312" w:cs="Times New Roman"/>
              <w:b w:val="0"/>
              <w:bCs w:val="0"/>
            </w:rPr>
            <w:t>11</w:t>
          </w:r>
          <w:r>
            <w:rPr>
              <w:rFonts w:hint="default" w:ascii="Times New Roman" w:hAnsi="Times New Roman" w:eastAsia="楷体_GB2312" w:cs="Times New Roman"/>
              <w:b w:val="0"/>
              <w:bCs w:val="0"/>
            </w:rPr>
            <w:fldChar w:fldCharType="end"/>
          </w:r>
          <w:r>
            <w:rPr>
              <w:rFonts w:hint="default" w:ascii="Times New Roman" w:hAnsi="Times New Roman" w:eastAsia="楷体_GB2312" w:cs="Times New Roman"/>
              <w:b w:val="0"/>
              <w:bCs w:val="0"/>
              <w:szCs w:val="40"/>
            </w:rPr>
            <w:fldChar w:fldCharType="end"/>
          </w:r>
        </w:p>
        <w:p>
          <w:pPr>
            <w:pStyle w:val="17"/>
            <w:keepNext w:val="0"/>
            <w:keepLines w:val="0"/>
            <w:pageBreakBefore w:val="0"/>
            <w:widowControl w:val="0"/>
            <w:tabs>
              <w:tab w:val="right" w:leader="dot" w:pos="8300"/>
            </w:tabs>
            <w:kinsoku/>
            <w:wordWrap/>
            <w:overflowPunct w:val="0"/>
            <w:topLinePunct w:val="0"/>
            <w:autoSpaceDE/>
            <w:autoSpaceDN/>
            <w:bidi w:val="0"/>
            <w:adjustRightInd/>
            <w:snapToGrid/>
            <w:ind w:left="0" w:firstLine="0" w:firstLineChars="0"/>
            <w:jc w:val="both"/>
            <w:textAlignment w:val="auto"/>
            <w:rPr>
              <w:rFonts w:hint="default" w:ascii="Times New Roman" w:hAnsi="Times New Roman" w:eastAsia="黑体" w:cs="Times New Roman"/>
              <w:b w:val="0"/>
              <w:bCs w:val="0"/>
              <w:szCs w:val="40"/>
            </w:rPr>
          </w:pP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HYPERLINK \l _Toc29636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lang w:val="en-US" w:eastAsia="zh-CN"/>
            </w:rPr>
            <w:t>第二章 “十四五”总体要求</w:t>
          </w:r>
          <w:r>
            <w:rPr>
              <w:rFonts w:hint="default" w:ascii="Times New Roman" w:hAnsi="Times New Roman" w:eastAsia="黑体" w:cs="Times New Roman"/>
              <w:b w:val="0"/>
              <w:bCs w:val="0"/>
              <w:szCs w:val="40"/>
            </w:rPr>
            <w:tab/>
          </w: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PAGEREF _Toc29636 \h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rPr>
            <w:t>14</w:t>
          </w:r>
          <w:r>
            <w:rPr>
              <w:rFonts w:hint="default" w:ascii="Times New Roman" w:hAnsi="Times New Roman" w:eastAsia="黑体" w:cs="Times New Roman"/>
              <w:b w:val="0"/>
              <w:bCs w:val="0"/>
              <w:szCs w:val="40"/>
            </w:rPr>
            <w:fldChar w:fldCharType="end"/>
          </w:r>
          <w:r>
            <w:rPr>
              <w:rFonts w:hint="default" w:ascii="Times New Roman" w:hAnsi="Times New Roman" w:eastAsia="黑体"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_Toc20790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第一节 指导思想</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_Toc20790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14</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_Toc32396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第二节 基本原则</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_Toc32396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15</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_Toc27898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第三节 发展目标</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_Toc27898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16</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17"/>
            <w:keepNext w:val="0"/>
            <w:keepLines w:val="0"/>
            <w:pageBreakBefore w:val="0"/>
            <w:widowControl w:val="0"/>
            <w:tabs>
              <w:tab w:val="right" w:leader="dot" w:pos="8300"/>
            </w:tabs>
            <w:kinsoku/>
            <w:wordWrap/>
            <w:overflowPunct w:val="0"/>
            <w:topLinePunct w:val="0"/>
            <w:autoSpaceDE/>
            <w:autoSpaceDN/>
            <w:bidi w:val="0"/>
            <w:adjustRightInd/>
            <w:snapToGrid/>
            <w:ind w:left="0" w:firstLine="0" w:firstLineChars="0"/>
            <w:jc w:val="both"/>
            <w:textAlignment w:val="auto"/>
            <w:rPr>
              <w:rFonts w:hint="default" w:ascii="Times New Roman" w:hAnsi="Times New Roman" w:eastAsia="黑体" w:cs="Times New Roman"/>
              <w:b w:val="0"/>
              <w:bCs w:val="0"/>
              <w:szCs w:val="40"/>
            </w:rPr>
          </w:pP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HYPERLINK \l _Toc10260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pacing w:val="-6"/>
              <w:sz w:val="32"/>
              <w:szCs w:val="40"/>
              <w:lang w:val="en-US" w:eastAsia="zh-CN"/>
            </w:rPr>
            <w:t>第</w:t>
          </w:r>
          <w:r>
            <w:rPr>
              <w:rFonts w:hint="default" w:ascii="Times New Roman" w:hAnsi="Times New Roman" w:eastAsia="黑体" w:cs="Times New Roman"/>
              <w:b w:val="0"/>
              <w:bCs w:val="0"/>
              <w:spacing w:val="-11"/>
              <w:sz w:val="32"/>
              <w:szCs w:val="40"/>
              <w:lang w:val="en-US" w:eastAsia="zh-CN"/>
            </w:rPr>
            <w:t>三章 巩固拓展脱贫攻坚成果，加快与乡村振兴有效衔接</w:t>
          </w:r>
          <w:r>
            <w:rPr>
              <w:rFonts w:hint="default" w:ascii="Times New Roman" w:hAnsi="Times New Roman" w:eastAsia="黑体" w:cs="Times New Roman"/>
              <w:b w:val="0"/>
              <w:bCs w:val="0"/>
              <w:szCs w:val="40"/>
            </w:rPr>
            <w:tab/>
          </w: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PAGEREF _Toc10260 \h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rPr>
            <w:t>22</w:t>
          </w:r>
          <w:r>
            <w:rPr>
              <w:rFonts w:hint="default" w:ascii="Times New Roman" w:hAnsi="Times New Roman" w:eastAsia="黑体" w:cs="Times New Roman"/>
              <w:b w:val="0"/>
              <w:bCs w:val="0"/>
              <w:szCs w:val="40"/>
            </w:rPr>
            <w:fldChar w:fldCharType="end"/>
          </w:r>
          <w:r>
            <w:rPr>
              <w:rFonts w:hint="default" w:ascii="Times New Roman" w:hAnsi="Times New Roman" w:eastAsia="黑体"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_Toc26249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第一节 健全防止返贫动态监测和帮扶机制</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_Toc26249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22</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_Toc4877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第二节 接续推进乡村全面振兴</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_Toc4877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22</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_Toc28743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第三节 强化党对乡村振兴工作的领导</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_Toc28743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23</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_Toc8442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第四节 加快城乡融合发展步伐</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_Toc8442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24</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17"/>
            <w:keepNext w:val="0"/>
            <w:keepLines w:val="0"/>
            <w:pageBreakBefore w:val="0"/>
            <w:widowControl w:val="0"/>
            <w:tabs>
              <w:tab w:val="right" w:leader="dot" w:pos="8300"/>
            </w:tabs>
            <w:kinsoku/>
            <w:wordWrap/>
            <w:overflowPunct w:val="0"/>
            <w:topLinePunct w:val="0"/>
            <w:autoSpaceDE/>
            <w:autoSpaceDN/>
            <w:bidi w:val="0"/>
            <w:adjustRightInd/>
            <w:snapToGrid/>
            <w:ind w:left="0" w:firstLine="0" w:firstLineChars="0"/>
            <w:jc w:val="both"/>
            <w:textAlignment w:val="auto"/>
            <w:rPr>
              <w:rFonts w:hint="default" w:ascii="Times New Roman" w:hAnsi="Times New Roman" w:eastAsia="黑体" w:cs="Times New Roman"/>
              <w:b w:val="0"/>
              <w:bCs w:val="0"/>
              <w:szCs w:val="40"/>
            </w:rPr>
          </w:pP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HYPERLINK \l _Toc9131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lang w:val="en-US" w:eastAsia="zh-CN"/>
            </w:rPr>
            <w:t>第四章 推进农业提质增效，加快建设现代农业强市</w:t>
          </w:r>
          <w:r>
            <w:rPr>
              <w:rFonts w:hint="default" w:ascii="Times New Roman" w:hAnsi="Times New Roman" w:eastAsia="黑体" w:cs="Times New Roman"/>
              <w:b w:val="0"/>
              <w:bCs w:val="0"/>
              <w:szCs w:val="40"/>
            </w:rPr>
            <w:tab/>
          </w: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PAGEREF _Toc9131 \h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rPr>
            <w:t>27</w:t>
          </w:r>
          <w:r>
            <w:rPr>
              <w:rFonts w:hint="default" w:ascii="Times New Roman" w:hAnsi="Times New Roman" w:eastAsia="黑体" w:cs="Times New Roman"/>
              <w:b w:val="0"/>
              <w:bCs w:val="0"/>
              <w:szCs w:val="40"/>
            </w:rPr>
            <w:fldChar w:fldCharType="end"/>
          </w:r>
          <w:r>
            <w:rPr>
              <w:rFonts w:hint="default" w:ascii="Times New Roman" w:hAnsi="Times New Roman" w:eastAsia="黑体"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_Toc21359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第一节 构建“一带二区五园”空间布局</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_Toc21359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27</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_Toc31241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第二节 打造“龙虾之乡”乡村产业增长极</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_Toc31241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31</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_Toc3129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第三节 大力推进农村电商物流业发展</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_Toc3129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44</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_Toc3234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第四节 着力推动农业数字经济发展</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_Toc3234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46</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_Toc19375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第五节 加快推进乡村服务业升级发展</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_Toc19375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47</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_Toc24092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第六节 全面加强农产品质量安全建设</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_Toc24092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50</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_Toc18122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第七节 持续推进现代农业绿色发展</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_Toc18122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51</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17"/>
            <w:keepNext w:val="0"/>
            <w:keepLines w:val="0"/>
            <w:pageBreakBefore w:val="0"/>
            <w:widowControl w:val="0"/>
            <w:tabs>
              <w:tab w:val="right" w:leader="dot" w:pos="8300"/>
            </w:tabs>
            <w:kinsoku/>
            <w:wordWrap/>
            <w:overflowPunct w:val="0"/>
            <w:topLinePunct w:val="0"/>
            <w:autoSpaceDE/>
            <w:autoSpaceDN/>
            <w:bidi w:val="0"/>
            <w:adjustRightInd/>
            <w:snapToGrid/>
            <w:ind w:left="0" w:firstLine="0" w:firstLineChars="0"/>
            <w:jc w:val="both"/>
            <w:textAlignment w:val="auto"/>
            <w:rPr>
              <w:rFonts w:hint="default" w:ascii="Times New Roman" w:hAnsi="Times New Roman" w:eastAsia="黑体" w:cs="Times New Roman"/>
              <w:b w:val="0"/>
              <w:bCs w:val="0"/>
              <w:szCs w:val="40"/>
            </w:rPr>
          </w:pP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HYPERLINK \l _Toc16594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lang w:val="en-US" w:eastAsia="zh-CN"/>
            </w:rPr>
            <w:t>第五章 夯实现代农业基础，增强农业持续发展动力</w:t>
          </w:r>
          <w:r>
            <w:rPr>
              <w:rFonts w:hint="default" w:ascii="Times New Roman" w:hAnsi="Times New Roman" w:eastAsia="黑体" w:cs="Times New Roman"/>
              <w:b w:val="0"/>
              <w:bCs w:val="0"/>
              <w:szCs w:val="40"/>
            </w:rPr>
            <w:tab/>
          </w: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PAGEREF _Toc16594 \h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rPr>
            <w:t>53</w:t>
          </w:r>
          <w:r>
            <w:rPr>
              <w:rFonts w:hint="default" w:ascii="Times New Roman" w:hAnsi="Times New Roman" w:eastAsia="黑体" w:cs="Times New Roman"/>
              <w:b w:val="0"/>
              <w:bCs w:val="0"/>
              <w:szCs w:val="40"/>
            </w:rPr>
            <w:fldChar w:fldCharType="end"/>
          </w:r>
          <w:r>
            <w:rPr>
              <w:rFonts w:hint="default" w:ascii="Times New Roman" w:hAnsi="Times New Roman" w:eastAsia="黑体"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_Toc15024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第一节 完善农业现代化基础设施建设</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_Toc15024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53</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_Toc18595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第二节 加强农业园区和平台建设</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_Toc18595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55</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_Toc20946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第三节 推进现代农业经营体系建设</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_Toc20946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57</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_Toc27681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第四节 强化现代农业科技和物质装备支撑</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_Toc27681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58</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_Toc20179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第五节 加强农业综合执法能力建设</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_Toc20179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61</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17"/>
            <w:keepNext w:val="0"/>
            <w:keepLines w:val="0"/>
            <w:pageBreakBefore w:val="0"/>
            <w:widowControl w:val="0"/>
            <w:tabs>
              <w:tab w:val="right" w:leader="dot" w:pos="8300"/>
            </w:tabs>
            <w:kinsoku/>
            <w:wordWrap/>
            <w:overflowPunct w:val="0"/>
            <w:topLinePunct w:val="0"/>
            <w:autoSpaceDE/>
            <w:autoSpaceDN/>
            <w:bidi w:val="0"/>
            <w:adjustRightInd/>
            <w:snapToGrid/>
            <w:ind w:left="0" w:firstLine="0" w:firstLineChars="0"/>
            <w:jc w:val="both"/>
            <w:textAlignment w:val="auto"/>
            <w:rPr>
              <w:rFonts w:hint="default" w:ascii="Times New Roman" w:hAnsi="Times New Roman" w:eastAsia="黑体" w:cs="Times New Roman"/>
              <w:b w:val="0"/>
              <w:bCs w:val="0"/>
              <w:szCs w:val="40"/>
            </w:rPr>
          </w:pP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HYPERLINK \l _Toc22607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lang w:val="en-US" w:eastAsia="zh-CN"/>
            </w:rPr>
            <w:t>第六章 全面实施乡村建设行动，加快推进农村现代化</w:t>
          </w:r>
          <w:r>
            <w:rPr>
              <w:rFonts w:hint="default" w:ascii="Times New Roman" w:hAnsi="Times New Roman" w:eastAsia="黑体" w:cs="Times New Roman"/>
              <w:b w:val="0"/>
              <w:bCs w:val="0"/>
              <w:szCs w:val="40"/>
            </w:rPr>
            <w:tab/>
          </w: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PAGEREF _Toc22607 \h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rPr>
            <w:t>63</w:t>
          </w:r>
          <w:r>
            <w:rPr>
              <w:rFonts w:hint="default" w:ascii="Times New Roman" w:hAnsi="Times New Roman" w:eastAsia="黑体" w:cs="Times New Roman"/>
              <w:b w:val="0"/>
              <w:bCs w:val="0"/>
              <w:szCs w:val="40"/>
            </w:rPr>
            <w:fldChar w:fldCharType="end"/>
          </w:r>
          <w:r>
            <w:rPr>
              <w:rFonts w:hint="default" w:ascii="Times New Roman" w:hAnsi="Times New Roman" w:eastAsia="黑体"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_Toc5074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第一节 科学有序引导村庄建设发展</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_Toc5074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63</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_Toc21336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第二节 推进乡村基础设施提档升级</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_Toc21336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64</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_Toc4296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第三节 持续推进农村人居环境整治</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_Toc4296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65</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_Toc11742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第四节 大力推进美丽村镇建设</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_Toc11742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65</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_Toc14877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第五节 推进城乡公共服务一体化</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_Toc14877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70</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_Toc32716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第六节 提升乡村治理现代化水平</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_Toc32716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71</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17"/>
            <w:keepNext w:val="0"/>
            <w:keepLines w:val="0"/>
            <w:pageBreakBefore w:val="0"/>
            <w:widowControl w:val="0"/>
            <w:tabs>
              <w:tab w:val="right" w:leader="dot" w:pos="8300"/>
            </w:tabs>
            <w:kinsoku/>
            <w:wordWrap/>
            <w:overflowPunct w:val="0"/>
            <w:topLinePunct w:val="0"/>
            <w:autoSpaceDE/>
            <w:autoSpaceDN/>
            <w:bidi w:val="0"/>
            <w:adjustRightInd/>
            <w:snapToGrid/>
            <w:ind w:left="0" w:firstLine="0" w:firstLineChars="0"/>
            <w:jc w:val="both"/>
            <w:textAlignment w:val="auto"/>
            <w:rPr>
              <w:rFonts w:hint="default" w:ascii="Times New Roman" w:hAnsi="Times New Roman" w:eastAsia="黑体" w:cs="Times New Roman"/>
              <w:b w:val="0"/>
              <w:bCs w:val="0"/>
              <w:szCs w:val="40"/>
            </w:rPr>
          </w:pP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HYPERLINK \l _Toc28836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lang w:val="en-US" w:eastAsia="zh-CN"/>
            </w:rPr>
            <w:t>第七章 加强乡村人才队伍建设，实现乡村人才振兴</w:t>
          </w:r>
          <w:r>
            <w:rPr>
              <w:rFonts w:hint="default" w:ascii="Times New Roman" w:hAnsi="Times New Roman" w:eastAsia="黑体" w:cs="Times New Roman"/>
              <w:b w:val="0"/>
              <w:bCs w:val="0"/>
              <w:szCs w:val="40"/>
            </w:rPr>
            <w:tab/>
          </w: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PAGEREF _Toc28836 \h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rPr>
            <w:t>73</w:t>
          </w:r>
          <w:r>
            <w:rPr>
              <w:rFonts w:hint="default" w:ascii="Times New Roman" w:hAnsi="Times New Roman" w:eastAsia="黑体" w:cs="Times New Roman"/>
              <w:b w:val="0"/>
              <w:bCs w:val="0"/>
              <w:szCs w:val="40"/>
            </w:rPr>
            <w:fldChar w:fldCharType="end"/>
          </w:r>
          <w:r>
            <w:rPr>
              <w:rFonts w:hint="default" w:ascii="Times New Roman" w:hAnsi="Times New Roman" w:eastAsia="黑体"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_Toc5345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第一节 加快农业生产经营人才培养</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_Toc5345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73</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_Toc20112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第二节 加大农村二三产业发展人才培养</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_Toc20112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74</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_Toc20031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第三节 全力推进乡村科技人才培养</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_Toc20031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75</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_Toc10547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第四节 强化乡村公共服务人才培养</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_Toc10547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76</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_Toc10691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第五节 推动乡村治理人才培养</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_Toc10691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76</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17"/>
            <w:keepNext w:val="0"/>
            <w:keepLines w:val="0"/>
            <w:pageBreakBefore w:val="0"/>
            <w:widowControl w:val="0"/>
            <w:tabs>
              <w:tab w:val="right" w:leader="dot" w:pos="8300"/>
            </w:tabs>
            <w:kinsoku/>
            <w:wordWrap/>
            <w:overflowPunct w:val="0"/>
            <w:topLinePunct w:val="0"/>
            <w:autoSpaceDE/>
            <w:autoSpaceDN/>
            <w:bidi w:val="0"/>
            <w:adjustRightInd/>
            <w:snapToGrid/>
            <w:ind w:left="0" w:firstLine="0" w:firstLineChars="0"/>
            <w:jc w:val="both"/>
            <w:textAlignment w:val="auto"/>
            <w:rPr>
              <w:rFonts w:hint="default" w:ascii="Times New Roman" w:hAnsi="Times New Roman" w:eastAsia="黑体" w:cs="Times New Roman"/>
              <w:b w:val="0"/>
              <w:bCs w:val="0"/>
              <w:szCs w:val="40"/>
            </w:rPr>
          </w:pP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HYPERLINK \l _Toc21885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lang w:val="en-US" w:eastAsia="zh-CN"/>
            </w:rPr>
            <w:t>第八章 深入推进农业农村改革，激活乡村振兴内生动力</w:t>
          </w:r>
          <w:r>
            <w:rPr>
              <w:rFonts w:hint="default" w:ascii="Times New Roman" w:hAnsi="Times New Roman" w:eastAsia="黑体" w:cs="Times New Roman"/>
              <w:b w:val="0"/>
              <w:bCs w:val="0"/>
              <w:szCs w:val="40"/>
            </w:rPr>
            <w:tab/>
          </w: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PAGEREF _Toc21885 \h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rPr>
            <w:t>78</w:t>
          </w:r>
          <w:r>
            <w:rPr>
              <w:rFonts w:hint="default" w:ascii="Times New Roman" w:hAnsi="Times New Roman" w:eastAsia="黑体" w:cs="Times New Roman"/>
              <w:b w:val="0"/>
              <w:bCs w:val="0"/>
              <w:szCs w:val="40"/>
            </w:rPr>
            <w:fldChar w:fldCharType="end"/>
          </w:r>
          <w:r>
            <w:rPr>
              <w:rFonts w:hint="default" w:ascii="Times New Roman" w:hAnsi="Times New Roman" w:eastAsia="黑体"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_Toc25857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第一节 深入推进农村土地制度改革</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_Toc25857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78</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_Toc28047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第二节 加快农村集体产权制度改革</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_Toc28047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79</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_Toc8455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第三节 统筹推进农业综合改革</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_Toc8455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81</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_Toc2024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第四节 大力发展农村集体经济</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_Toc2024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82</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17"/>
            <w:keepNext w:val="0"/>
            <w:keepLines w:val="0"/>
            <w:pageBreakBefore w:val="0"/>
            <w:widowControl w:val="0"/>
            <w:tabs>
              <w:tab w:val="right" w:leader="dot" w:pos="8300"/>
            </w:tabs>
            <w:kinsoku/>
            <w:wordWrap/>
            <w:overflowPunct w:val="0"/>
            <w:topLinePunct w:val="0"/>
            <w:autoSpaceDE/>
            <w:autoSpaceDN/>
            <w:bidi w:val="0"/>
            <w:adjustRightInd/>
            <w:snapToGrid/>
            <w:ind w:left="0" w:firstLine="0" w:firstLineChars="0"/>
            <w:jc w:val="both"/>
            <w:textAlignment w:val="auto"/>
            <w:rPr>
              <w:rFonts w:hint="default" w:ascii="Times New Roman" w:hAnsi="Times New Roman" w:eastAsia="黑体" w:cs="Times New Roman"/>
              <w:b w:val="0"/>
              <w:bCs w:val="0"/>
              <w:szCs w:val="40"/>
            </w:rPr>
          </w:pP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HYPERLINK \l _Toc21850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lang w:val="en-US" w:eastAsia="zh-CN"/>
            </w:rPr>
            <w:t>第九章 强化规划执行保障，加快推进农业农村现代化</w:t>
          </w:r>
          <w:r>
            <w:rPr>
              <w:rFonts w:hint="default" w:ascii="Times New Roman" w:hAnsi="Times New Roman" w:eastAsia="黑体" w:cs="Times New Roman"/>
              <w:b w:val="0"/>
              <w:bCs w:val="0"/>
              <w:szCs w:val="40"/>
            </w:rPr>
            <w:tab/>
          </w: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PAGEREF _Toc21850 \h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rPr>
            <w:t>83</w:t>
          </w:r>
          <w:r>
            <w:rPr>
              <w:rFonts w:hint="default" w:ascii="Times New Roman" w:hAnsi="Times New Roman" w:eastAsia="黑体" w:cs="Times New Roman"/>
              <w:b w:val="0"/>
              <w:bCs w:val="0"/>
              <w:szCs w:val="40"/>
            </w:rPr>
            <w:fldChar w:fldCharType="end"/>
          </w:r>
          <w:r>
            <w:rPr>
              <w:rFonts w:hint="default" w:ascii="Times New Roman" w:hAnsi="Times New Roman" w:eastAsia="黑体"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_Toc5361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第一节 加强组织领导</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_Toc5361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83</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_Toc5073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第二节 加大保障力度</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_Toc5073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83</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_Toc32246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第三节 抓好政策落实</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_Toc32246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84</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21"/>
            <w:keepNext w:val="0"/>
            <w:keepLines w:val="0"/>
            <w:pageBreakBefore w:val="0"/>
            <w:widowControl w:val="0"/>
            <w:tabs>
              <w:tab w:val="right" w:leader="dot" w:pos="8300"/>
            </w:tabs>
            <w:kinsoku/>
            <w:wordWrap/>
            <w:overflowPunct w:val="0"/>
            <w:topLinePunct w:val="0"/>
            <w:autoSpaceDE/>
            <w:autoSpaceDN/>
            <w:bidi w:val="0"/>
            <w:adjustRightInd/>
            <w:snapToGrid/>
            <w:ind w:left="0" w:firstLine="600" w:firstLineChars="200"/>
            <w:jc w:val="both"/>
            <w:textAlignment w:val="auto"/>
            <w:rPr>
              <w:rFonts w:hint="default" w:ascii="Times New Roman" w:hAnsi="Times New Roman" w:eastAsia="楷体_GB2312" w:cs="Times New Roman"/>
              <w:b w:val="0"/>
              <w:bCs w:val="0"/>
              <w:szCs w:val="40"/>
            </w:rPr>
          </w:pP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HYPERLINK \l _Toc27693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lang w:val="en-US" w:eastAsia="zh-CN"/>
            </w:rPr>
            <w:t>第四节 实施评估监督</w:t>
          </w:r>
          <w:r>
            <w:rPr>
              <w:rFonts w:hint="default" w:ascii="Times New Roman" w:hAnsi="Times New Roman" w:eastAsia="楷体_GB2312" w:cs="Times New Roman"/>
              <w:b w:val="0"/>
              <w:bCs w:val="0"/>
              <w:szCs w:val="40"/>
            </w:rPr>
            <w:tab/>
          </w:r>
          <w:r>
            <w:rPr>
              <w:rFonts w:hint="default" w:ascii="Times New Roman" w:hAnsi="Times New Roman" w:eastAsia="楷体_GB2312" w:cs="Times New Roman"/>
              <w:b w:val="0"/>
              <w:bCs w:val="0"/>
              <w:szCs w:val="40"/>
            </w:rPr>
            <w:fldChar w:fldCharType="begin"/>
          </w:r>
          <w:r>
            <w:rPr>
              <w:rFonts w:hint="default" w:ascii="Times New Roman" w:hAnsi="Times New Roman" w:eastAsia="楷体_GB2312" w:cs="Times New Roman"/>
              <w:b w:val="0"/>
              <w:bCs w:val="0"/>
              <w:szCs w:val="40"/>
            </w:rPr>
            <w:instrText xml:space="preserve"> PAGEREF _Toc27693 \h </w:instrText>
          </w:r>
          <w:r>
            <w:rPr>
              <w:rFonts w:hint="default" w:ascii="Times New Roman" w:hAnsi="Times New Roman" w:eastAsia="楷体_GB2312" w:cs="Times New Roman"/>
              <w:b w:val="0"/>
              <w:bCs w:val="0"/>
              <w:szCs w:val="40"/>
            </w:rPr>
            <w:fldChar w:fldCharType="separate"/>
          </w:r>
          <w:r>
            <w:rPr>
              <w:rFonts w:hint="default" w:ascii="Times New Roman" w:hAnsi="Times New Roman" w:eastAsia="楷体_GB2312" w:cs="Times New Roman"/>
              <w:b w:val="0"/>
              <w:bCs w:val="0"/>
              <w:szCs w:val="40"/>
            </w:rPr>
            <w:t>85</w:t>
          </w:r>
          <w:r>
            <w:rPr>
              <w:rFonts w:hint="default" w:ascii="Times New Roman" w:hAnsi="Times New Roman" w:eastAsia="楷体_GB2312" w:cs="Times New Roman"/>
              <w:b w:val="0"/>
              <w:bCs w:val="0"/>
              <w:szCs w:val="40"/>
            </w:rPr>
            <w:fldChar w:fldCharType="end"/>
          </w:r>
          <w:r>
            <w:rPr>
              <w:rFonts w:hint="default" w:ascii="Times New Roman" w:hAnsi="Times New Roman" w:eastAsia="楷体_GB2312" w:cs="Times New Roman"/>
              <w:b w:val="0"/>
              <w:bCs w:val="0"/>
              <w:szCs w:val="40"/>
            </w:rPr>
            <w:fldChar w:fldCharType="end"/>
          </w:r>
        </w:p>
        <w:p>
          <w:pPr>
            <w:pStyle w:val="17"/>
            <w:keepNext w:val="0"/>
            <w:keepLines w:val="0"/>
            <w:pageBreakBefore w:val="0"/>
            <w:widowControl w:val="0"/>
            <w:tabs>
              <w:tab w:val="right" w:leader="dot" w:pos="8300"/>
            </w:tabs>
            <w:kinsoku/>
            <w:wordWrap/>
            <w:overflowPunct w:val="0"/>
            <w:topLinePunct w:val="0"/>
            <w:autoSpaceDE/>
            <w:autoSpaceDN/>
            <w:bidi w:val="0"/>
            <w:adjustRightInd/>
            <w:snapToGrid/>
            <w:ind w:left="0" w:firstLine="0" w:firstLineChars="0"/>
            <w:jc w:val="both"/>
            <w:textAlignment w:val="auto"/>
            <w:rPr>
              <w:rFonts w:hint="default" w:ascii="Times New Roman" w:hAnsi="Times New Roman" w:eastAsia="黑体" w:cs="Times New Roman"/>
              <w:b w:val="0"/>
              <w:bCs w:val="0"/>
              <w:szCs w:val="40"/>
            </w:rPr>
          </w:pP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HYPERLINK \l _Toc14536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rPr>
            <w:t>附件</w:t>
          </w:r>
          <w:r>
            <w:rPr>
              <w:rFonts w:hint="default" w:ascii="Times New Roman" w:hAnsi="Times New Roman" w:eastAsia="黑体" w:cs="Times New Roman"/>
              <w:b w:val="0"/>
              <w:bCs w:val="0"/>
              <w:szCs w:val="40"/>
              <w:lang w:val="en-US" w:eastAsia="zh-CN"/>
            </w:rPr>
            <w:t>1</w:t>
          </w:r>
          <w:r>
            <w:rPr>
              <w:rFonts w:hint="default" w:ascii="Times New Roman" w:hAnsi="Times New Roman" w:eastAsia="黑体" w:cs="Times New Roman"/>
              <w:b w:val="0"/>
              <w:bCs w:val="0"/>
              <w:szCs w:val="40"/>
            </w:rPr>
            <w:t>：潜江</w:t>
          </w:r>
          <w:r>
            <w:rPr>
              <w:rFonts w:hint="default" w:ascii="Times New Roman" w:hAnsi="Times New Roman" w:eastAsia="黑体" w:cs="Times New Roman"/>
              <w:b w:val="0"/>
              <w:bCs w:val="0"/>
              <w:szCs w:val="40"/>
              <w:lang w:val="en-US" w:eastAsia="zh-CN"/>
            </w:rPr>
            <w:t>市</w:t>
          </w:r>
          <w:r>
            <w:rPr>
              <w:rFonts w:hint="default" w:ascii="Times New Roman" w:hAnsi="Times New Roman" w:eastAsia="黑体" w:cs="Times New Roman"/>
              <w:b w:val="0"/>
              <w:bCs w:val="0"/>
              <w:szCs w:val="40"/>
            </w:rPr>
            <w:t>“十四五”农业</w:t>
          </w:r>
          <w:r>
            <w:rPr>
              <w:rFonts w:hint="default" w:ascii="Times New Roman" w:hAnsi="Times New Roman" w:eastAsia="黑体" w:cs="Times New Roman"/>
              <w:b w:val="0"/>
              <w:bCs w:val="0"/>
              <w:szCs w:val="40"/>
              <w:lang w:val="en-US" w:eastAsia="zh-CN"/>
            </w:rPr>
            <w:t>农村</w:t>
          </w:r>
          <w:r>
            <w:rPr>
              <w:rFonts w:hint="default" w:ascii="Times New Roman" w:hAnsi="Times New Roman" w:eastAsia="黑体" w:cs="Times New Roman"/>
              <w:b w:val="0"/>
              <w:bCs w:val="0"/>
              <w:szCs w:val="40"/>
            </w:rPr>
            <w:t>创建项目目标表</w:t>
          </w:r>
          <w:r>
            <w:rPr>
              <w:rFonts w:hint="default" w:ascii="Times New Roman" w:hAnsi="Times New Roman" w:eastAsia="黑体" w:cs="Times New Roman"/>
              <w:b w:val="0"/>
              <w:bCs w:val="0"/>
              <w:szCs w:val="40"/>
            </w:rPr>
            <w:tab/>
          </w: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PAGEREF _Toc14536 \h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rPr>
            <w:t>86</w:t>
          </w:r>
          <w:r>
            <w:rPr>
              <w:rFonts w:hint="default" w:ascii="Times New Roman" w:hAnsi="Times New Roman" w:eastAsia="黑体" w:cs="Times New Roman"/>
              <w:b w:val="0"/>
              <w:bCs w:val="0"/>
              <w:szCs w:val="40"/>
            </w:rPr>
            <w:fldChar w:fldCharType="end"/>
          </w:r>
          <w:r>
            <w:rPr>
              <w:rFonts w:hint="default" w:ascii="Times New Roman" w:hAnsi="Times New Roman" w:eastAsia="黑体" w:cs="Times New Roman"/>
              <w:b w:val="0"/>
              <w:bCs w:val="0"/>
              <w:szCs w:val="40"/>
            </w:rPr>
            <w:fldChar w:fldCharType="end"/>
          </w:r>
        </w:p>
        <w:p>
          <w:pPr>
            <w:pStyle w:val="17"/>
            <w:keepNext w:val="0"/>
            <w:keepLines w:val="0"/>
            <w:pageBreakBefore w:val="0"/>
            <w:widowControl w:val="0"/>
            <w:tabs>
              <w:tab w:val="right" w:leader="dot" w:pos="8300"/>
            </w:tabs>
            <w:kinsoku/>
            <w:wordWrap/>
            <w:overflowPunct w:val="0"/>
            <w:topLinePunct w:val="0"/>
            <w:autoSpaceDE/>
            <w:autoSpaceDN/>
            <w:bidi w:val="0"/>
            <w:adjustRightInd/>
            <w:snapToGrid/>
            <w:ind w:left="0" w:firstLine="0" w:firstLineChars="0"/>
            <w:jc w:val="both"/>
            <w:textAlignment w:val="auto"/>
            <w:rPr>
              <w:rFonts w:hint="default" w:ascii="Times New Roman" w:hAnsi="Times New Roman" w:eastAsia="黑体" w:cs="Times New Roman"/>
              <w:b w:val="0"/>
              <w:bCs w:val="0"/>
              <w:szCs w:val="40"/>
            </w:rPr>
          </w:pP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HYPERLINK \l _Toc30120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rPr>
            <w:t>附件</w:t>
          </w:r>
          <w:r>
            <w:rPr>
              <w:rFonts w:hint="default" w:ascii="Times New Roman" w:hAnsi="Times New Roman" w:eastAsia="黑体" w:cs="Times New Roman"/>
              <w:b w:val="0"/>
              <w:bCs w:val="0"/>
              <w:szCs w:val="40"/>
              <w:lang w:val="en-US" w:eastAsia="zh-CN"/>
            </w:rPr>
            <w:t>2</w:t>
          </w:r>
          <w:r>
            <w:rPr>
              <w:rFonts w:hint="default" w:ascii="Times New Roman" w:hAnsi="Times New Roman" w:eastAsia="黑体" w:cs="Times New Roman"/>
              <w:b w:val="0"/>
              <w:bCs w:val="0"/>
              <w:szCs w:val="40"/>
            </w:rPr>
            <w:t>：</w:t>
          </w:r>
          <w:r>
            <w:rPr>
              <w:rFonts w:hint="default" w:ascii="Times New Roman" w:hAnsi="Times New Roman" w:eastAsia="黑体" w:cs="Times New Roman"/>
              <w:b w:val="0"/>
              <w:bCs w:val="0"/>
              <w:szCs w:val="40"/>
              <w:lang w:val="en-US" w:eastAsia="zh-CN"/>
            </w:rPr>
            <w:t>潜江市</w:t>
          </w:r>
          <w:r>
            <w:rPr>
              <w:rFonts w:hint="default" w:ascii="Times New Roman" w:hAnsi="Times New Roman" w:eastAsia="黑体" w:cs="Times New Roman"/>
              <w:b w:val="0"/>
              <w:bCs w:val="0"/>
              <w:szCs w:val="40"/>
            </w:rPr>
            <w:t>“十四五”农业农村</w:t>
          </w:r>
          <w:r>
            <w:rPr>
              <w:rFonts w:hint="default" w:ascii="Times New Roman" w:hAnsi="Times New Roman" w:eastAsia="黑体" w:cs="Times New Roman"/>
              <w:b w:val="0"/>
              <w:bCs w:val="0"/>
              <w:szCs w:val="40"/>
              <w:lang w:val="en-US" w:eastAsia="zh-CN"/>
            </w:rPr>
            <w:t>重大项目表</w:t>
          </w:r>
          <w:r>
            <w:rPr>
              <w:rFonts w:hint="default" w:ascii="Times New Roman" w:hAnsi="Times New Roman" w:eastAsia="黑体" w:cs="Times New Roman"/>
              <w:b w:val="0"/>
              <w:bCs w:val="0"/>
              <w:szCs w:val="40"/>
            </w:rPr>
            <w:tab/>
          </w:r>
          <w:r>
            <w:rPr>
              <w:rFonts w:hint="default" w:ascii="Times New Roman" w:hAnsi="Times New Roman" w:eastAsia="黑体" w:cs="Times New Roman"/>
              <w:b w:val="0"/>
              <w:bCs w:val="0"/>
              <w:szCs w:val="40"/>
            </w:rPr>
            <w:fldChar w:fldCharType="begin"/>
          </w:r>
          <w:r>
            <w:rPr>
              <w:rFonts w:hint="default" w:ascii="Times New Roman" w:hAnsi="Times New Roman" w:eastAsia="黑体" w:cs="Times New Roman"/>
              <w:b w:val="0"/>
              <w:bCs w:val="0"/>
              <w:szCs w:val="40"/>
            </w:rPr>
            <w:instrText xml:space="preserve"> PAGEREF _Toc30120 \h </w:instrText>
          </w:r>
          <w:r>
            <w:rPr>
              <w:rFonts w:hint="default" w:ascii="Times New Roman" w:hAnsi="Times New Roman" w:eastAsia="黑体" w:cs="Times New Roman"/>
              <w:b w:val="0"/>
              <w:bCs w:val="0"/>
              <w:szCs w:val="40"/>
            </w:rPr>
            <w:fldChar w:fldCharType="separate"/>
          </w:r>
          <w:r>
            <w:rPr>
              <w:rFonts w:hint="default" w:ascii="Times New Roman" w:hAnsi="Times New Roman" w:eastAsia="黑体" w:cs="Times New Roman"/>
              <w:b w:val="0"/>
              <w:bCs w:val="0"/>
              <w:szCs w:val="40"/>
            </w:rPr>
            <w:t>86</w:t>
          </w:r>
          <w:r>
            <w:rPr>
              <w:rFonts w:hint="default" w:ascii="Times New Roman" w:hAnsi="Times New Roman" w:eastAsia="黑体" w:cs="Times New Roman"/>
              <w:b w:val="0"/>
              <w:bCs w:val="0"/>
              <w:szCs w:val="40"/>
            </w:rPr>
            <w:fldChar w:fldCharType="end"/>
          </w:r>
          <w:r>
            <w:rPr>
              <w:rFonts w:hint="default" w:ascii="Times New Roman" w:hAnsi="Times New Roman" w:eastAsia="黑体" w:cs="Times New Roman"/>
              <w:b w:val="0"/>
              <w:bCs w:val="0"/>
              <w:szCs w:val="40"/>
            </w:rPr>
            <w:fldChar w:fldCharType="end"/>
          </w:r>
        </w:p>
        <w:p>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outlineLvl w:val="9"/>
            <w:rPr>
              <w:rFonts w:hint="eastAsia" w:ascii="黑体" w:hAnsi="黑体" w:eastAsia="黑体" w:cs="仿宋_GB2312"/>
              <w:b/>
              <w:kern w:val="2"/>
              <w:sz w:val="32"/>
              <w:szCs w:val="40"/>
              <w:lang w:val="en-US" w:eastAsia="zh-CN" w:bidi="ar-SA"/>
            </w:rPr>
          </w:pPr>
          <w:r>
            <w:rPr>
              <w:rFonts w:hint="default" w:ascii="Times New Roman" w:hAnsi="Times New Roman" w:eastAsia="黑体" w:cs="Times New Roman"/>
              <w:b/>
              <w:sz w:val="32"/>
              <w:szCs w:val="40"/>
            </w:rPr>
            <w:fldChar w:fldCharType="end"/>
          </w:r>
          <w:bookmarkStart w:id="6" w:name="_Toc7236"/>
          <w:bookmarkStart w:id="7" w:name="_Toc21372"/>
          <w:bookmarkStart w:id="8" w:name="_Toc32286"/>
        </w:p>
      </w:sdtContent>
    </w:sdt>
    <w:p>
      <w:pPr>
        <w:bidi w:val="0"/>
        <w:rPr>
          <w:rFonts w:hint="eastAsia" w:ascii="Times New Roman" w:hAnsi="Times New Roman" w:eastAsia="仿宋_GB2312" w:cs="Times New Roman"/>
          <w:kern w:val="2"/>
          <w:sz w:val="32"/>
          <w:szCs w:val="24"/>
          <w:lang w:val="en-US" w:eastAsia="zh-CN" w:bidi="ar-SA"/>
        </w:rPr>
      </w:pPr>
    </w:p>
    <w:p>
      <w:pPr>
        <w:bidi w:val="0"/>
        <w:rPr>
          <w:rFonts w:hint="eastAsia"/>
          <w:lang w:val="en-US" w:eastAsia="zh-CN"/>
        </w:rPr>
      </w:pPr>
    </w:p>
    <w:p>
      <w:pPr>
        <w:bidi w:val="0"/>
        <w:rPr>
          <w:rFonts w:hint="eastAsia"/>
          <w:lang w:val="en-US" w:eastAsia="zh-CN"/>
        </w:rPr>
      </w:pPr>
    </w:p>
    <w:p>
      <w:pPr>
        <w:tabs>
          <w:tab w:val="left" w:pos="844"/>
        </w:tabs>
        <w:bidi w:val="0"/>
        <w:jc w:val="left"/>
        <w:rPr>
          <w:rFonts w:hint="eastAsia"/>
          <w:lang w:val="en-US" w:eastAsia="zh-CN"/>
        </w:rPr>
      </w:pPr>
      <w:r>
        <w:rPr>
          <w:rFonts w:hint="eastAsia"/>
          <w:lang w:val="en-US" w:eastAsia="zh-CN"/>
        </w:rPr>
        <w:tab/>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br w:type="page"/>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outlineLvl w:val="0"/>
        <w:rPr>
          <w:rFonts w:hint="eastAsia" w:ascii="黑体" w:hAnsi="黑体" w:eastAsia="黑体" w:cs="黑体"/>
          <w:b/>
          <w:bCs/>
          <w:sz w:val="44"/>
          <w:szCs w:val="44"/>
          <w:highlight w:val="none"/>
        </w:rPr>
      </w:pPr>
      <w:bookmarkStart w:id="9" w:name="_Toc6867"/>
      <w:bookmarkStart w:id="10" w:name="_Toc6392"/>
      <w:bookmarkStart w:id="11" w:name="_Toc4208"/>
      <w:bookmarkStart w:id="12" w:name="_Toc1626"/>
      <w:r>
        <w:rPr>
          <w:rFonts w:hint="eastAsia" w:ascii="黑体" w:hAnsi="黑体" w:eastAsia="黑体" w:cs="黑体"/>
          <w:b/>
          <w:bCs/>
          <w:sz w:val="44"/>
          <w:szCs w:val="44"/>
          <w:highlight w:val="none"/>
          <w:lang w:val="en-US" w:eastAsia="zh-CN"/>
        </w:rPr>
        <w:t>序</w:t>
      </w:r>
      <w:r>
        <w:rPr>
          <w:rFonts w:hint="eastAsia" w:ascii="黑体" w:hAnsi="黑体" w:eastAsia="黑体" w:cs="黑体"/>
          <w:b/>
          <w:bCs/>
          <w:sz w:val="44"/>
          <w:szCs w:val="44"/>
          <w:highlight w:val="none"/>
        </w:rPr>
        <w:t xml:space="preserve">  言</w:t>
      </w:r>
      <w:bookmarkEnd w:id="9"/>
      <w:bookmarkEnd w:id="10"/>
      <w:bookmarkEnd w:id="11"/>
      <w:bookmarkEnd w:id="12"/>
    </w:p>
    <w:p>
      <w:pPr>
        <w:keepNext w:val="0"/>
        <w:keepLines w:val="0"/>
        <w:pageBreakBefore w:val="0"/>
        <w:widowControl/>
        <w:kinsoku/>
        <w:wordWrap/>
        <w:overflowPunct/>
        <w:topLinePunct w:val="0"/>
        <w:autoSpaceDE/>
        <w:autoSpaceDN/>
        <w:bidi w:val="0"/>
        <w:adjustRightInd/>
        <w:snapToGrid/>
        <w:ind w:left="0" w:leftChars="0" w:firstLine="640" w:firstLineChars="200"/>
        <w:jc w:val="both"/>
        <w:textAlignment w:val="auto"/>
        <w:rPr>
          <w:rFonts w:hint="default" w:ascii="Times New Roman" w:hAnsi="Times New Roman" w:cs="Times New Roman"/>
          <w:kern w:val="0"/>
          <w:szCs w:val="32"/>
          <w:lang w:val="en-US" w:eastAsia="zh-CN"/>
        </w:rPr>
      </w:pPr>
      <w:r>
        <w:rPr>
          <w:rFonts w:hint="eastAsia" w:ascii="仿宋_GB2312" w:hAnsi="仿宋_GB2312" w:cs="仿宋_GB2312"/>
          <w:kern w:val="0"/>
          <w:szCs w:val="32"/>
          <w:lang w:val="zh-CN"/>
        </w:rPr>
        <w:t>“十四五”时期是转变发展方式、优化经济结构、转化增长动能的攻关期，是全面建成小康社会向基本实现社会主义现代化迈进的关键期，是</w:t>
      </w:r>
      <w:r>
        <w:rPr>
          <w:rFonts w:hint="eastAsia" w:ascii="仿宋_GB2312" w:hAnsi="仿宋_GB2312" w:cs="仿宋_GB2312"/>
          <w:kern w:val="0"/>
          <w:szCs w:val="32"/>
          <w:lang w:val="en-US" w:eastAsia="zh-CN"/>
        </w:rPr>
        <w:t>实现</w:t>
      </w:r>
      <w:r>
        <w:rPr>
          <w:rFonts w:hint="eastAsia" w:ascii="仿宋_GB2312" w:hAnsi="仿宋_GB2312" w:cs="仿宋_GB2312"/>
          <w:kern w:val="0"/>
          <w:szCs w:val="32"/>
          <w:lang w:val="zh-CN"/>
        </w:rPr>
        <w:t>“两个一百年”奋斗目标的历史交汇期，也是统筹推进乡村振兴战略规划落实、加快农业高质量发展、巩固提升精准脱贫成果的重要时期。</w:t>
      </w:r>
      <w:r>
        <w:rPr>
          <w:rFonts w:hint="eastAsia" w:ascii="仿宋_GB2312" w:hAnsi="仿宋_GB2312" w:cs="仿宋_GB2312"/>
          <w:kern w:val="0"/>
          <w:szCs w:val="32"/>
          <w:lang w:val="en-US" w:eastAsia="zh-CN"/>
        </w:rPr>
        <w:t>在</w:t>
      </w:r>
      <w:r>
        <w:rPr>
          <w:rFonts w:hint="eastAsia" w:ascii="仿宋_GB2312" w:hAnsi="仿宋_GB2312" w:cs="仿宋_GB2312"/>
          <w:kern w:val="0"/>
          <w:szCs w:val="32"/>
          <w:lang w:val="zh-CN"/>
        </w:rPr>
        <w:t>新冠肺炎疫情席卷全球、</w:t>
      </w:r>
      <w:r>
        <w:rPr>
          <w:rFonts w:hint="eastAsia" w:ascii="仿宋_GB2312" w:hAnsi="仿宋_GB2312" w:cs="仿宋_GB2312"/>
          <w:kern w:val="0"/>
          <w:szCs w:val="32"/>
          <w:lang w:val="en-US" w:eastAsia="zh-CN"/>
        </w:rPr>
        <w:t>国内</w:t>
      </w:r>
      <w:r>
        <w:rPr>
          <w:rFonts w:hint="eastAsia" w:ascii="仿宋_GB2312" w:hAnsi="仿宋_GB2312" w:cs="仿宋_GB2312"/>
          <w:kern w:val="0"/>
          <w:szCs w:val="32"/>
          <w:lang w:val="zh-CN"/>
        </w:rPr>
        <w:t>经济下行压力持续加大等</w:t>
      </w:r>
      <w:r>
        <w:rPr>
          <w:rFonts w:hint="eastAsia" w:ascii="仿宋_GB2312" w:hAnsi="仿宋_GB2312" w:cs="仿宋_GB2312"/>
          <w:kern w:val="0"/>
          <w:szCs w:val="32"/>
          <w:lang w:val="en-US" w:eastAsia="zh-CN"/>
        </w:rPr>
        <w:t>充满</w:t>
      </w:r>
      <w:r>
        <w:rPr>
          <w:rFonts w:hint="eastAsia" w:ascii="仿宋_GB2312" w:hAnsi="仿宋_GB2312" w:cs="仿宋_GB2312"/>
          <w:kern w:val="0"/>
          <w:szCs w:val="32"/>
          <w:lang w:val="zh-CN"/>
        </w:rPr>
        <w:t>不确定性的</w:t>
      </w:r>
      <w:r>
        <w:rPr>
          <w:rFonts w:hint="eastAsia" w:ascii="仿宋_GB2312" w:hAnsi="仿宋_GB2312" w:cs="仿宋_GB2312"/>
          <w:kern w:val="0"/>
          <w:szCs w:val="32"/>
          <w:lang w:val="en-US" w:eastAsia="zh-CN"/>
        </w:rPr>
        <w:t>宏观环境下</w:t>
      </w:r>
      <w:r>
        <w:rPr>
          <w:rFonts w:hint="eastAsia" w:ascii="仿宋_GB2312" w:hAnsi="仿宋_GB2312" w:cs="仿宋_GB2312"/>
          <w:kern w:val="0"/>
          <w:szCs w:val="32"/>
          <w:lang w:val="zh-CN"/>
        </w:rPr>
        <w:t>，科学编制和实施“十四五”农业农村现代化发展规划，对促进</w:t>
      </w:r>
      <w:r>
        <w:rPr>
          <w:rFonts w:hint="eastAsia" w:ascii="仿宋_GB2312" w:hAnsi="仿宋_GB2312" w:cs="仿宋_GB2312"/>
          <w:kern w:val="0"/>
          <w:szCs w:val="32"/>
          <w:lang w:val="en-US" w:eastAsia="zh-CN"/>
        </w:rPr>
        <w:t>潜江</w:t>
      </w:r>
      <w:r>
        <w:rPr>
          <w:rFonts w:hint="eastAsia" w:ascii="仿宋_GB2312" w:hAnsi="仿宋_GB2312" w:cs="仿宋_GB2312"/>
          <w:kern w:val="0"/>
          <w:szCs w:val="32"/>
          <w:lang w:val="zh-CN"/>
        </w:rPr>
        <w:t>农业高质高效、乡村宜居宜业、农民富裕富足，推动</w:t>
      </w:r>
      <w:r>
        <w:rPr>
          <w:rFonts w:hint="eastAsia" w:ascii="仿宋_GB2312" w:hAnsi="仿宋_GB2312" w:cs="仿宋_GB2312"/>
          <w:kern w:val="0"/>
          <w:szCs w:val="32"/>
          <w:lang w:val="en-US" w:eastAsia="zh-CN"/>
        </w:rPr>
        <w:t>全</w:t>
      </w:r>
      <w:r>
        <w:rPr>
          <w:rFonts w:hint="eastAsia" w:ascii="仿宋_GB2312" w:hAnsi="仿宋_GB2312" w:cs="仿宋_GB2312"/>
          <w:kern w:val="0"/>
          <w:szCs w:val="32"/>
          <w:lang w:val="zh-CN"/>
        </w:rPr>
        <w:t>市农业农村高质量发展，加快社会主义现代化进程具有重要意义。</w:t>
      </w:r>
      <w:r>
        <w:rPr>
          <w:rFonts w:hint="eastAsia" w:ascii="仿宋_GB2312" w:hAnsi="仿宋_GB2312" w:cs="仿宋_GB2312"/>
          <w:kern w:val="0"/>
          <w:szCs w:val="32"/>
          <w:highlight w:val="none"/>
          <w:lang w:val="en-US" w:eastAsia="zh-CN"/>
        </w:rPr>
        <w:t>本规划</w:t>
      </w:r>
      <w:r>
        <w:rPr>
          <w:rFonts w:hint="default" w:ascii="Times New Roman" w:hAnsi="Times New Roman" w:cs="Times New Roman"/>
          <w:kern w:val="0"/>
          <w:szCs w:val="32"/>
          <w:highlight w:val="none"/>
          <w:lang w:val="en-US" w:eastAsia="zh-CN"/>
        </w:rPr>
        <w:t>集中体现了</w:t>
      </w:r>
      <w:r>
        <w:rPr>
          <w:rFonts w:hint="eastAsia" w:ascii="Times New Roman" w:hAnsi="Times New Roman" w:cs="Times New Roman"/>
          <w:kern w:val="0"/>
          <w:szCs w:val="32"/>
          <w:highlight w:val="none"/>
          <w:lang w:val="en-US" w:eastAsia="zh-CN"/>
        </w:rPr>
        <w:t>市</w:t>
      </w:r>
      <w:r>
        <w:rPr>
          <w:rFonts w:hint="default" w:ascii="Times New Roman" w:hAnsi="Times New Roman" w:cs="Times New Roman"/>
          <w:kern w:val="0"/>
          <w:szCs w:val="32"/>
          <w:highlight w:val="none"/>
          <w:lang w:val="en-US" w:eastAsia="zh-CN"/>
        </w:rPr>
        <w:t>委、</w:t>
      </w:r>
      <w:r>
        <w:rPr>
          <w:rFonts w:hint="eastAsia" w:ascii="Times New Roman" w:hAnsi="Times New Roman" w:cs="Times New Roman"/>
          <w:kern w:val="0"/>
          <w:szCs w:val="32"/>
          <w:highlight w:val="none"/>
          <w:lang w:val="en-US" w:eastAsia="zh-CN"/>
        </w:rPr>
        <w:t>市</w:t>
      </w:r>
      <w:r>
        <w:rPr>
          <w:rFonts w:hint="default" w:ascii="Times New Roman" w:hAnsi="Times New Roman" w:cs="Times New Roman"/>
          <w:kern w:val="0"/>
          <w:szCs w:val="32"/>
          <w:highlight w:val="none"/>
          <w:lang w:val="en-US" w:eastAsia="zh-CN"/>
        </w:rPr>
        <w:t>政府的施政方针和决策意图，是</w:t>
      </w:r>
      <w:r>
        <w:rPr>
          <w:rFonts w:hint="eastAsia" w:ascii="Times New Roman" w:hAnsi="Times New Roman" w:cs="Times New Roman"/>
          <w:kern w:val="0"/>
          <w:szCs w:val="32"/>
          <w:highlight w:val="none"/>
          <w:lang w:val="en-US" w:eastAsia="zh-CN"/>
        </w:rPr>
        <w:t>市农业农村局</w:t>
      </w:r>
      <w:r>
        <w:rPr>
          <w:rFonts w:hint="default" w:ascii="Times New Roman" w:hAnsi="Times New Roman" w:cs="Times New Roman"/>
          <w:kern w:val="0"/>
          <w:szCs w:val="32"/>
          <w:highlight w:val="none"/>
          <w:lang w:val="en-US" w:eastAsia="zh-CN"/>
        </w:rPr>
        <w:t>依法履行职责、编制实施年度计划和制定各项政策措施的重要依据，</w:t>
      </w:r>
      <w:r>
        <w:rPr>
          <w:rFonts w:hint="eastAsia" w:ascii="Times New Roman" w:hAnsi="Times New Roman" w:cs="Times New Roman"/>
          <w:kern w:val="0"/>
          <w:szCs w:val="32"/>
          <w:highlight w:val="none"/>
          <w:lang w:val="en-US" w:eastAsia="zh-CN"/>
        </w:rPr>
        <w:t>也</w:t>
      </w:r>
      <w:r>
        <w:rPr>
          <w:rFonts w:hint="default" w:ascii="Times New Roman" w:hAnsi="Times New Roman" w:cs="Times New Roman"/>
          <w:kern w:val="0"/>
          <w:szCs w:val="32"/>
          <w:highlight w:val="none"/>
          <w:lang w:val="en-US" w:eastAsia="zh-CN"/>
        </w:rPr>
        <w:t>是全</w:t>
      </w:r>
      <w:r>
        <w:rPr>
          <w:rFonts w:hint="default" w:ascii="Times New Roman" w:hAnsi="Times New Roman" w:cs="Times New Roman"/>
          <w:kern w:val="0"/>
          <w:szCs w:val="32"/>
          <w:lang w:val="en-US" w:eastAsia="zh-CN"/>
        </w:rPr>
        <w:t>市人民推进乡村振兴的行动纲领。</w:t>
      </w:r>
    </w:p>
    <w:p>
      <w:pPr>
        <w:keepNext w:val="0"/>
        <w:keepLines w:val="0"/>
        <w:pageBreakBefore w:val="0"/>
        <w:widowControl/>
        <w:kinsoku/>
        <w:wordWrap/>
        <w:overflowPunct/>
        <w:topLinePunct w:val="0"/>
        <w:autoSpaceDE/>
        <w:autoSpaceDN/>
        <w:bidi w:val="0"/>
        <w:adjustRightInd/>
        <w:snapToGrid/>
        <w:ind w:left="0" w:leftChars="0" w:firstLine="640" w:firstLineChars="200"/>
        <w:jc w:val="both"/>
        <w:textAlignment w:val="auto"/>
        <w:rPr>
          <w:rFonts w:hint="default" w:ascii="Times New Roman" w:hAnsi="Times New Roman" w:cs="Times New Roman"/>
          <w:kern w:val="0"/>
          <w:szCs w:val="32"/>
          <w:lang w:val="en-US" w:eastAsia="zh-CN"/>
        </w:rPr>
      </w:pPr>
      <w:r>
        <w:rPr>
          <w:rFonts w:hint="default" w:ascii="Times New Roman" w:hAnsi="Times New Roman" w:cs="Times New Roman"/>
          <w:kern w:val="0"/>
          <w:szCs w:val="32"/>
          <w:lang w:val="en-US" w:eastAsia="zh-CN"/>
        </w:rPr>
        <w:t>依据《湖北省国民经济和社会发展第十四个五年规划纲要》《潜江市国民经济和社会发展第十四个五年规划纲要》，衔接</w:t>
      </w:r>
      <w:r>
        <w:rPr>
          <w:rFonts w:hint="eastAsia" w:ascii="Times New Roman" w:hAnsi="Times New Roman" w:cs="Times New Roman"/>
          <w:kern w:val="0"/>
          <w:szCs w:val="32"/>
          <w:lang w:val="en-US" w:eastAsia="zh-CN"/>
        </w:rPr>
        <w:t>《湖北省乡村振兴战略规划（2018-2022年）》</w:t>
      </w:r>
      <w:r>
        <w:rPr>
          <w:rFonts w:hint="default" w:ascii="Times New Roman" w:hAnsi="Times New Roman" w:cs="Times New Roman"/>
          <w:kern w:val="0"/>
          <w:szCs w:val="32"/>
          <w:lang w:val="en-US" w:eastAsia="zh-CN"/>
        </w:rPr>
        <w:t xml:space="preserve">《潜江市乡村振兴战略规划（2018-2035年）》。    </w:t>
      </w:r>
    </w:p>
    <w:p>
      <w:pPr>
        <w:keepNext w:val="0"/>
        <w:keepLines w:val="0"/>
        <w:pageBreakBefore w:val="0"/>
        <w:widowControl/>
        <w:kinsoku/>
        <w:wordWrap/>
        <w:overflowPunct/>
        <w:topLinePunct w:val="0"/>
        <w:autoSpaceDE/>
        <w:autoSpaceDN/>
        <w:bidi w:val="0"/>
        <w:adjustRightInd/>
        <w:snapToGrid/>
        <w:ind w:left="0" w:leftChars="0" w:firstLine="640" w:firstLineChars="200"/>
        <w:jc w:val="both"/>
        <w:textAlignment w:val="auto"/>
        <w:rPr>
          <w:rFonts w:hint="default" w:ascii="Times New Roman" w:hAnsi="Times New Roman" w:cs="Times New Roman"/>
          <w:kern w:val="0"/>
          <w:szCs w:val="32"/>
          <w:lang w:val="zh-CN"/>
        </w:rPr>
        <w:sectPr>
          <w:headerReference r:id="rId5" w:type="default"/>
          <w:footerReference r:id="rId6" w:type="default"/>
          <w:pgSz w:w="11906" w:h="16838"/>
          <w:pgMar w:top="1440" w:right="1803" w:bottom="1440" w:left="1803" w:header="851" w:footer="992" w:gutter="0"/>
          <w:pgNumType w:fmt="decimal" w:start="1"/>
          <w:cols w:space="0" w:num="1"/>
          <w:docGrid w:type="lines" w:linePitch="436" w:charSpace="0"/>
        </w:sectPr>
      </w:pPr>
      <w:r>
        <w:rPr>
          <w:rFonts w:hint="default" w:ascii="Times New Roman" w:hAnsi="Times New Roman" w:cs="Times New Roman"/>
          <w:kern w:val="0"/>
          <w:szCs w:val="32"/>
          <w:lang w:val="en-US" w:eastAsia="zh-CN"/>
        </w:rPr>
        <w:t>本</w:t>
      </w:r>
      <w:r>
        <w:rPr>
          <w:rFonts w:hint="default" w:ascii="Times New Roman" w:hAnsi="Times New Roman" w:cs="Times New Roman"/>
          <w:kern w:val="0"/>
          <w:szCs w:val="32"/>
          <w:lang w:val="zh-CN"/>
        </w:rPr>
        <w:t>规划期为2021</w:t>
      </w:r>
      <w:r>
        <w:rPr>
          <w:rFonts w:hint="eastAsia" w:cs="Times New Roman"/>
          <w:kern w:val="0"/>
          <w:szCs w:val="32"/>
          <w:lang w:val="en-US" w:eastAsia="zh-CN"/>
        </w:rPr>
        <w:t>-</w:t>
      </w:r>
      <w:r>
        <w:rPr>
          <w:rFonts w:hint="default" w:ascii="Times New Roman" w:hAnsi="Times New Roman" w:cs="Times New Roman"/>
          <w:kern w:val="0"/>
          <w:szCs w:val="32"/>
          <w:lang w:val="zh-CN"/>
        </w:rPr>
        <w:t>2025年，</w:t>
      </w:r>
      <w:r>
        <w:rPr>
          <w:rFonts w:hint="default" w:ascii="Times New Roman" w:hAnsi="Times New Roman" w:cs="Times New Roman"/>
          <w:kern w:val="0"/>
          <w:szCs w:val="32"/>
          <w:lang w:val="en-US" w:eastAsia="zh-CN"/>
        </w:rPr>
        <w:t>远景目标</w:t>
      </w:r>
      <w:r>
        <w:rPr>
          <w:rFonts w:hint="default" w:ascii="Times New Roman" w:hAnsi="Times New Roman" w:cs="Times New Roman"/>
          <w:kern w:val="0"/>
          <w:szCs w:val="32"/>
          <w:lang w:val="zh-CN"/>
        </w:rPr>
        <w:t>到2035年。</w:t>
      </w:r>
    </w:p>
    <w:bookmarkEnd w:id="1"/>
    <w:bookmarkEnd w:id="2"/>
    <w:bookmarkEnd w:id="3"/>
    <w:bookmarkEnd w:id="4"/>
    <w:bookmarkEnd w:id="5"/>
    <w:bookmarkEnd w:id="6"/>
    <w:bookmarkEnd w:id="7"/>
    <w:bookmarkEnd w:id="8"/>
    <w:p>
      <w:pPr>
        <w:pStyle w:val="4"/>
        <w:keepNext/>
        <w:keepLines/>
        <w:pageBreakBefore w:val="0"/>
        <w:widowControl w:val="0"/>
        <w:kinsoku/>
        <w:wordWrap/>
        <w:overflowPunct/>
        <w:topLinePunct w:val="0"/>
        <w:autoSpaceDE/>
        <w:autoSpaceDN/>
        <w:bidi w:val="0"/>
        <w:adjustRightInd/>
        <w:snapToGrid/>
        <w:spacing w:before="0" w:after="220" w:afterLines="50"/>
        <w:ind w:left="0" w:leftChars="0" w:firstLine="0" w:firstLineChars="0"/>
        <w:jc w:val="center"/>
        <w:textAlignment w:val="auto"/>
        <w:rPr>
          <w:rFonts w:hint="eastAsia" w:ascii="Times New Roman" w:hAnsi="Times New Roman" w:cs="Times New Roman"/>
          <w:lang w:val="en-US" w:eastAsia="zh-CN"/>
        </w:rPr>
      </w:pPr>
      <w:bookmarkStart w:id="13" w:name="_Toc18634"/>
      <w:bookmarkStart w:id="14" w:name="_Toc5688"/>
      <w:bookmarkStart w:id="15" w:name="_Toc8923"/>
      <w:bookmarkStart w:id="16" w:name="_Toc14641"/>
      <w:bookmarkStart w:id="17" w:name="_Toc27625"/>
      <w:bookmarkStart w:id="18" w:name="_Toc20719"/>
      <w:bookmarkStart w:id="19" w:name="_Toc2835"/>
      <w:r>
        <w:rPr>
          <w:rFonts w:hint="eastAsia" w:ascii="Times New Roman" w:hAnsi="Times New Roman" w:cs="Times New Roman"/>
          <w:lang w:val="en-US" w:eastAsia="zh-CN"/>
        </w:rPr>
        <w:t>第一章 “十四五”发展形势</w:t>
      </w:r>
      <w:bookmarkEnd w:id="13"/>
      <w:bookmarkEnd w:id="14"/>
      <w:bookmarkEnd w:id="15"/>
    </w:p>
    <w:p>
      <w:pPr>
        <w:pStyle w:val="23"/>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楷体" w:hAnsi="楷体" w:eastAsia="楷体" w:cs="楷体"/>
          <w:b/>
          <w:bCs/>
          <w:smallCaps w:val="0"/>
          <w:sz w:val="32"/>
          <w:szCs w:val="32"/>
          <w:lang w:val="en-US" w:eastAsia="zh-CN"/>
        </w:rPr>
      </w:pPr>
      <w:r>
        <w:rPr>
          <w:rFonts w:hint="eastAsia" w:eastAsia="仿宋_GB2312" w:cs="Times New Roman"/>
          <w:sz w:val="32"/>
          <w:szCs w:val="32"/>
          <w:lang w:val="en-US" w:eastAsia="zh-CN" w:bidi="ar-SA"/>
        </w:rPr>
        <w:t>“十三五”期间，</w:t>
      </w:r>
      <w:r>
        <w:rPr>
          <w:rFonts w:hint="eastAsia" w:ascii="Times New Roman" w:hAnsi="Times New Roman" w:eastAsia="仿宋_GB2312" w:cs="Times New Roman"/>
          <w:sz w:val="32"/>
          <w:szCs w:val="32"/>
          <w:lang w:val="en-US" w:eastAsia="zh-CN" w:bidi="ar-SA"/>
        </w:rPr>
        <w:t>潜江市抢抓发展机遇，深化供给侧结构性改革</w:t>
      </w:r>
      <w:r>
        <w:rPr>
          <w:rFonts w:hint="eastAsia" w:eastAsia="仿宋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贯彻落实强农惠农政策，持续推进改革创新，推进农业农村高质量发展，实现了农业稳步发展、农民持续增收、农村和谐稳定的大好局面，为推进农业农村现代化</w:t>
      </w:r>
      <w:r>
        <w:rPr>
          <w:rFonts w:hint="eastAsia" w:eastAsia="仿宋_GB2312" w:cs="Times New Roman"/>
          <w:sz w:val="32"/>
          <w:szCs w:val="32"/>
          <w:lang w:val="en-US" w:eastAsia="zh-CN" w:bidi="ar-SA"/>
        </w:rPr>
        <w:t>、</w:t>
      </w:r>
      <w:r>
        <w:rPr>
          <w:rFonts w:hint="eastAsia" w:ascii="Times New Roman" w:hAnsi="Times New Roman" w:eastAsia="仿宋_GB2312" w:cs="Times New Roman"/>
          <w:sz w:val="32"/>
          <w:szCs w:val="32"/>
          <w:lang w:val="en-US" w:eastAsia="zh-CN" w:bidi="ar-SA"/>
        </w:rPr>
        <w:t>加快建设农业强市奠定了坚实基础。</w:t>
      </w:r>
      <w:r>
        <w:rPr>
          <w:rFonts w:hint="eastAsia" w:eastAsia="仿宋_GB2312" w:cs="Times New Roman"/>
          <w:sz w:val="32"/>
          <w:szCs w:val="32"/>
          <w:lang w:val="en-US" w:eastAsia="zh-CN" w:bidi="ar-SA"/>
        </w:rPr>
        <w:t>“十四五”时期，是全市农业农村发展的战略机遇叠加期、政策红利释放期、发展格局构建期、蓄积势能迸发期和市域治理提升期。整体而言，机遇大于挑战，前景十分广阔。</w:t>
      </w:r>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60" w:lineRule="exact"/>
        <w:ind w:left="0" w:leftChars="0" w:firstLine="0" w:firstLineChars="0"/>
        <w:jc w:val="center"/>
        <w:textAlignment w:val="auto"/>
        <w:outlineLvl w:val="1"/>
        <w:rPr>
          <w:rFonts w:hint="default" w:ascii="楷体" w:hAnsi="楷体" w:eastAsia="楷体" w:cs="楷体"/>
          <w:b/>
          <w:bCs/>
          <w:smallCaps w:val="0"/>
          <w:sz w:val="32"/>
          <w:szCs w:val="32"/>
          <w:lang w:val="en-US" w:eastAsia="zh-CN"/>
        </w:rPr>
      </w:pPr>
      <w:bookmarkStart w:id="20" w:name="_Toc7047"/>
      <w:bookmarkStart w:id="21" w:name="_Toc16733"/>
      <w:bookmarkStart w:id="22" w:name="_Toc24868"/>
      <w:r>
        <w:rPr>
          <w:rFonts w:hint="eastAsia" w:ascii="楷体" w:hAnsi="楷体" w:eastAsia="楷体" w:cs="楷体"/>
          <w:b/>
          <w:bCs/>
          <w:smallCaps w:val="0"/>
          <w:sz w:val="32"/>
          <w:szCs w:val="32"/>
          <w:lang w:val="en-US" w:eastAsia="zh-CN"/>
        </w:rPr>
        <w:t>第一节 “十三五”</w:t>
      </w:r>
      <w:r>
        <w:rPr>
          <w:rFonts w:hint="default" w:ascii="楷体" w:hAnsi="楷体" w:eastAsia="楷体" w:cs="楷体"/>
          <w:b/>
          <w:bCs/>
          <w:smallCaps w:val="0"/>
          <w:sz w:val="32"/>
          <w:szCs w:val="32"/>
          <w:lang w:val="en-US" w:eastAsia="zh-CN"/>
        </w:rPr>
        <w:t>发展</w:t>
      </w:r>
      <w:bookmarkEnd w:id="16"/>
      <w:bookmarkEnd w:id="17"/>
      <w:bookmarkEnd w:id="18"/>
      <w:bookmarkEnd w:id="19"/>
      <w:r>
        <w:rPr>
          <w:rFonts w:hint="eastAsia" w:ascii="楷体" w:hAnsi="楷体" w:eastAsia="楷体" w:cs="楷体"/>
          <w:b/>
          <w:bCs/>
          <w:smallCaps w:val="0"/>
          <w:sz w:val="32"/>
          <w:szCs w:val="32"/>
          <w:lang w:val="en-US" w:eastAsia="zh-CN"/>
        </w:rPr>
        <w:t>成效</w:t>
      </w:r>
      <w:bookmarkEnd w:id="20"/>
      <w:bookmarkEnd w:id="21"/>
      <w:bookmarkEnd w:id="22"/>
    </w:p>
    <w:p>
      <w:pPr>
        <w:pStyle w:val="2"/>
        <w:keepNext w:val="0"/>
        <w:keepLines w:val="0"/>
        <w:pageBreakBefore w:val="0"/>
        <w:widowControl w:val="0"/>
        <w:kinsoku/>
        <w:wordWrap/>
        <w:overflowPunct/>
        <w:topLinePunct w:val="0"/>
        <w:autoSpaceDE/>
        <w:autoSpaceDN/>
        <w:bidi w:val="0"/>
        <w:adjustRightInd/>
        <w:snapToGrid/>
        <w:spacing w:after="0"/>
        <w:ind w:firstLine="643" w:firstLineChars="200"/>
        <w:jc w:val="both"/>
        <w:textAlignment w:val="auto"/>
        <w:rPr>
          <w:rFonts w:hint="eastAsia" w:cs="Times New Roman"/>
          <w:lang w:val="en-US" w:eastAsia="zh-CN"/>
        </w:rPr>
      </w:pPr>
      <w:r>
        <w:rPr>
          <w:rFonts w:hint="eastAsia" w:ascii="Times New Roman" w:hAnsi="Times New Roman" w:cs="Times New Roman"/>
          <w:b/>
          <w:bCs/>
          <w:lang w:val="en-US" w:eastAsia="zh-CN"/>
        </w:rPr>
        <w:t>1.脱贫攻坚取得全面胜利。</w:t>
      </w:r>
      <w:r>
        <w:rPr>
          <w:rFonts w:hint="eastAsia" w:ascii="Times New Roman" w:hAnsi="Times New Roman" w:cs="Times New Roman"/>
          <w:b w:val="0"/>
          <w:bCs w:val="0"/>
          <w:lang w:val="en-US" w:eastAsia="zh-CN"/>
        </w:rPr>
        <w:t>“十三五”时期是全面建成小康社会</w:t>
      </w:r>
      <w:r>
        <w:rPr>
          <w:rFonts w:hint="eastAsia" w:cs="Times New Roman"/>
          <w:b w:val="0"/>
          <w:bCs w:val="0"/>
          <w:lang w:val="en-US" w:eastAsia="zh-CN"/>
        </w:rPr>
        <w:t>的</w:t>
      </w:r>
      <w:r>
        <w:rPr>
          <w:rFonts w:hint="eastAsia" w:ascii="Times New Roman" w:hAnsi="Times New Roman" w:cs="Times New Roman"/>
          <w:b w:val="0"/>
          <w:bCs w:val="0"/>
          <w:lang w:val="en-US" w:eastAsia="zh-CN"/>
        </w:rPr>
        <w:t>决胜阶段。潜江</w:t>
      </w:r>
      <w:r>
        <w:rPr>
          <w:rFonts w:hint="eastAsia" w:ascii="Times New Roman" w:hAnsi="Times New Roman" w:cs="Times New Roman"/>
          <w:lang w:val="en-US" w:eastAsia="zh-CN"/>
        </w:rPr>
        <w:t>属插花贫困县市，“十三五”时期，潜江市委市政府认真贯彻党中央精准扶贫方针政策，全面落实习近平总书记关于脱贫攻坚系列指示精神，举全市之力开展脱贫攻坚，大力推行精准滴灌“菜单式</w:t>
      </w:r>
      <w:r>
        <w:rPr>
          <w:rFonts w:hint="eastAsia" w:cs="Times New Roman"/>
          <w:lang w:val="en-US" w:eastAsia="zh-CN"/>
        </w:rPr>
        <w:t>”</w:t>
      </w:r>
      <w:r>
        <w:rPr>
          <w:rFonts w:hint="eastAsia" w:ascii="Times New Roman" w:hAnsi="Times New Roman" w:cs="Times New Roman"/>
          <w:lang w:val="en-US" w:eastAsia="zh-CN"/>
        </w:rPr>
        <w:t>产业扶贫。全市组建驻村工作队38</w:t>
      </w:r>
      <w:r>
        <w:rPr>
          <w:rFonts w:hint="eastAsia" w:cs="Times New Roman"/>
          <w:lang w:val="en-US" w:eastAsia="zh-CN"/>
        </w:rPr>
        <w:t>1</w:t>
      </w:r>
      <w:r>
        <w:rPr>
          <w:rFonts w:hint="eastAsia" w:ascii="Times New Roman" w:hAnsi="Times New Roman" w:cs="Times New Roman"/>
          <w:lang w:val="en-US" w:eastAsia="zh-CN"/>
        </w:rPr>
        <w:t>支，累计选派驻村工作队员</w:t>
      </w:r>
      <w:r>
        <w:rPr>
          <w:rFonts w:hint="eastAsia" w:cs="Times New Roman"/>
          <w:lang w:val="en-US" w:eastAsia="zh-CN"/>
        </w:rPr>
        <w:t>4193</w:t>
      </w:r>
      <w:r>
        <w:rPr>
          <w:rFonts w:hint="eastAsia" w:ascii="Times New Roman" w:hAnsi="Times New Roman" w:cs="Times New Roman"/>
          <w:lang w:val="en-US" w:eastAsia="zh-CN"/>
        </w:rPr>
        <w:t>人</w:t>
      </w:r>
      <w:r>
        <w:rPr>
          <w:rFonts w:hint="eastAsia" w:cs="Times New Roman"/>
          <w:lang w:val="en-US" w:eastAsia="zh-CN"/>
        </w:rPr>
        <w:t>次</w:t>
      </w:r>
      <w:r>
        <w:rPr>
          <w:rFonts w:hint="eastAsia" w:ascii="Times New Roman" w:hAnsi="Times New Roman" w:cs="Times New Roman"/>
          <w:lang w:val="en-US" w:eastAsia="zh-CN"/>
        </w:rPr>
        <w:t>，累计减贫人口17883户共计53955人，51个贫困村全部出列，现行标准下农村贫困人口全部脱贫</w:t>
      </w:r>
      <w:r>
        <w:rPr>
          <w:rFonts w:hint="eastAsia" w:cs="Times New Roman"/>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ind w:firstLine="643" w:firstLineChars="200"/>
        <w:jc w:val="both"/>
        <w:textAlignment w:val="auto"/>
        <w:outlineLvl w:val="9"/>
        <w:rPr>
          <w:rFonts w:hint="default" w:ascii="Times New Roman" w:hAnsi="Times New Roman" w:cs="Times New Roman"/>
          <w:b/>
          <w:bCs/>
          <w:szCs w:val="32"/>
          <w:lang w:val="en-US" w:eastAsia="zh-CN"/>
        </w:rPr>
      </w:pPr>
      <w:r>
        <w:rPr>
          <w:rFonts w:hint="eastAsia"/>
          <w:b/>
          <w:bCs/>
          <w:lang w:val="en-US" w:eastAsia="zh-CN"/>
        </w:rPr>
        <w:t>2.</w:t>
      </w:r>
      <w:r>
        <w:rPr>
          <w:rFonts w:hint="eastAsia"/>
          <w:b/>
          <w:bCs/>
        </w:rPr>
        <w:t>农业综合</w:t>
      </w:r>
      <w:r>
        <w:rPr>
          <w:rFonts w:hint="eastAsia"/>
          <w:b/>
          <w:bCs/>
          <w:lang w:val="en-US" w:eastAsia="zh-CN"/>
        </w:rPr>
        <w:t>生产能力</w:t>
      </w:r>
      <w:r>
        <w:rPr>
          <w:rFonts w:hint="eastAsia"/>
          <w:b/>
          <w:bCs/>
        </w:rPr>
        <w:t>显著增强。</w:t>
      </w:r>
      <w:r>
        <w:rPr>
          <w:rFonts w:hint="eastAsia"/>
        </w:rPr>
        <w:t>全市</w:t>
      </w:r>
      <w:r>
        <w:rPr>
          <w:rFonts w:hint="eastAsia"/>
          <w:lang w:val="en-US" w:eastAsia="zh-CN"/>
        </w:rPr>
        <w:t>农林牧渔</w:t>
      </w:r>
      <w:r>
        <w:rPr>
          <w:rFonts w:hint="eastAsia"/>
        </w:rPr>
        <w:t>总产值</w:t>
      </w:r>
      <w:r>
        <w:rPr>
          <w:rFonts w:hint="eastAsia"/>
          <w:lang w:val="en-US" w:eastAsia="zh-CN"/>
        </w:rPr>
        <w:t>大幅增长</w:t>
      </w:r>
      <w:r>
        <w:rPr>
          <w:rFonts w:hint="eastAsia"/>
          <w:lang w:eastAsia="zh-CN"/>
        </w:rPr>
        <w:t>，至2020年达</w:t>
      </w:r>
      <w:r>
        <w:rPr>
          <w:rFonts w:hint="eastAsia"/>
          <w:lang w:val="en-US" w:eastAsia="zh-CN"/>
        </w:rPr>
        <w:t>147.30</w:t>
      </w:r>
      <w:r>
        <w:rPr>
          <w:rFonts w:hint="eastAsia"/>
          <w:lang w:eastAsia="zh-CN"/>
        </w:rPr>
        <w:t>亿元，比2016年的12</w:t>
      </w:r>
      <w:r>
        <w:rPr>
          <w:rFonts w:hint="eastAsia"/>
          <w:lang w:val="en-US" w:eastAsia="zh-CN"/>
        </w:rPr>
        <w:t>3</w:t>
      </w:r>
      <w:r>
        <w:rPr>
          <w:rFonts w:hint="eastAsia"/>
          <w:lang w:eastAsia="zh-CN"/>
        </w:rPr>
        <w:t>.73亿元增加2</w:t>
      </w:r>
      <w:r>
        <w:rPr>
          <w:rFonts w:hint="eastAsia"/>
          <w:lang w:val="en-US" w:eastAsia="zh-CN"/>
        </w:rPr>
        <w:t>3</w:t>
      </w:r>
      <w:r>
        <w:rPr>
          <w:rFonts w:hint="eastAsia"/>
          <w:lang w:eastAsia="zh-CN"/>
        </w:rPr>
        <w:t>.57亿元，增幅达</w:t>
      </w:r>
      <w:r>
        <w:rPr>
          <w:rFonts w:hint="eastAsia"/>
          <w:highlight w:val="none"/>
          <w:lang w:eastAsia="zh-CN"/>
        </w:rPr>
        <w:t>1</w:t>
      </w:r>
      <w:r>
        <w:rPr>
          <w:rFonts w:hint="eastAsia"/>
          <w:highlight w:val="none"/>
          <w:lang w:val="en-US" w:eastAsia="zh-CN"/>
        </w:rPr>
        <w:t>9.05</w:t>
      </w:r>
      <w:r>
        <w:rPr>
          <w:rFonts w:hint="eastAsia"/>
          <w:lang w:eastAsia="zh-CN"/>
        </w:rPr>
        <w:t>%。</w:t>
      </w:r>
      <w:r>
        <w:rPr>
          <w:rFonts w:hint="eastAsia"/>
        </w:rPr>
        <w:t>全市种植</w:t>
      </w:r>
      <w:r>
        <w:rPr>
          <w:rFonts w:hint="eastAsia"/>
          <w:lang w:val="en-US" w:eastAsia="zh-CN"/>
        </w:rPr>
        <w:t>业</w:t>
      </w:r>
      <w:r>
        <w:rPr>
          <w:rFonts w:hint="eastAsia"/>
        </w:rPr>
        <w:t>、畜禽</w:t>
      </w:r>
      <w:r>
        <w:rPr>
          <w:rFonts w:hint="eastAsia"/>
          <w:lang w:val="en-US" w:eastAsia="zh-CN"/>
        </w:rPr>
        <w:t>业和</w:t>
      </w:r>
      <w:r>
        <w:rPr>
          <w:rFonts w:hint="eastAsia"/>
        </w:rPr>
        <w:t>水产</w:t>
      </w:r>
      <w:r>
        <w:rPr>
          <w:rFonts w:hint="eastAsia"/>
          <w:lang w:val="en-US" w:eastAsia="zh-CN"/>
        </w:rPr>
        <w:t>业</w:t>
      </w:r>
      <w:r>
        <w:rPr>
          <w:rFonts w:hint="eastAsia"/>
        </w:rPr>
        <w:t>生产实现稳中有增。2020年，粮食</w:t>
      </w:r>
      <w:r>
        <w:rPr>
          <w:rFonts w:hint="eastAsia"/>
          <w:lang w:val="en-US" w:eastAsia="zh-CN"/>
        </w:rPr>
        <w:t>播种</w:t>
      </w:r>
      <w:r>
        <w:rPr>
          <w:rFonts w:hint="eastAsia"/>
        </w:rPr>
        <w:t>面积</w:t>
      </w:r>
      <w:r>
        <w:rPr>
          <w:rFonts w:hint="eastAsia"/>
          <w:highlight w:val="none"/>
        </w:rPr>
        <w:t>1</w:t>
      </w:r>
      <w:r>
        <w:rPr>
          <w:rFonts w:hint="eastAsia"/>
          <w:highlight w:val="none"/>
          <w:lang w:val="en-US" w:eastAsia="zh-CN"/>
        </w:rPr>
        <w:t>51.22</w:t>
      </w:r>
      <w:r>
        <w:rPr>
          <w:rFonts w:hint="eastAsia"/>
          <w:highlight w:val="none"/>
        </w:rPr>
        <w:t>万亩，总产59</w:t>
      </w:r>
      <w:r>
        <w:rPr>
          <w:rFonts w:hint="eastAsia"/>
          <w:highlight w:val="none"/>
          <w:lang w:val="en-US" w:eastAsia="zh-CN"/>
        </w:rPr>
        <w:t>.00</w:t>
      </w:r>
      <w:r>
        <w:rPr>
          <w:rFonts w:hint="eastAsia"/>
          <w:highlight w:val="none"/>
        </w:rPr>
        <w:t>万吨；油菜</w:t>
      </w:r>
      <w:r>
        <w:rPr>
          <w:rFonts w:hint="eastAsia"/>
          <w:highlight w:val="none"/>
          <w:lang w:val="en-US" w:eastAsia="zh-CN"/>
        </w:rPr>
        <w:t>播种</w:t>
      </w:r>
      <w:r>
        <w:rPr>
          <w:rFonts w:hint="eastAsia"/>
          <w:highlight w:val="none"/>
        </w:rPr>
        <w:t>面积20.61万亩，总产</w:t>
      </w:r>
      <w:r>
        <w:rPr>
          <w:rFonts w:hint="eastAsia"/>
          <w:highlight w:val="none"/>
          <w:lang w:val="en-US" w:eastAsia="zh-CN"/>
        </w:rPr>
        <w:t>3.4</w:t>
      </w:r>
      <w:r>
        <w:rPr>
          <w:rFonts w:hint="eastAsia"/>
          <w:highlight w:val="none"/>
        </w:rPr>
        <w:t>万吨；蔬菜</w:t>
      </w:r>
      <w:r>
        <w:rPr>
          <w:rFonts w:hint="eastAsia"/>
          <w:highlight w:val="none"/>
          <w:lang w:val="en-US" w:eastAsia="zh-CN"/>
        </w:rPr>
        <w:t>播种</w:t>
      </w:r>
      <w:r>
        <w:rPr>
          <w:rFonts w:hint="eastAsia"/>
          <w:highlight w:val="none"/>
        </w:rPr>
        <w:t>面积</w:t>
      </w:r>
      <w:r>
        <w:rPr>
          <w:rFonts w:hint="eastAsia"/>
          <w:highlight w:val="none"/>
          <w:lang w:val="en-US" w:eastAsia="zh-CN"/>
        </w:rPr>
        <w:t>32.09</w:t>
      </w:r>
      <w:r>
        <w:rPr>
          <w:rFonts w:hint="eastAsia"/>
          <w:highlight w:val="none"/>
        </w:rPr>
        <w:t>万亩，总产95.57万吨；中药材</w:t>
      </w:r>
      <w:r>
        <w:rPr>
          <w:rFonts w:hint="eastAsia"/>
          <w:highlight w:val="none"/>
          <w:lang w:val="en-US" w:eastAsia="zh-CN"/>
        </w:rPr>
        <w:t>播种</w:t>
      </w:r>
      <w:r>
        <w:rPr>
          <w:rFonts w:hint="eastAsia"/>
          <w:highlight w:val="none"/>
        </w:rPr>
        <w:t>面积</w:t>
      </w:r>
      <w:r>
        <w:rPr>
          <w:rFonts w:hint="eastAsia"/>
          <w:highlight w:val="none"/>
          <w:lang w:val="en-US" w:eastAsia="zh-CN"/>
        </w:rPr>
        <w:t>0.83</w:t>
      </w:r>
      <w:r>
        <w:rPr>
          <w:rFonts w:hint="eastAsia"/>
          <w:highlight w:val="none"/>
        </w:rPr>
        <w:t>万亩，总产0.6</w:t>
      </w:r>
      <w:r>
        <w:rPr>
          <w:rFonts w:hint="eastAsia"/>
          <w:highlight w:val="none"/>
          <w:lang w:val="en-US" w:eastAsia="zh-CN"/>
        </w:rPr>
        <w:t>5</w:t>
      </w:r>
      <w:r>
        <w:rPr>
          <w:rFonts w:hint="eastAsia"/>
          <w:highlight w:val="none"/>
        </w:rPr>
        <w:t>万吨。生猪</w:t>
      </w:r>
      <w:r>
        <w:rPr>
          <w:rFonts w:hint="eastAsia"/>
          <w:highlight w:val="none"/>
          <w:lang w:val="en-US" w:eastAsia="zh-CN"/>
        </w:rPr>
        <w:t>出栏36.70万头、</w:t>
      </w:r>
      <w:r>
        <w:rPr>
          <w:rFonts w:hint="eastAsia"/>
          <w:highlight w:val="none"/>
        </w:rPr>
        <w:t>存栏33.7</w:t>
      </w:r>
      <w:r>
        <w:rPr>
          <w:rFonts w:hint="eastAsia"/>
          <w:highlight w:val="none"/>
          <w:lang w:val="en-US" w:eastAsia="zh-CN"/>
        </w:rPr>
        <w:t>2</w:t>
      </w:r>
      <w:r>
        <w:rPr>
          <w:rFonts w:hint="eastAsia"/>
          <w:highlight w:val="none"/>
        </w:rPr>
        <w:t>万头</w:t>
      </w:r>
      <w:r>
        <w:rPr>
          <w:rFonts w:hint="eastAsia"/>
          <w:highlight w:val="none"/>
          <w:lang w:eastAsia="zh-CN"/>
        </w:rPr>
        <w:t>；</w:t>
      </w:r>
      <w:r>
        <w:rPr>
          <w:rFonts w:hint="eastAsia"/>
          <w:highlight w:val="none"/>
        </w:rPr>
        <w:t>牛</w:t>
      </w:r>
      <w:r>
        <w:rPr>
          <w:rFonts w:hint="eastAsia"/>
          <w:highlight w:val="none"/>
          <w:lang w:val="en-US" w:eastAsia="zh-CN"/>
        </w:rPr>
        <w:t>存栏3.19万头；</w:t>
      </w:r>
      <w:r>
        <w:rPr>
          <w:rFonts w:hint="eastAsia"/>
          <w:highlight w:val="none"/>
        </w:rPr>
        <w:t>羊存栏</w:t>
      </w:r>
      <w:r>
        <w:rPr>
          <w:rFonts w:hint="eastAsia"/>
          <w:highlight w:val="none"/>
          <w:lang w:val="en-US" w:eastAsia="zh-CN"/>
        </w:rPr>
        <w:t>1.03</w:t>
      </w:r>
      <w:r>
        <w:rPr>
          <w:rFonts w:hint="eastAsia"/>
          <w:highlight w:val="none"/>
        </w:rPr>
        <w:t>万头</w:t>
      </w:r>
      <w:r>
        <w:rPr>
          <w:rFonts w:hint="eastAsia"/>
          <w:highlight w:val="none"/>
          <w:lang w:eastAsia="zh-CN"/>
        </w:rPr>
        <w:t>；</w:t>
      </w:r>
      <w:r>
        <w:rPr>
          <w:rFonts w:hint="eastAsia"/>
          <w:highlight w:val="none"/>
        </w:rPr>
        <w:t>家禽</w:t>
      </w:r>
      <w:r>
        <w:rPr>
          <w:rFonts w:hint="eastAsia"/>
          <w:highlight w:val="none"/>
          <w:lang w:val="en-US" w:eastAsia="zh-CN"/>
        </w:rPr>
        <w:t>出笼953.33万羽，</w:t>
      </w:r>
      <w:r>
        <w:rPr>
          <w:rFonts w:hint="eastAsia"/>
          <w:highlight w:val="none"/>
        </w:rPr>
        <w:t>存笼</w:t>
      </w:r>
      <w:r>
        <w:rPr>
          <w:rFonts w:hint="eastAsia"/>
          <w:highlight w:val="none"/>
          <w:lang w:val="en-US" w:eastAsia="zh-CN"/>
        </w:rPr>
        <w:t>509.69</w:t>
      </w:r>
      <w:r>
        <w:rPr>
          <w:rFonts w:hint="eastAsia"/>
          <w:highlight w:val="none"/>
        </w:rPr>
        <w:t>万羽。水产养殖面积100.8万亩，总产</w:t>
      </w:r>
      <w:r>
        <w:rPr>
          <w:rFonts w:hint="eastAsia"/>
          <w:highlight w:val="none"/>
          <w:lang w:val="en-US" w:eastAsia="zh-CN"/>
        </w:rPr>
        <w:t>16</w:t>
      </w:r>
      <w:r>
        <w:rPr>
          <w:rFonts w:hint="eastAsia"/>
          <w:highlight w:val="none"/>
        </w:rPr>
        <w:t>万吨</w:t>
      </w:r>
      <w:r>
        <w:rPr>
          <w:rFonts w:hint="eastAsia"/>
          <w:highlight w:val="none"/>
          <w:lang w:eastAsia="zh-CN"/>
        </w:rPr>
        <w:t>，</w:t>
      </w:r>
      <w:r>
        <w:rPr>
          <w:rFonts w:hint="eastAsia"/>
          <w:highlight w:val="none"/>
        </w:rPr>
        <w:t>其中，</w:t>
      </w:r>
      <w:r>
        <w:rPr>
          <w:rFonts w:hint="eastAsia"/>
          <w:highlight w:val="none"/>
          <w:lang w:val="en-US" w:eastAsia="zh-CN"/>
        </w:rPr>
        <w:t>潜江</w:t>
      </w:r>
      <w:r>
        <w:rPr>
          <w:rFonts w:hint="eastAsia"/>
          <w:highlight w:val="none"/>
        </w:rPr>
        <w:t>龙虾产量11.59</w:t>
      </w:r>
      <w:r>
        <w:rPr>
          <w:rFonts w:hint="eastAsia"/>
        </w:rPr>
        <w:t>万吨</w:t>
      </w:r>
      <w:r>
        <w:rPr>
          <w:rFonts w:hint="eastAsia"/>
          <w:lang w:eastAsia="zh-CN"/>
        </w:rPr>
        <w:t>，</w:t>
      </w:r>
      <w:r>
        <w:rPr>
          <w:rFonts w:hint="eastAsia"/>
          <w:lang w:val="en-US" w:eastAsia="zh-CN"/>
        </w:rPr>
        <w:t>潜江</w:t>
      </w:r>
      <w:r>
        <w:rPr>
          <w:rFonts w:hint="eastAsia"/>
        </w:rPr>
        <w:t>虾稻综合产值达520亿元。</w:t>
      </w:r>
    </w:p>
    <w:p>
      <w:pPr>
        <w:keepNext w:val="0"/>
        <w:keepLines w:val="0"/>
        <w:pageBreakBefore w:val="0"/>
        <w:widowControl w:val="0"/>
        <w:kinsoku/>
        <w:wordWrap/>
        <w:overflowPunct/>
        <w:topLinePunct w:val="0"/>
        <w:autoSpaceDE/>
        <w:autoSpaceDN/>
        <w:bidi w:val="0"/>
        <w:adjustRightInd/>
        <w:snapToGrid/>
        <w:ind w:firstLine="641"/>
        <w:jc w:val="both"/>
        <w:textAlignment w:val="auto"/>
        <w:rPr>
          <w:rFonts w:hint="eastAsia" w:ascii="Times New Roman" w:hAnsi="Times New Roman" w:eastAsia="仿宋_GB2312" w:cs="Times New Roman"/>
          <w:kern w:val="2"/>
          <w:sz w:val="32"/>
          <w:szCs w:val="24"/>
          <w:highlight w:val="yellow"/>
          <w:lang w:val="en-US" w:eastAsia="zh-CN" w:bidi="ar-SA"/>
        </w:rPr>
      </w:pPr>
      <w:r>
        <w:rPr>
          <w:rFonts w:hint="eastAsia" w:cs="Times New Roman"/>
          <w:b/>
          <w:bCs/>
          <w:szCs w:val="32"/>
          <w:lang w:val="en-US" w:eastAsia="zh-CN"/>
        </w:rPr>
        <w:t>3</w:t>
      </w:r>
      <w:r>
        <w:rPr>
          <w:rFonts w:hint="default" w:ascii="Times New Roman" w:hAnsi="Times New Roman" w:cs="Times New Roman"/>
          <w:b/>
          <w:bCs/>
          <w:szCs w:val="32"/>
          <w:lang w:val="en-US" w:eastAsia="zh-CN"/>
        </w:rPr>
        <w:t>.</w:t>
      </w:r>
      <w:r>
        <w:rPr>
          <w:rFonts w:hint="default" w:ascii="Times New Roman" w:hAnsi="Times New Roman" w:cs="Times New Roman"/>
          <w:b/>
          <w:bCs/>
          <w:szCs w:val="32"/>
        </w:rPr>
        <w:t>农业产业</w:t>
      </w:r>
      <w:r>
        <w:rPr>
          <w:rFonts w:hint="eastAsia" w:ascii="仿宋_GB2312" w:hAnsi="仿宋_GB2312" w:cs="仿宋_GB2312"/>
          <w:b/>
          <w:bCs/>
          <w:szCs w:val="32"/>
        </w:rPr>
        <w:t>化</w:t>
      </w:r>
      <w:r>
        <w:rPr>
          <w:rFonts w:hint="eastAsia" w:ascii="仿宋_GB2312" w:hAnsi="仿宋_GB2312" w:cs="仿宋_GB2312"/>
          <w:b/>
          <w:bCs/>
          <w:szCs w:val="32"/>
          <w:lang w:val="en-US" w:eastAsia="zh-CN"/>
        </w:rPr>
        <w:t>步伐明显加快</w:t>
      </w:r>
      <w:r>
        <w:rPr>
          <w:rFonts w:hint="eastAsia" w:ascii="仿宋_GB2312" w:hAnsi="仿宋_GB2312" w:cs="仿宋_GB2312"/>
          <w:b/>
          <w:bCs/>
          <w:szCs w:val="32"/>
        </w:rPr>
        <w:t>。</w:t>
      </w:r>
      <w:r>
        <w:rPr>
          <w:rFonts w:hint="eastAsia" w:ascii="仿宋_GB2312" w:hAnsi="仿宋_GB2312" w:cs="仿宋_GB2312"/>
          <w:b w:val="0"/>
          <w:bCs w:val="0"/>
          <w:szCs w:val="32"/>
          <w:lang w:val="en-US" w:eastAsia="zh-CN"/>
        </w:rPr>
        <w:t>全</w:t>
      </w:r>
      <w:r>
        <w:rPr>
          <w:rFonts w:hint="eastAsia" w:cs="Times New Roman"/>
          <w:kern w:val="2"/>
          <w:sz w:val="32"/>
          <w:szCs w:val="24"/>
          <w:lang w:val="en-US" w:eastAsia="zh-CN" w:bidi="ar-SA"/>
        </w:rPr>
        <w:t>市发展优质粮食种植基地100万亩，打造2个“中国好粮油”产品、3个“荆楚好粮油”产品。“潜江龙虾”成为全国农产品区域公用品牌，入选中国农业品牌目录。全市拥有国家地理标志保护产品2个，“</w:t>
      </w:r>
      <w:r>
        <w:rPr>
          <w:rFonts w:hint="eastAsia" w:cs="Times New Roman"/>
          <w:kern w:val="2"/>
          <w:sz w:val="32"/>
          <w:szCs w:val="24"/>
          <w:highlight w:val="none"/>
          <w:lang w:val="en-US" w:eastAsia="zh-CN" w:bidi="ar-SA"/>
        </w:rPr>
        <w:t>二品一标”产品认证61个。</w:t>
      </w:r>
      <w:r>
        <w:rPr>
          <w:rFonts w:hint="eastAsia" w:cs="Times New Roman"/>
          <w:kern w:val="2"/>
          <w:sz w:val="32"/>
          <w:szCs w:val="24"/>
          <w:lang w:val="en-US" w:eastAsia="zh-CN" w:bidi="ar-SA"/>
        </w:rPr>
        <w:t>成功创建潜江国家现代农业产业园、潜江市国家农村产业融合发展示范园、潜江潜半夏现代农业产业园、潜江后湖高场虾稻现代农业产业园等，形成在全国具有竞争优势的产业集群。建成园林-杨市、周矶-周农和后湖-高场等5个现代农产品加工产业园区，以及园林、后湖等农产品物流配送中心、检验检测中心和展销中心，直销直供和电子商务等新业态不断涌现。</w:t>
      </w:r>
    </w:p>
    <w:p>
      <w:pPr>
        <w:keepNext w:val="0"/>
        <w:keepLines w:val="0"/>
        <w:pageBreakBefore w:val="0"/>
        <w:widowControl w:val="0"/>
        <w:kinsoku/>
        <w:wordWrap/>
        <w:overflowPunct/>
        <w:topLinePunct w:val="0"/>
        <w:autoSpaceDE/>
        <w:autoSpaceDN/>
        <w:bidi w:val="0"/>
        <w:adjustRightInd/>
        <w:snapToGrid/>
        <w:ind w:left="0" w:leftChars="0" w:firstLine="643" w:firstLineChars="200"/>
        <w:jc w:val="both"/>
        <w:textAlignment w:val="auto"/>
        <w:rPr>
          <w:rFonts w:hint="eastAsia"/>
          <w:b/>
          <w:bCs/>
          <w:highlight w:val="yellow"/>
          <w:lang w:val="en-US" w:eastAsia="zh-CN"/>
        </w:rPr>
      </w:pPr>
      <w:r>
        <w:rPr>
          <w:rFonts w:hint="eastAsia" w:cs="Times New Roman"/>
          <w:b/>
          <w:bCs/>
          <w:szCs w:val="32"/>
          <w:highlight w:val="none"/>
          <w:lang w:val="en-US" w:eastAsia="zh-CN"/>
        </w:rPr>
        <w:t>4</w:t>
      </w:r>
      <w:r>
        <w:rPr>
          <w:rFonts w:hint="default" w:ascii="Times New Roman" w:hAnsi="Times New Roman" w:cs="Times New Roman"/>
          <w:b/>
          <w:bCs/>
          <w:szCs w:val="32"/>
          <w:highlight w:val="none"/>
          <w:lang w:val="en-US" w:eastAsia="zh-CN"/>
        </w:rPr>
        <w:t>.</w:t>
      </w:r>
      <w:r>
        <w:rPr>
          <w:rFonts w:hint="default" w:ascii="Times New Roman" w:hAnsi="Times New Roman" w:cs="Times New Roman"/>
          <w:b/>
          <w:bCs/>
          <w:szCs w:val="32"/>
          <w:highlight w:val="none"/>
        </w:rPr>
        <w:t>基础</w:t>
      </w:r>
      <w:r>
        <w:rPr>
          <w:rFonts w:hint="eastAsia" w:ascii="仿宋_GB2312" w:hAnsi="仿宋_GB2312" w:cs="仿宋_GB2312"/>
          <w:b/>
          <w:bCs/>
          <w:szCs w:val="32"/>
          <w:highlight w:val="none"/>
        </w:rPr>
        <w:t>设施建设逐步完善。</w:t>
      </w:r>
      <w:r>
        <w:rPr>
          <w:rFonts w:hint="eastAsia" w:ascii="仿宋_GB2312" w:hAnsi="仿宋_GB2312" w:cs="仿宋_GB2312"/>
          <w:b w:val="0"/>
          <w:bCs w:val="0"/>
          <w:szCs w:val="32"/>
          <w:highlight w:val="none"/>
        </w:rPr>
        <w:t>持续推进高标准农田建设，</w:t>
      </w:r>
      <w:r>
        <w:rPr>
          <w:rFonts w:hint="eastAsia" w:ascii="仿宋_GB2312" w:hAnsi="仿宋_GB2312" w:cs="仿宋_GB2312"/>
          <w:b w:val="0"/>
          <w:bCs w:val="0"/>
          <w:szCs w:val="32"/>
          <w:highlight w:val="none"/>
          <w:lang w:eastAsia="zh-CN"/>
        </w:rPr>
        <w:t>建成</w:t>
      </w:r>
      <w:r>
        <w:rPr>
          <w:rFonts w:hint="eastAsia" w:ascii="仿宋_GB2312" w:hAnsi="仿宋_GB2312" w:cs="仿宋_GB2312"/>
          <w:b w:val="0"/>
          <w:bCs w:val="0"/>
          <w:szCs w:val="32"/>
          <w:highlight w:val="none"/>
        </w:rPr>
        <w:t>高标准农田</w:t>
      </w:r>
      <w:r>
        <w:rPr>
          <w:rFonts w:hint="default" w:ascii="Times New Roman" w:hAnsi="Times New Roman" w:cs="Times New Roman"/>
          <w:b w:val="0"/>
          <w:bCs w:val="0"/>
          <w:szCs w:val="32"/>
          <w:highlight w:val="none"/>
        </w:rPr>
        <w:t>70.6万亩。农产品仓储保鲜冷链设施建设逐步完善，投资1000万元在运粮湖</w:t>
      </w:r>
      <w:r>
        <w:rPr>
          <w:rFonts w:hint="eastAsia" w:cs="Times New Roman"/>
          <w:b w:val="0"/>
          <w:bCs w:val="0"/>
          <w:szCs w:val="32"/>
          <w:highlight w:val="none"/>
          <w:lang w:val="en-US" w:eastAsia="zh-CN"/>
        </w:rPr>
        <w:t>管理区</w:t>
      </w:r>
      <w:r>
        <w:rPr>
          <w:rFonts w:hint="default" w:ascii="Times New Roman" w:hAnsi="Times New Roman" w:cs="Times New Roman"/>
          <w:b w:val="0"/>
          <w:bCs w:val="0"/>
          <w:szCs w:val="32"/>
          <w:highlight w:val="none"/>
        </w:rPr>
        <w:t>、龙湾</w:t>
      </w:r>
      <w:r>
        <w:rPr>
          <w:rFonts w:hint="eastAsia" w:cs="Times New Roman"/>
          <w:b w:val="0"/>
          <w:bCs w:val="0"/>
          <w:szCs w:val="32"/>
          <w:highlight w:val="none"/>
          <w:lang w:val="en-US" w:eastAsia="zh-CN"/>
        </w:rPr>
        <w:t>镇和</w:t>
      </w:r>
      <w:r>
        <w:rPr>
          <w:rFonts w:hint="default" w:ascii="Times New Roman" w:hAnsi="Times New Roman" w:cs="Times New Roman"/>
          <w:b w:val="0"/>
          <w:bCs w:val="0"/>
          <w:szCs w:val="32"/>
          <w:highlight w:val="none"/>
        </w:rPr>
        <w:t>积玉口</w:t>
      </w:r>
      <w:r>
        <w:rPr>
          <w:rFonts w:hint="eastAsia" w:cs="Times New Roman"/>
          <w:b w:val="0"/>
          <w:bCs w:val="0"/>
          <w:szCs w:val="32"/>
          <w:highlight w:val="none"/>
          <w:lang w:val="en-US" w:eastAsia="zh-CN"/>
        </w:rPr>
        <w:t>镇</w:t>
      </w:r>
      <w:r>
        <w:rPr>
          <w:rFonts w:hint="default" w:ascii="Times New Roman" w:hAnsi="Times New Roman" w:cs="Times New Roman"/>
          <w:b w:val="0"/>
          <w:bCs w:val="0"/>
          <w:szCs w:val="32"/>
          <w:highlight w:val="none"/>
        </w:rPr>
        <w:t>等建设仓储保鲜冷链设施。累计投资3.5亿元，农村饮水安全实现全覆盖</w:t>
      </w:r>
      <w:r>
        <w:rPr>
          <w:rFonts w:hint="eastAsia" w:cs="Times New Roman"/>
          <w:b w:val="0"/>
          <w:bCs w:val="0"/>
          <w:szCs w:val="32"/>
          <w:highlight w:val="none"/>
          <w:lang w:eastAsia="zh-CN"/>
        </w:rPr>
        <w:t>。</w:t>
      </w:r>
      <w:r>
        <w:rPr>
          <w:rFonts w:hint="default" w:ascii="Times New Roman" w:hAnsi="Times New Roman" w:cs="Times New Roman"/>
          <w:b w:val="0"/>
          <w:bCs w:val="0"/>
          <w:szCs w:val="32"/>
          <w:highlight w:val="none"/>
        </w:rPr>
        <w:t>加快推动农村电网改造升级，实现了从</w:t>
      </w:r>
      <w:r>
        <w:rPr>
          <w:rFonts w:hint="eastAsia" w:cs="Times New Roman"/>
          <w:b w:val="0"/>
          <w:bCs w:val="0"/>
          <w:szCs w:val="32"/>
          <w:highlight w:val="none"/>
          <w:lang w:eastAsia="zh-CN"/>
        </w:rPr>
        <w:t>“</w:t>
      </w:r>
      <w:r>
        <w:rPr>
          <w:rFonts w:hint="default" w:ascii="Times New Roman" w:hAnsi="Times New Roman" w:cs="Times New Roman"/>
          <w:b w:val="0"/>
          <w:bCs w:val="0"/>
          <w:szCs w:val="32"/>
          <w:highlight w:val="none"/>
        </w:rPr>
        <w:t>用上电</w:t>
      </w:r>
      <w:r>
        <w:rPr>
          <w:rFonts w:hint="eastAsia" w:cs="Times New Roman"/>
          <w:b w:val="0"/>
          <w:bCs w:val="0"/>
          <w:szCs w:val="32"/>
          <w:highlight w:val="none"/>
          <w:lang w:eastAsia="zh-CN"/>
        </w:rPr>
        <w:t>”</w:t>
      </w:r>
      <w:r>
        <w:rPr>
          <w:rFonts w:hint="default" w:ascii="Times New Roman" w:hAnsi="Times New Roman" w:cs="Times New Roman"/>
          <w:b w:val="0"/>
          <w:bCs w:val="0"/>
          <w:szCs w:val="32"/>
          <w:highlight w:val="none"/>
        </w:rPr>
        <w:t>到</w:t>
      </w:r>
      <w:r>
        <w:rPr>
          <w:rFonts w:hint="eastAsia" w:cs="Times New Roman"/>
          <w:b w:val="0"/>
          <w:bCs w:val="0"/>
          <w:szCs w:val="32"/>
          <w:highlight w:val="none"/>
          <w:lang w:eastAsia="zh-CN"/>
        </w:rPr>
        <w:t>“</w:t>
      </w:r>
      <w:r>
        <w:rPr>
          <w:rFonts w:hint="default" w:ascii="Times New Roman" w:hAnsi="Times New Roman" w:cs="Times New Roman"/>
          <w:b w:val="0"/>
          <w:bCs w:val="0"/>
          <w:szCs w:val="32"/>
          <w:highlight w:val="none"/>
        </w:rPr>
        <w:t>用好电</w:t>
      </w:r>
      <w:r>
        <w:rPr>
          <w:rFonts w:hint="eastAsia" w:cs="Times New Roman"/>
          <w:b w:val="0"/>
          <w:bCs w:val="0"/>
          <w:szCs w:val="32"/>
          <w:highlight w:val="none"/>
          <w:lang w:eastAsia="zh-CN"/>
        </w:rPr>
        <w:t>”</w:t>
      </w:r>
      <w:r>
        <w:rPr>
          <w:rFonts w:hint="default" w:ascii="Times New Roman" w:hAnsi="Times New Roman" w:cs="Times New Roman"/>
          <w:b w:val="0"/>
          <w:bCs w:val="0"/>
          <w:szCs w:val="32"/>
          <w:highlight w:val="none"/>
        </w:rPr>
        <w:t>的重大转变</w:t>
      </w:r>
      <w:r>
        <w:rPr>
          <w:rFonts w:hint="eastAsia" w:cs="Times New Roman"/>
          <w:b w:val="0"/>
          <w:bCs w:val="0"/>
          <w:szCs w:val="32"/>
          <w:highlight w:val="none"/>
          <w:lang w:eastAsia="zh-CN"/>
        </w:rPr>
        <w:t>。</w:t>
      </w:r>
      <w:r>
        <w:rPr>
          <w:rFonts w:hint="default" w:ascii="Times New Roman" w:hAnsi="Times New Roman" w:cs="Times New Roman"/>
          <w:b w:val="0"/>
          <w:bCs w:val="0"/>
          <w:szCs w:val="32"/>
          <w:highlight w:val="none"/>
        </w:rPr>
        <w:t>农村公路新改建工程稳步推进，</w:t>
      </w:r>
      <w:r>
        <w:rPr>
          <w:rFonts w:hint="eastAsia" w:cs="Times New Roman"/>
          <w:b w:val="0"/>
          <w:bCs w:val="0"/>
          <w:szCs w:val="32"/>
          <w:highlight w:val="none"/>
          <w:lang w:eastAsia="zh-CN"/>
        </w:rPr>
        <w:t>荣获“</w:t>
      </w:r>
      <w:r>
        <w:rPr>
          <w:rFonts w:hint="default" w:ascii="Times New Roman" w:hAnsi="Times New Roman" w:cs="Times New Roman"/>
          <w:b w:val="0"/>
          <w:bCs w:val="0"/>
          <w:szCs w:val="32"/>
          <w:highlight w:val="none"/>
        </w:rPr>
        <w:t>四好农村路</w:t>
      </w:r>
      <w:r>
        <w:rPr>
          <w:rFonts w:hint="eastAsia" w:cs="Times New Roman"/>
          <w:b w:val="0"/>
          <w:bCs w:val="0"/>
          <w:szCs w:val="32"/>
          <w:highlight w:val="none"/>
          <w:lang w:eastAsia="zh-CN"/>
        </w:rPr>
        <w:t>”</w:t>
      </w:r>
      <w:r>
        <w:rPr>
          <w:rFonts w:hint="default" w:ascii="Times New Roman" w:hAnsi="Times New Roman" w:cs="Times New Roman"/>
          <w:b w:val="0"/>
          <w:bCs w:val="0"/>
          <w:szCs w:val="32"/>
          <w:highlight w:val="none"/>
        </w:rPr>
        <w:t>全国示范县，3个镇</w:t>
      </w:r>
      <w:r>
        <w:rPr>
          <w:rFonts w:hint="eastAsia" w:cs="Times New Roman"/>
          <w:b w:val="0"/>
          <w:bCs w:val="0"/>
          <w:szCs w:val="32"/>
          <w:highlight w:val="none"/>
          <w:lang w:eastAsia="zh-CN"/>
        </w:rPr>
        <w:t>入围</w:t>
      </w:r>
      <w:r>
        <w:rPr>
          <w:rFonts w:hint="default" w:ascii="Times New Roman" w:hAnsi="Times New Roman" w:cs="Times New Roman"/>
          <w:b w:val="0"/>
          <w:bCs w:val="0"/>
          <w:szCs w:val="32"/>
          <w:highlight w:val="none"/>
        </w:rPr>
        <w:t>湖北省</w:t>
      </w:r>
      <w:r>
        <w:rPr>
          <w:rFonts w:hint="eastAsia" w:cs="Times New Roman"/>
          <w:b w:val="0"/>
          <w:bCs w:val="0"/>
          <w:szCs w:val="32"/>
          <w:highlight w:val="none"/>
          <w:lang w:eastAsia="zh-CN"/>
        </w:rPr>
        <w:t>“</w:t>
      </w:r>
      <w:r>
        <w:rPr>
          <w:rFonts w:hint="default" w:ascii="Times New Roman" w:hAnsi="Times New Roman" w:cs="Times New Roman"/>
          <w:b w:val="0"/>
          <w:bCs w:val="0"/>
          <w:szCs w:val="32"/>
          <w:highlight w:val="none"/>
        </w:rPr>
        <w:t>四好农村路</w:t>
      </w:r>
      <w:r>
        <w:rPr>
          <w:rFonts w:hint="eastAsia" w:cs="Times New Roman"/>
          <w:b w:val="0"/>
          <w:bCs w:val="0"/>
          <w:szCs w:val="32"/>
          <w:highlight w:val="none"/>
          <w:lang w:eastAsia="zh-CN"/>
        </w:rPr>
        <w:t>”</w:t>
      </w:r>
      <w:r>
        <w:rPr>
          <w:rFonts w:hint="default" w:ascii="Times New Roman" w:hAnsi="Times New Roman" w:cs="Times New Roman"/>
          <w:b w:val="0"/>
          <w:bCs w:val="0"/>
          <w:szCs w:val="32"/>
          <w:highlight w:val="none"/>
        </w:rPr>
        <w:t>示范</w:t>
      </w:r>
      <w:r>
        <w:rPr>
          <w:rFonts w:hint="default"/>
          <w:szCs w:val="32"/>
          <w:highlight w:val="none"/>
        </w:rPr>
        <w:t>乡镇</w:t>
      </w:r>
      <w:r>
        <w:rPr>
          <w:rFonts w:hint="default" w:ascii="Times New Roman" w:hAnsi="Times New Roman" w:cs="Times New Roman"/>
          <w:b w:val="0"/>
          <w:bCs w:val="0"/>
          <w:szCs w:val="32"/>
          <w:highlight w:val="none"/>
        </w:rPr>
        <w:t>，行政村客运通达率100%。</w:t>
      </w:r>
    </w:p>
    <w:p>
      <w:pPr>
        <w:pStyle w:val="2"/>
        <w:keepNext w:val="0"/>
        <w:keepLines w:val="0"/>
        <w:pageBreakBefore w:val="0"/>
        <w:widowControl w:val="0"/>
        <w:kinsoku/>
        <w:wordWrap/>
        <w:overflowPunct/>
        <w:topLinePunct w:val="0"/>
        <w:autoSpaceDE/>
        <w:autoSpaceDN/>
        <w:bidi w:val="0"/>
        <w:adjustRightInd/>
        <w:snapToGrid/>
        <w:spacing w:after="0"/>
        <w:ind w:firstLine="643" w:firstLineChars="200"/>
        <w:jc w:val="both"/>
        <w:textAlignment w:val="auto"/>
        <w:rPr>
          <w:rFonts w:hint="eastAsia" w:cs="Times New Roman"/>
          <w:b/>
          <w:bCs/>
          <w:kern w:val="2"/>
          <w:sz w:val="32"/>
          <w:szCs w:val="32"/>
          <w:highlight w:val="yellow"/>
          <w:lang w:val="en-US" w:eastAsia="zh-CN" w:bidi="ar-SA"/>
        </w:rPr>
      </w:pPr>
      <w:r>
        <w:rPr>
          <w:rFonts w:hint="eastAsia"/>
          <w:b/>
          <w:bCs/>
          <w:highlight w:val="none"/>
          <w:lang w:val="en-US" w:eastAsia="zh-CN"/>
        </w:rPr>
        <w:t>5.科技与装备水平大幅提升</w:t>
      </w:r>
      <w:r>
        <w:rPr>
          <w:rFonts w:hint="eastAsia"/>
          <w:b/>
          <w:bCs/>
          <w:highlight w:val="none"/>
        </w:rPr>
        <w:t>。</w:t>
      </w:r>
      <w:r>
        <w:rPr>
          <w:rFonts w:hint="eastAsia"/>
        </w:rPr>
        <w:t>农业科技研发平台建设取得新进展</w:t>
      </w:r>
      <w:r>
        <w:rPr>
          <w:rFonts w:hint="eastAsia"/>
          <w:lang w:eastAsia="zh-CN"/>
        </w:rPr>
        <w:t>。全市拥有涉农高新技术企业14家、研发中心26家、市级企校联合创新中心16家。农业创新载体建设亮点纷呈，潜江楠鼎小龙虾产业星创天地获批国家级星创天地，“潜江凤林苑”“潜江翼之虾”</w:t>
      </w:r>
      <w:r>
        <w:rPr>
          <w:rFonts w:hint="eastAsia"/>
          <w:lang w:val="en-US" w:eastAsia="zh-CN"/>
        </w:rPr>
        <w:t>和</w:t>
      </w:r>
      <w:r>
        <w:rPr>
          <w:rFonts w:hint="eastAsia"/>
          <w:lang w:eastAsia="zh-CN"/>
        </w:rPr>
        <w:t>“虾谷智慧农业”获批省级星创天地。多种形式的农机服务组织不断壮大，全市拥有105家农机专业合作社，其中，国家级示范社3家，省级示范社10家。不断巩固全国主要农作物生产全程机械化示范县成果，农机化水平不断提升。2020年，全市农机总动力151万千瓦，主要农作物耕种收综合机械化水平为84.2%。</w:t>
      </w:r>
    </w:p>
    <w:p>
      <w:pPr>
        <w:keepNext w:val="0"/>
        <w:keepLines w:val="0"/>
        <w:pageBreakBefore w:val="0"/>
        <w:widowControl w:val="0"/>
        <w:kinsoku/>
        <w:wordWrap/>
        <w:overflowPunct/>
        <w:topLinePunct w:val="0"/>
        <w:autoSpaceDE/>
        <w:autoSpaceDN/>
        <w:bidi w:val="0"/>
        <w:adjustRightInd/>
        <w:snapToGrid/>
        <w:ind w:firstLine="641"/>
        <w:textAlignment w:val="auto"/>
        <w:rPr>
          <w:rFonts w:hint="eastAsia"/>
          <w:b/>
          <w:bCs/>
        </w:rPr>
      </w:pPr>
      <w:r>
        <w:rPr>
          <w:rFonts w:hint="eastAsia" w:cs="Times New Roman"/>
          <w:b/>
          <w:bCs/>
          <w:szCs w:val="32"/>
          <w:lang w:val="en-US" w:eastAsia="zh-CN"/>
        </w:rPr>
        <w:t>6</w:t>
      </w:r>
      <w:r>
        <w:rPr>
          <w:rFonts w:hint="default" w:ascii="Times New Roman" w:hAnsi="Times New Roman" w:cs="Times New Roman"/>
          <w:b/>
          <w:bCs/>
          <w:szCs w:val="32"/>
          <w:lang w:val="en-US" w:eastAsia="zh-CN"/>
        </w:rPr>
        <w:t>.</w:t>
      </w:r>
      <w:r>
        <w:rPr>
          <w:rFonts w:hint="default" w:ascii="Times New Roman" w:hAnsi="Times New Roman" w:cs="Times New Roman"/>
          <w:b/>
          <w:bCs/>
          <w:szCs w:val="32"/>
        </w:rPr>
        <w:t>数</w:t>
      </w:r>
      <w:r>
        <w:rPr>
          <w:rFonts w:hint="eastAsia" w:ascii="仿宋_GB2312" w:hAnsi="仿宋_GB2312" w:cs="仿宋_GB2312"/>
          <w:b/>
          <w:bCs/>
          <w:szCs w:val="32"/>
        </w:rPr>
        <w:t>字农业发展</w:t>
      </w:r>
      <w:r>
        <w:rPr>
          <w:rFonts w:hint="eastAsia" w:ascii="仿宋_GB2312" w:hAnsi="仿宋_GB2312" w:cs="仿宋_GB2312"/>
          <w:b/>
          <w:bCs/>
          <w:szCs w:val="32"/>
          <w:lang w:val="en-US" w:eastAsia="zh-CN"/>
        </w:rPr>
        <w:t>成果丰硕</w:t>
      </w:r>
      <w:r>
        <w:rPr>
          <w:rFonts w:hint="eastAsia" w:ascii="仿宋_GB2312" w:hAnsi="仿宋_GB2312" w:cs="仿宋_GB2312"/>
          <w:b/>
          <w:bCs/>
          <w:szCs w:val="32"/>
        </w:rPr>
        <w:t>。</w:t>
      </w:r>
      <w:r>
        <w:rPr>
          <w:rFonts w:hint="eastAsia" w:ascii="仿宋_GB2312" w:hAnsi="仿宋_GB2312" w:cs="仿宋_GB2312"/>
          <w:szCs w:val="32"/>
        </w:rPr>
        <w:t>大力推进现代信息技术与农业融合发展，获</w:t>
      </w:r>
      <w:r>
        <w:rPr>
          <w:rFonts w:hint="eastAsia" w:ascii="仿宋_GB2312" w:hAnsi="仿宋_GB2312" w:cs="仿宋_GB2312"/>
          <w:szCs w:val="32"/>
          <w:lang w:val="en-US" w:eastAsia="zh-CN"/>
        </w:rPr>
        <w:t>得</w:t>
      </w:r>
      <w:r>
        <w:rPr>
          <w:rFonts w:hint="eastAsia" w:ascii="仿宋_GB2312" w:hAnsi="仿宋_GB2312" w:cs="仿宋_GB2312"/>
          <w:szCs w:val="32"/>
        </w:rPr>
        <w:t>“全国县域数字农业农村发展先进县”</w:t>
      </w:r>
      <w:r>
        <w:rPr>
          <w:rFonts w:hint="eastAsia" w:ascii="仿宋_GB2312" w:hAnsi="仿宋_GB2312" w:cs="仿宋_GB2312"/>
          <w:szCs w:val="32"/>
          <w:lang w:val="en-US" w:eastAsia="zh-CN"/>
        </w:rPr>
        <w:t>称号</w:t>
      </w:r>
      <w:r>
        <w:rPr>
          <w:rFonts w:hint="eastAsia" w:ascii="仿宋_GB2312" w:hAnsi="仿宋_GB2312" w:cs="仿宋_GB2312"/>
          <w:szCs w:val="32"/>
        </w:rPr>
        <w:t>。农业信息化建设稳步推进，建成益农信息社市级</w:t>
      </w:r>
      <w:r>
        <w:rPr>
          <w:rFonts w:hint="eastAsia" w:ascii="仿宋_GB2312" w:hAnsi="仿宋_GB2312" w:cs="仿宋_GB2312"/>
          <w:szCs w:val="32"/>
          <w:lang w:val="en-US" w:eastAsia="zh-CN"/>
        </w:rPr>
        <w:t>运营</w:t>
      </w:r>
      <w:r>
        <w:rPr>
          <w:rFonts w:hint="eastAsia" w:ascii="仿宋_GB2312" w:hAnsi="仿宋_GB2312" w:cs="仿宋_GB2312"/>
          <w:szCs w:val="32"/>
        </w:rPr>
        <w:t>中</w:t>
      </w:r>
      <w:r>
        <w:rPr>
          <w:rFonts w:hint="default" w:ascii="Times New Roman" w:hAnsi="Times New Roman" w:cs="Times New Roman"/>
          <w:szCs w:val="32"/>
        </w:rPr>
        <w:t>心1个，标准社、专业社</w:t>
      </w:r>
      <w:r>
        <w:rPr>
          <w:rFonts w:hint="eastAsia" w:cs="Times New Roman"/>
          <w:szCs w:val="32"/>
          <w:lang w:val="en-US" w:eastAsia="zh-CN"/>
        </w:rPr>
        <w:t>和</w:t>
      </w:r>
      <w:r>
        <w:rPr>
          <w:rFonts w:hint="default" w:ascii="Times New Roman" w:hAnsi="Times New Roman" w:cs="Times New Roman"/>
          <w:szCs w:val="32"/>
        </w:rPr>
        <w:t>简易社</w:t>
      </w:r>
      <w:r>
        <w:rPr>
          <w:rFonts w:hint="eastAsia" w:cs="Times New Roman"/>
          <w:szCs w:val="32"/>
          <w:lang w:eastAsia="zh-CN"/>
        </w:rPr>
        <w:t>共</w:t>
      </w:r>
      <w:r>
        <w:rPr>
          <w:rFonts w:hint="default" w:ascii="Times New Roman" w:hAnsi="Times New Roman" w:cs="Times New Roman"/>
          <w:szCs w:val="32"/>
        </w:rPr>
        <w:t>143个；开展益农信息社上岗培训200人次、技术服务2300</w:t>
      </w:r>
      <w:r>
        <w:rPr>
          <w:rFonts w:hint="eastAsia" w:ascii="仿宋_GB2312" w:hAnsi="仿宋_GB2312" w:cs="仿宋_GB2312"/>
          <w:szCs w:val="32"/>
        </w:rPr>
        <w:t>次。产业数字化平台建设稳步推进，建成全国首家虾稻产业大数据中心，为虾稻生产</w:t>
      </w:r>
      <w:r>
        <w:rPr>
          <w:rFonts w:hint="eastAsia" w:ascii="仿宋_GB2312" w:hAnsi="仿宋_GB2312" w:cs="仿宋_GB2312"/>
          <w:szCs w:val="32"/>
          <w:lang w:val="en-US" w:eastAsia="zh-CN"/>
        </w:rPr>
        <w:t>提供</w:t>
      </w:r>
      <w:r>
        <w:rPr>
          <w:rFonts w:hint="eastAsia" w:ascii="仿宋_GB2312" w:hAnsi="仿宋_GB2312" w:cs="仿宋_GB2312"/>
          <w:szCs w:val="32"/>
        </w:rPr>
        <w:t>数据支撑。智慧供销网络</w:t>
      </w:r>
      <w:r>
        <w:rPr>
          <w:rFonts w:hint="eastAsia" w:ascii="仿宋_GB2312" w:hAnsi="仿宋_GB2312" w:cs="仿宋_GB2312"/>
          <w:szCs w:val="32"/>
          <w:lang w:eastAsia="zh-CN"/>
        </w:rPr>
        <w:t>建设</w:t>
      </w:r>
      <w:r>
        <w:rPr>
          <w:rFonts w:hint="eastAsia" w:ascii="仿宋_GB2312" w:hAnsi="仿宋_GB2312" w:cs="仿宋_GB2312"/>
          <w:szCs w:val="32"/>
        </w:rPr>
        <w:t>成效显著，搭建全国首家小龙虾垂直电商交易平台“虾谷</w:t>
      </w:r>
      <w:r>
        <w:rPr>
          <w:rFonts w:hint="default" w:ascii="Times New Roman" w:hAnsi="Times New Roman" w:cs="Times New Roman"/>
          <w:szCs w:val="32"/>
        </w:rPr>
        <w:t>360</w:t>
      </w:r>
      <w:r>
        <w:rPr>
          <w:rFonts w:hint="eastAsia" w:ascii="仿宋_GB2312" w:hAnsi="仿宋_GB2312" w:cs="仿宋_GB2312"/>
          <w:szCs w:val="32"/>
        </w:rPr>
        <w:t>”和全程智能跟踪服务物流平台“虾谷快运”，建成</w:t>
      </w:r>
      <w:r>
        <w:rPr>
          <w:rFonts w:hint="default" w:ascii="Times New Roman" w:hAnsi="Times New Roman" w:cs="Times New Roman"/>
          <w:szCs w:val="32"/>
        </w:rPr>
        <w:t>12</w:t>
      </w:r>
      <w:r>
        <w:rPr>
          <w:rFonts w:hint="eastAsia" w:ascii="仿宋_GB2312" w:hAnsi="仿宋_GB2312" w:cs="仿宋_GB2312"/>
          <w:szCs w:val="32"/>
        </w:rPr>
        <w:t>个集“互联网+小龙虾+流通”</w:t>
      </w:r>
      <w:r>
        <w:rPr>
          <w:rFonts w:hint="default" w:ascii="Times New Roman" w:hAnsi="Times New Roman" w:cs="Times New Roman"/>
          <w:szCs w:val="32"/>
        </w:rPr>
        <w:t>S2B2C</w:t>
      </w:r>
      <w:r>
        <w:rPr>
          <w:rFonts w:hint="eastAsia" w:ascii="仿宋_GB2312" w:hAnsi="仿宋_GB2312" w:cs="仿宋_GB2312"/>
          <w:szCs w:val="32"/>
        </w:rPr>
        <w:t>线上交易线下供应的小龙虾交易中心，</w:t>
      </w:r>
      <w:r>
        <w:rPr>
          <w:rFonts w:hint="default" w:ascii="Times New Roman" w:hAnsi="Times New Roman" w:cs="Times New Roman"/>
          <w:szCs w:val="32"/>
          <w:lang w:val="en-US" w:eastAsia="zh-CN"/>
        </w:rPr>
        <w:t>2017</w:t>
      </w:r>
      <w:r>
        <w:rPr>
          <w:rFonts w:hint="eastAsia" w:ascii="仿宋_GB2312" w:hAnsi="仿宋_GB2312" w:cs="仿宋_GB2312"/>
          <w:szCs w:val="32"/>
          <w:lang w:val="en-US" w:eastAsia="zh-CN"/>
        </w:rPr>
        <w:t>年</w:t>
      </w:r>
      <w:r>
        <w:rPr>
          <w:rFonts w:hint="eastAsia" w:ascii="仿宋_GB2312" w:hAnsi="仿宋_GB2312" w:cs="仿宋_GB2312"/>
          <w:szCs w:val="32"/>
        </w:rPr>
        <w:t>获</w:t>
      </w:r>
      <w:r>
        <w:rPr>
          <w:rFonts w:hint="eastAsia" w:ascii="仿宋_GB2312" w:hAnsi="仿宋_GB2312" w:cs="仿宋_GB2312"/>
          <w:szCs w:val="32"/>
          <w:lang w:val="en-US" w:eastAsia="zh-CN"/>
        </w:rPr>
        <w:t>批</w:t>
      </w:r>
      <w:r>
        <w:rPr>
          <w:rFonts w:hint="eastAsia" w:ascii="仿宋_GB2312" w:hAnsi="仿宋_GB2312" w:cs="仿宋_GB2312"/>
          <w:szCs w:val="32"/>
          <w:lang w:eastAsia="zh-CN"/>
        </w:rPr>
        <w:t>“</w:t>
      </w:r>
      <w:r>
        <w:rPr>
          <w:rFonts w:hint="eastAsia" w:ascii="仿宋_GB2312" w:hAnsi="仿宋_GB2312" w:cs="仿宋_GB2312"/>
          <w:szCs w:val="32"/>
        </w:rPr>
        <w:t>全国农业农村信息化示范基地</w:t>
      </w:r>
      <w:r>
        <w:rPr>
          <w:rFonts w:hint="eastAsia" w:ascii="仿宋_GB2312" w:hAnsi="仿宋_GB2312" w:cs="仿宋_GB2312"/>
          <w:szCs w:val="32"/>
          <w:lang w:eastAsia="zh-CN"/>
        </w:rPr>
        <w:t>”</w:t>
      </w:r>
      <w:r>
        <w:rPr>
          <w:rFonts w:hint="eastAsia" w:ascii="仿宋_GB2312" w:hAnsi="仿宋_GB2312" w:cs="仿宋_GB2312"/>
          <w:szCs w:val="32"/>
        </w:rPr>
        <w:t>。</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szCs w:val="32"/>
          <w:highlight w:val="none"/>
          <w:lang w:val="en-US" w:eastAsia="zh-CN"/>
        </w:rPr>
      </w:pPr>
      <w:r>
        <w:rPr>
          <w:rFonts w:hint="eastAsia"/>
          <w:b/>
          <w:bCs/>
          <w:lang w:val="en-US" w:eastAsia="zh-CN"/>
        </w:rPr>
        <w:t>7.</w:t>
      </w:r>
      <w:r>
        <w:rPr>
          <w:rFonts w:hint="eastAsia"/>
          <w:b/>
          <w:bCs/>
        </w:rPr>
        <w:t>新型经营主体蓬勃发展</w:t>
      </w:r>
      <w:r>
        <w:rPr>
          <w:rFonts w:hint="eastAsia"/>
          <w:b/>
          <w:bCs/>
          <w:lang w:eastAsia="zh-CN"/>
        </w:rPr>
        <w:t>。</w:t>
      </w:r>
      <w:r>
        <w:rPr>
          <w:rFonts w:hint="eastAsia" w:cs="Times New Roman"/>
          <w:szCs w:val="32"/>
          <w:highlight w:val="none"/>
          <w:lang w:val="en-US" w:eastAsia="zh-CN"/>
        </w:rPr>
        <w:t>加快培育新型农业经营主体，多种经营主体实现量质齐升。大力实施专业合作社、专业大户和家庭农场创建行动和培育计划，全市有家庭农场580个，其中，省级、市级示范家庭农场均达到28家；农民专业合作社1402家，其中，国家、省级和市级示范社分别为6家、24家和98家。市级以上农业产业化重点龙头企业98家，其中，国家级3家，省级20家。农业产业联合体建设初显成效，华山小龙虾产业化联合体和潜半夏产业化联合体获批省级农业产业化联合体。</w:t>
      </w:r>
    </w:p>
    <w:p>
      <w:pPr>
        <w:keepNext w:val="0"/>
        <w:keepLines w:val="0"/>
        <w:pageBreakBefore w:val="0"/>
        <w:widowControl w:val="0"/>
        <w:kinsoku/>
        <w:wordWrap/>
        <w:overflowPunct/>
        <w:topLinePunct w:val="0"/>
        <w:autoSpaceDE/>
        <w:autoSpaceDN/>
        <w:bidi w:val="0"/>
        <w:adjustRightInd/>
        <w:snapToGrid/>
        <w:ind w:firstLine="641"/>
        <w:textAlignment w:val="auto"/>
        <w:rPr>
          <w:rFonts w:hint="default" w:ascii="Times New Roman" w:hAnsi="Times New Roman" w:cs="Times New Roman"/>
          <w:szCs w:val="32"/>
          <w:lang w:eastAsia="zh-CN"/>
        </w:rPr>
      </w:pPr>
      <w:r>
        <w:rPr>
          <w:rFonts w:hint="eastAsia" w:cs="Times New Roman"/>
          <w:b/>
          <w:bCs/>
          <w:szCs w:val="32"/>
          <w:highlight w:val="none"/>
          <w:lang w:val="en-US" w:eastAsia="zh-CN"/>
        </w:rPr>
        <w:t>8</w:t>
      </w:r>
      <w:r>
        <w:rPr>
          <w:rFonts w:hint="default" w:ascii="Times New Roman" w:hAnsi="Times New Roman" w:cs="Times New Roman"/>
          <w:b/>
          <w:bCs/>
          <w:szCs w:val="32"/>
          <w:highlight w:val="none"/>
          <w:lang w:val="en-US" w:eastAsia="zh-CN"/>
        </w:rPr>
        <w:t>.</w:t>
      </w:r>
      <w:r>
        <w:rPr>
          <w:rFonts w:hint="default" w:ascii="Times New Roman" w:hAnsi="Times New Roman" w:cs="Times New Roman"/>
          <w:b/>
          <w:bCs/>
          <w:szCs w:val="32"/>
          <w:highlight w:val="none"/>
        </w:rPr>
        <w:t>农</w:t>
      </w:r>
      <w:r>
        <w:rPr>
          <w:rFonts w:hint="eastAsia" w:ascii="仿宋_GB2312" w:hAnsi="仿宋_GB2312" w:cs="仿宋_GB2312"/>
          <w:b/>
          <w:bCs/>
          <w:szCs w:val="32"/>
          <w:highlight w:val="none"/>
        </w:rPr>
        <w:t>村人居环境持续</w:t>
      </w:r>
      <w:r>
        <w:rPr>
          <w:rFonts w:hint="eastAsia" w:ascii="仿宋_GB2312" w:hAnsi="仿宋_GB2312" w:cs="仿宋_GB2312"/>
          <w:b/>
          <w:bCs/>
          <w:szCs w:val="32"/>
          <w:highlight w:val="none"/>
          <w:lang w:val="en-US" w:eastAsia="zh-CN"/>
        </w:rPr>
        <w:t>向好</w:t>
      </w:r>
      <w:r>
        <w:rPr>
          <w:rFonts w:hint="eastAsia" w:ascii="仿宋_GB2312" w:hAnsi="仿宋_GB2312" w:cs="仿宋_GB2312"/>
          <w:b/>
          <w:bCs/>
          <w:szCs w:val="32"/>
          <w:highlight w:val="none"/>
        </w:rPr>
        <w:t>。</w:t>
      </w:r>
      <w:bookmarkStart w:id="23" w:name="_Toc24405"/>
      <w:bookmarkStart w:id="24" w:name="_Toc2779"/>
      <w:bookmarkStart w:id="25" w:name="_Toc4480"/>
      <w:bookmarkStart w:id="26" w:name="_Toc29064"/>
      <w:r>
        <w:rPr>
          <w:rFonts w:hint="eastAsia" w:ascii="仿宋_GB2312" w:hAnsi="仿宋_GB2312" w:cs="仿宋_GB2312"/>
          <w:szCs w:val="32"/>
        </w:rPr>
        <w:t>开展人居环境整治村庄清洁行动，统筹部署农村“厕所革命”、生活垃圾治理、农村污水治理等工作。“十三五”期间，</w:t>
      </w:r>
      <w:r>
        <w:rPr>
          <w:rFonts w:hint="eastAsia" w:ascii="仿宋_GB2312" w:hAnsi="仿宋_GB2312" w:cs="仿宋_GB2312"/>
          <w:szCs w:val="32"/>
          <w:lang w:val="en-US" w:eastAsia="zh-CN"/>
        </w:rPr>
        <w:t>全</w:t>
      </w:r>
      <w:r>
        <w:rPr>
          <w:rFonts w:hint="eastAsia" w:ascii="仿宋_GB2312" w:hAnsi="仿宋_GB2312" w:cs="仿宋_GB2312"/>
          <w:szCs w:val="32"/>
        </w:rPr>
        <w:t>市完</w:t>
      </w:r>
      <w:r>
        <w:rPr>
          <w:rFonts w:hint="default" w:ascii="Times New Roman" w:hAnsi="Times New Roman" w:cs="Times New Roman"/>
          <w:szCs w:val="32"/>
        </w:rPr>
        <w:t>成了</w:t>
      </w:r>
      <w:r>
        <w:rPr>
          <w:rFonts w:hint="eastAsia" w:ascii="Times New Roman" w:hAnsi="Times New Roman" w:cs="Times New Roman"/>
          <w:color w:val="auto"/>
          <w:szCs w:val="32"/>
          <w:highlight w:val="none"/>
          <w:lang w:val="en-US" w:eastAsia="zh-CN"/>
        </w:rPr>
        <w:t>62</w:t>
      </w:r>
      <w:r>
        <w:rPr>
          <w:rFonts w:hint="default" w:ascii="仿宋_GB2312" w:hAnsi="仿宋_GB2312" w:cs="仿宋_GB2312"/>
          <w:color w:val="auto"/>
          <w:szCs w:val="32"/>
        </w:rPr>
        <w:t>个</w:t>
      </w:r>
      <w:r>
        <w:rPr>
          <w:rFonts w:hint="eastAsia" w:ascii="仿宋_GB2312" w:hAnsi="仿宋_GB2312" w:cs="仿宋_GB2312"/>
          <w:color w:val="auto"/>
          <w:szCs w:val="32"/>
          <w:lang w:eastAsia="zh-CN"/>
        </w:rPr>
        <w:t>新增</w:t>
      </w:r>
      <w:r>
        <w:rPr>
          <w:rFonts w:hint="default" w:ascii="仿宋_GB2312" w:hAnsi="仿宋_GB2312" w:cs="仿宋_GB2312"/>
          <w:color w:val="auto"/>
          <w:szCs w:val="32"/>
        </w:rPr>
        <w:t>建</w:t>
      </w:r>
      <w:r>
        <w:rPr>
          <w:rFonts w:hint="default" w:ascii="Times New Roman" w:hAnsi="Times New Roman" w:cs="Times New Roman"/>
          <w:szCs w:val="32"/>
        </w:rPr>
        <w:t>制村农村环境综合整治。加强环境整治检查督办，</w:t>
      </w:r>
      <w:r>
        <w:rPr>
          <w:rFonts w:hint="default" w:ascii="Times New Roman" w:hAnsi="Times New Roman" w:cs="Times New Roman"/>
          <w:szCs w:val="32"/>
          <w:highlight w:val="none"/>
        </w:rPr>
        <w:t>累计动员19.45万人次，发放宣传资料18.89万份，整治房前屋后7.59万户，改造农村户厕7</w:t>
      </w:r>
      <w:r>
        <w:rPr>
          <w:rFonts w:hint="eastAsia" w:cs="Times New Roman"/>
          <w:szCs w:val="32"/>
          <w:highlight w:val="none"/>
          <w:lang w:val="en-US" w:eastAsia="zh-CN"/>
        </w:rPr>
        <w:t>万</w:t>
      </w:r>
      <w:r>
        <w:rPr>
          <w:rFonts w:hint="default" w:ascii="Times New Roman" w:hAnsi="Times New Roman" w:cs="Times New Roman"/>
          <w:szCs w:val="32"/>
          <w:highlight w:val="none"/>
        </w:rPr>
        <w:t>户</w:t>
      </w:r>
      <w:r>
        <w:rPr>
          <w:rFonts w:hint="eastAsia" w:ascii="仿宋_GB2312" w:hAnsi="仿宋_GB2312" w:cs="仿宋_GB2312"/>
          <w:szCs w:val="32"/>
          <w:highlight w:val="none"/>
        </w:rPr>
        <w:t>，</w:t>
      </w:r>
      <w:r>
        <w:rPr>
          <w:rFonts w:hint="eastAsia" w:ascii="仿宋_GB2312" w:hAnsi="仿宋_GB2312" w:cs="仿宋_GB2312"/>
          <w:szCs w:val="32"/>
        </w:rPr>
        <w:t>农村受益人数达</w:t>
      </w:r>
      <w:r>
        <w:rPr>
          <w:rFonts w:hint="default" w:ascii="Times New Roman" w:hAnsi="Times New Roman" w:cs="Times New Roman"/>
          <w:szCs w:val="32"/>
        </w:rPr>
        <w:t>50.84万人</w:t>
      </w:r>
      <w:r>
        <w:rPr>
          <w:rFonts w:hint="eastAsia" w:cs="Times New Roman"/>
          <w:szCs w:val="32"/>
          <w:lang w:eastAsia="zh-CN"/>
        </w:rPr>
        <w:t>，</w:t>
      </w:r>
      <w:r>
        <w:rPr>
          <w:rFonts w:hint="default" w:ascii="Times New Roman" w:hAnsi="Times New Roman" w:cs="Times New Roman"/>
          <w:szCs w:val="32"/>
        </w:rPr>
        <w:t>荣获2020年</w:t>
      </w:r>
      <w:r>
        <w:rPr>
          <w:rFonts w:hint="eastAsia" w:cs="Times New Roman"/>
          <w:szCs w:val="32"/>
          <w:lang w:eastAsia="zh-CN"/>
        </w:rPr>
        <w:t>度</w:t>
      </w:r>
      <w:r>
        <w:rPr>
          <w:rFonts w:hint="default" w:ascii="Times New Roman" w:hAnsi="Times New Roman" w:cs="Times New Roman"/>
          <w:szCs w:val="32"/>
        </w:rPr>
        <w:t>全省村庄清洁行动先进单位</w:t>
      </w:r>
      <w:r>
        <w:rPr>
          <w:rFonts w:hint="eastAsia" w:cs="Times New Roman"/>
          <w:szCs w:val="32"/>
          <w:lang w:eastAsia="zh-CN"/>
        </w:rPr>
        <w:t>。</w:t>
      </w:r>
      <w:r>
        <w:rPr>
          <w:rFonts w:hint="default" w:ascii="Times New Roman" w:hAnsi="Times New Roman" w:cs="Times New Roman"/>
          <w:szCs w:val="32"/>
        </w:rPr>
        <w:t>持续推进美丽乡村建设，基本形成美丽乡村</w:t>
      </w:r>
      <w:r>
        <w:rPr>
          <w:rFonts w:hint="eastAsia" w:ascii="仿宋_GB2312" w:hAnsi="仿宋_GB2312" w:cs="仿宋_GB2312"/>
          <w:szCs w:val="32"/>
        </w:rPr>
        <w:t>“三纵三横”示范带。加快美丽乡村村庄规划，已编制</w:t>
      </w:r>
      <w:r>
        <w:rPr>
          <w:rFonts w:hint="default" w:ascii="Times New Roman" w:hAnsi="Times New Roman" w:cs="Times New Roman"/>
          <w:szCs w:val="32"/>
        </w:rPr>
        <w:t>121个行政村的村庄规划，</w:t>
      </w:r>
      <w:r>
        <w:rPr>
          <w:rFonts w:hint="eastAsia" w:cs="Times New Roman"/>
          <w:szCs w:val="32"/>
          <w:lang w:val="en-US" w:eastAsia="zh-CN"/>
        </w:rPr>
        <w:t>包括81个</w:t>
      </w:r>
      <w:r>
        <w:rPr>
          <w:rFonts w:hint="default" w:ascii="Times New Roman" w:hAnsi="Times New Roman" w:cs="Times New Roman"/>
          <w:szCs w:val="32"/>
        </w:rPr>
        <w:t>省级示范村、整治村</w:t>
      </w:r>
      <w:r>
        <w:rPr>
          <w:rFonts w:hint="eastAsia" w:cs="Times New Roman"/>
          <w:szCs w:val="32"/>
          <w:lang w:eastAsia="zh-CN"/>
        </w:rPr>
        <w:t>。</w:t>
      </w:r>
      <w:r>
        <w:rPr>
          <w:rFonts w:hint="default" w:ascii="Times New Roman" w:hAnsi="Times New Roman" w:cs="Times New Roman"/>
          <w:szCs w:val="32"/>
        </w:rPr>
        <w:t>积玉口镇万里镇村</w:t>
      </w:r>
      <w:r>
        <w:rPr>
          <w:rFonts w:hint="eastAsia" w:cs="Times New Roman"/>
          <w:szCs w:val="32"/>
          <w:lang w:val="en-US" w:eastAsia="zh-CN"/>
        </w:rPr>
        <w:t>和</w:t>
      </w:r>
      <w:r>
        <w:rPr>
          <w:rFonts w:hint="default" w:ascii="Times New Roman" w:hAnsi="Times New Roman" w:cs="Times New Roman"/>
          <w:szCs w:val="32"/>
        </w:rPr>
        <w:t>高场</w:t>
      </w:r>
      <w:r>
        <w:rPr>
          <w:rFonts w:hint="eastAsia" w:cs="Times New Roman"/>
          <w:szCs w:val="32"/>
          <w:lang w:val="en-US" w:eastAsia="zh-CN"/>
        </w:rPr>
        <w:t>街道</w:t>
      </w:r>
      <w:r>
        <w:rPr>
          <w:rFonts w:hint="default" w:ascii="Times New Roman" w:hAnsi="Times New Roman" w:cs="Times New Roman"/>
          <w:szCs w:val="32"/>
        </w:rPr>
        <w:t>高场村被列为</w:t>
      </w:r>
      <w:r>
        <w:rPr>
          <w:rFonts w:hint="eastAsia" w:ascii="仿宋_GB2312" w:hAnsi="仿宋_GB2312" w:cs="仿宋_GB2312"/>
          <w:szCs w:val="32"/>
        </w:rPr>
        <w:t>省级美丽乡村建设典型示范村。</w:t>
      </w:r>
    </w:p>
    <w:p>
      <w:pPr>
        <w:keepNext w:val="0"/>
        <w:keepLines w:val="0"/>
        <w:pageBreakBefore w:val="0"/>
        <w:widowControl w:val="0"/>
        <w:kinsoku/>
        <w:wordWrap/>
        <w:overflowPunct/>
        <w:topLinePunct w:val="0"/>
        <w:autoSpaceDE/>
        <w:autoSpaceDN/>
        <w:bidi w:val="0"/>
        <w:adjustRightInd/>
        <w:snapToGrid/>
        <w:ind w:firstLine="641"/>
        <w:textAlignment w:val="auto"/>
        <w:rPr>
          <w:rFonts w:hint="eastAsia" w:ascii="Times New Roman" w:hAnsi="Times New Roman" w:cs="Times New Roman"/>
          <w:szCs w:val="32"/>
          <w:lang w:val="en-US" w:eastAsia="zh-CN"/>
        </w:rPr>
      </w:pPr>
      <w:r>
        <w:rPr>
          <w:rFonts w:hint="eastAsia" w:cs="Times New Roman"/>
          <w:b/>
          <w:bCs/>
          <w:kern w:val="2"/>
          <w:sz w:val="32"/>
          <w:szCs w:val="32"/>
          <w:highlight w:val="none"/>
          <w:lang w:val="en-US" w:eastAsia="zh-CN" w:bidi="ar-SA"/>
        </w:rPr>
        <w:t>9</w:t>
      </w:r>
      <w:r>
        <w:rPr>
          <w:rFonts w:hint="eastAsia" w:ascii="Times New Roman" w:hAnsi="Times New Roman" w:eastAsia="仿宋_GB2312" w:cs="Times New Roman"/>
          <w:b/>
          <w:bCs/>
          <w:kern w:val="2"/>
          <w:sz w:val="32"/>
          <w:szCs w:val="32"/>
          <w:highlight w:val="none"/>
          <w:lang w:val="en-US" w:eastAsia="zh-CN" w:bidi="ar-SA"/>
        </w:rPr>
        <w:t>.</w:t>
      </w:r>
      <w:r>
        <w:rPr>
          <w:rFonts w:hint="eastAsia" w:cs="Times New Roman"/>
          <w:b/>
          <w:bCs/>
          <w:kern w:val="2"/>
          <w:sz w:val="32"/>
          <w:szCs w:val="32"/>
          <w:highlight w:val="none"/>
          <w:lang w:val="en-US" w:eastAsia="zh-CN" w:bidi="ar-SA"/>
        </w:rPr>
        <w:t>农业</w:t>
      </w:r>
      <w:r>
        <w:rPr>
          <w:rFonts w:hint="eastAsia" w:ascii="Times New Roman" w:hAnsi="Times New Roman" w:eastAsia="仿宋_GB2312" w:cs="Times New Roman"/>
          <w:b/>
          <w:bCs/>
          <w:kern w:val="2"/>
          <w:sz w:val="32"/>
          <w:szCs w:val="32"/>
          <w:highlight w:val="none"/>
          <w:lang w:val="en-US" w:eastAsia="zh-CN" w:bidi="ar-SA"/>
        </w:rPr>
        <w:t>农村改革</w:t>
      </w:r>
      <w:r>
        <w:rPr>
          <w:rFonts w:hint="eastAsia" w:cs="Times New Roman"/>
          <w:b/>
          <w:bCs/>
          <w:kern w:val="2"/>
          <w:sz w:val="32"/>
          <w:szCs w:val="32"/>
          <w:highlight w:val="none"/>
          <w:lang w:val="en-US" w:eastAsia="zh-CN" w:bidi="ar-SA"/>
        </w:rPr>
        <w:t>亮点纷呈。</w:t>
      </w:r>
      <w:bookmarkEnd w:id="23"/>
      <w:bookmarkEnd w:id="24"/>
      <w:bookmarkEnd w:id="25"/>
      <w:bookmarkEnd w:id="26"/>
      <w:r>
        <w:rPr>
          <w:rFonts w:hint="eastAsia" w:cs="Times New Roman"/>
          <w:b w:val="0"/>
          <w:bCs w:val="0"/>
          <w:kern w:val="2"/>
          <w:sz w:val="32"/>
          <w:szCs w:val="32"/>
          <w:highlight w:val="none"/>
          <w:lang w:val="en-US" w:eastAsia="zh-CN" w:bidi="ar-SA"/>
        </w:rPr>
        <w:t>2018年，</w:t>
      </w:r>
      <w:r>
        <w:rPr>
          <w:rFonts w:hint="eastAsia" w:ascii="Times New Roman" w:hAnsi="Times New Roman" w:cs="Times New Roman"/>
          <w:szCs w:val="32"/>
          <w:lang w:val="en-US" w:eastAsia="zh-CN"/>
        </w:rPr>
        <w:t>被农业农村部列为“全国农村产权制度改革试点市”，在农村集体产权制度改革方面取得突出成效，改革经验获得农业农村部表彰，并作为试点经验在全国推广</w:t>
      </w:r>
      <w:r>
        <w:rPr>
          <w:rFonts w:hint="eastAsia" w:ascii="Times New Roman" w:hAnsi="Times New Roman" w:cs="Times New Roman"/>
          <w:szCs w:val="32"/>
          <w:highlight w:val="none"/>
          <w:lang w:val="en-US" w:eastAsia="zh-CN"/>
        </w:rPr>
        <w:t>。</w:t>
      </w:r>
      <w:r>
        <w:rPr>
          <w:rFonts w:hint="eastAsia" w:cs="Times New Roman"/>
          <w:szCs w:val="32"/>
          <w:highlight w:val="none"/>
          <w:lang w:val="en-US" w:eastAsia="zh-CN"/>
        </w:rPr>
        <w:t>2019年和2020年先后</w:t>
      </w:r>
      <w:r>
        <w:rPr>
          <w:rFonts w:hint="eastAsia" w:ascii="Times New Roman" w:hAnsi="Times New Roman" w:cs="Times New Roman"/>
          <w:szCs w:val="32"/>
          <w:highlight w:val="none"/>
          <w:lang w:val="en-US" w:eastAsia="zh-CN"/>
        </w:rPr>
        <w:t>被列为“全省农村住房建设试点县市”和</w:t>
      </w:r>
      <w:r>
        <w:rPr>
          <w:rFonts w:hint="eastAsia" w:ascii="Times New Roman" w:hAnsi="Times New Roman" w:cs="Times New Roman"/>
          <w:szCs w:val="32"/>
          <w:lang w:val="en-US" w:eastAsia="zh-CN"/>
        </w:rPr>
        <w:t>“深化农村公路管养体制改革试点地区”。以“国家强化基层社合作经济属性”试点为契机，创新“政府+企业+供销社+农户”农政企联合新模式。潜江虾稻产业综合种养模式改革、供销社综合改革等走在全国前列。2019年，被授予“中国三农创新十大榜样”称号。</w:t>
      </w:r>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60" w:lineRule="exact"/>
        <w:ind w:left="0" w:leftChars="0" w:firstLine="0" w:firstLineChars="0"/>
        <w:jc w:val="center"/>
        <w:textAlignment w:val="auto"/>
        <w:outlineLvl w:val="1"/>
        <w:rPr>
          <w:rFonts w:hint="eastAsia" w:ascii="楷体" w:hAnsi="楷体" w:eastAsia="楷体" w:cs="楷体"/>
          <w:b/>
          <w:bCs/>
          <w:smallCaps w:val="0"/>
          <w:sz w:val="32"/>
          <w:szCs w:val="32"/>
          <w:lang w:val="en-US" w:eastAsia="zh-CN"/>
        </w:rPr>
      </w:pPr>
      <w:bookmarkStart w:id="27" w:name="_Toc31365"/>
      <w:bookmarkStart w:id="28" w:name="_Toc22182"/>
      <w:bookmarkStart w:id="29" w:name="_Toc29531"/>
      <w:r>
        <w:rPr>
          <w:rFonts w:hint="eastAsia" w:ascii="楷体" w:hAnsi="楷体" w:eastAsia="楷体" w:cs="楷体"/>
          <w:b/>
          <w:bCs/>
          <w:smallCaps w:val="0"/>
          <w:sz w:val="32"/>
          <w:szCs w:val="32"/>
          <w:lang w:val="en-US" w:eastAsia="zh-CN"/>
        </w:rPr>
        <w:t>第二节 “十四五”发展机遇</w:t>
      </w:r>
      <w:bookmarkEnd w:id="27"/>
      <w:bookmarkEnd w:id="28"/>
      <w:bookmarkEnd w:id="2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40"/>
        </w:rPr>
      </w:pPr>
      <w:bookmarkStart w:id="30" w:name="_Toc24878"/>
      <w:bookmarkStart w:id="31" w:name="_Toc29724"/>
      <w:bookmarkStart w:id="32" w:name="_Toc20172"/>
      <w:bookmarkStart w:id="33" w:name="_Toc17915"/>
      <w:r>
        <w:rPr>
          <w:rFonts w:hint="eastAsia" w:ascii="仿宋_GB2312" w:hAnsi="仿宋_GB2312" w:eastAsia="仿宋_GB2312" w:cs="仿宋_GB2312"/>
          <w:color w:val="auto"/>
          <w:sz w:val="32"/>
          <w:szCs w:val="40"/>
        </w:rPr>
        <w:t>“十四五”</w:t>
      </w:r>
      <w:r>
        <w:rPr>
          <w:rFonts w:hint="default" w:ascii="Times New Roman" w:hAnsi="Times New Roman" w:eastAsia="仿宋_GB2312" w:cs="Times New Roman"/>
          <w:color w:val="auto"/>
          <w:sz w:val="32"/>
          <w:szCs w:val="40"/>
        </w:rPr>
        <w:t>时期，</w:t>
      </w:r>
      <w:r>
        <w:rPr>
          <w:rFonts w:hint="eastAsia" w:ascii="Times New Roman" w:hAnsi="Times New Roman" w:eastAsia="仿宋_GB2312" w:cs="Times New Roman"/>
          <w:color w:val="auto"/>
          <w:sz w:val="32"/>
          <w:szCs w:val="40"/>
          <w:lang w:eastAsia="zh-CN"/>
        </w:rPr>
        <w:t>全市</w:t>
      </w:r>
      <w:r>
        <w:rPr>
          <w:rFonts w:hint="default" w:ascii="Times New Roman" w:hAnsi="Times New Roman" w:eastAsia="仿宋_GB2312" w:cs="Times New Roman"/>
          <w:color w:val="auto"/>
          <w:sz w:val="32"/>
          <w:szCs w:val="40"/>
        </w:rPr>
        <w:t>农业农村发展面临</w:t>
      </w:r>
      <w:r>
        <w:rPr>
          <w:rFonts w:hint="eastAsia" w:ascii="Times New Roman" w:hAnsi="Times New Roman" w:eastAsia="仿宋_GB2312" w:cs="Times New Roman"/>
          <w:color w:val="auto"/>
          <w:sz w:val="32"/>
          <w:szCs w:val="40"/>
          <w:lang w:eastAsia="zh-CN"/>
        </w:rPr>
        <w:t>多重</w:t>
      </w:r>
      <w:r>
        <w:rPr>
          <w:rFonts w:hint="default" w:ascii="Times New Roman" w:hAnsi="Times New Roman" w:eastAsia="仿宋_GB2312" w:cs="Times New Roman"/>
          <w:color w:val="auto"/>
          <w:sz w:val="32"/>
          <w:szCs w:val="40"/>
        </w:rPr>
        <w:t>机遇。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40"/>
        </w:rPr>
      </w:pPr>
      <w:r>
        <w:rPr>
          <w:rFonts w:hint="eastAsia" w:ascii="Times New Roman" w:hAnsi="Times New Roman" w:cs="Times New Roman"/>
          <w:b/>
          <w:color w:val="auto"/>
          <w:sz w:val="32"/>
          <w:szCs w:val="40"/>
          <w:highlight w:val="none"/>
          <w:lang w:eastAsia="zh-CN"/>
        </w:rPr>
        <w:t>——</w:t>
      </w:r>
      <w:r>
        <w:rPr>
          <w:rFonts w:hint="default" w:ascii="Times New Roman" w:hAnsi="Times New Roman" w:eastAsia="仿宋_GB2312" w:cs="Times New Roman"/>
          <w:b/>
          <w:color w:val="auto"/>
          <w:sz w:val="32"/>
          <w:szCs w:val="40"/>
          <w:highlight w:val="none"/>
        </w:rPr>
        <w:t>从国家层面看</w:t>
      </w:r>
      <w:r>
        <w:rPr>
          <w:rFonts w:hint="default" w:ascii="Times New Roman" w:hAnsi="Times New Roman" w:eastAsia="仿宋_GB2312" w:cs="Times New Roman"/>
          <w:color w:val="auto"/>
          <w:sz w:val="32"/>
          <w:szCs w:val="40"/>
          <w:highlight w:val="none"/>
        </w:rPr>
        <w:t>，党的十九大报告提出，大力实施乡村振兴战略，强调坚持农业农村优先发展</w:t>
      </w:r>
      <w:r>
        <w:rPr>
          <w:rFonts w:hint="eastAsia" w:cs="Times New Roman"/>
          <w:color w:val="auto"/>
          <w:sz w:val="32"/>
          <w:szCs w:val="40"/>
          <w:highlight w:val="none"/>
          <w:lang w:eastAsia="zh-CN"/>
        </w:rPr>
        <w:t>，</w:t>
      </w:r>
      <w:r>
        <w:rPr>
          <w:rFonts w:hint="eastAsia" w:cs="Times New Roman"/>
          <w:color w:val="auto"/>
          <w:sz w:val="32"/>
          <w:szCs w:val="40"/>
          <w:highlight w:val="none"/>
          <w:lang w:val="en-US" w:eastAsia="zh-CN"/>
        </w:rPr>
        <w:t>并出台了</w:t>
      </w:r>
      <w:r>
        <w:rPr>
          <w:rFonts w:hint="default" w:ascii="Times New Roman" w:hAnsi="Times New Roman" w:eastAsia="仿宋_GB2312" w:cs="Times New Roman"/>
          <w:color w:val="auto"/>
          <w:sz w:val="32"/>
          <w:szCs w:val="40"/>
          <w:highlight w:val="none"/>
        </w:rPr>
        <w:t>《中华人民共和国乡村振兴促进法》</w:t>
      </w:r>
      <w:r>
        <w:rPr>
          <w:rFonts w:hint="eastAsia" w:cs="Times New Roman"/>
          <w:color w:val="auto"/>
          <w:sz w:val="32"/>
          <w:szCs w:val="40"/>
          <w:highlight w:val="none"/>
          <w:lang w:eastAsia="zh-CN"/>
        </w:rPr>
        <w:t>，</w:t>
      </w:r>
      <w:r>
        <w:rPr>
          <w:rFonts w:hint="eastAsia" w:cs="Times New Roman"/>
          <w:color w:val="auto"/>
          <w:sz w:val="32"/>
          <w:szCs w:val="40"/>
          <w:highlight w:val="none"/>
          <w:lang w:val="en-US" w:eastAsia="zh-CN"/>
        </w:rPr>
        <w:t>这为</w:t>
      </w:r>
      <w:r>
        <w:rPr>
          <w:rFonts w:hint="default" w:ascii="Times New Roman" w:hAnsi="Times New Roman" w:eastAsia="仿宋_GB2312" w:cs="Times New Roman"/>
          <w:color w:val="auto"/>
          <w:sz w:val="32"/>
          <w:szCs w:val="40"/>
          <w:highlight w:val="none"/>
        </w:rPr>
        <w:t>促进农业全面升级、农村全面进步、农民全面发展</w:t>
      </w:r>
      <w:r>
        <w:rPr>
          <w:rFonts w:hint="eastAsia" w:cs="Times New Roman"/>
          <w:color w:val="auto"/>
          <w:sz w:val="32"/>
          <w:szCs w:val="40"/>
          <w:highlight w:val="none"/>
          <w:lang w:val="en-US" w:eastAsia="zh-CN"/>
        </w:rPr>
        <w:t>带来了重大机遇</w:t>
      </w:r>
      <w:r>
        <w:rPr>
          <w:rFonts w:hint="eastAsia" w:cs="Times New Roman"/>
          <w:color w:val="auto"/>
          <w:sz w:val="32"/>
          <w:szCs w:val="40"/>
          <w:highlight w:val="none"/>
          <w:lang w:eastAsia="zh-CN"/>
        </w:rPr>
        <w:t>。</w:t>
      </w:r>
      <w:r>
        <w:rPr>
          <w:rFonts w:hint="default" w:ascii="Times New Roman" w:hAnsi="Times New Roman" w:eastAsia="仿宋_GB2312" w:cs="Times New Roman"/>
          <w:color w:val="auto"/>
          <w:sz w:val="32"/>
          <w:szCs w:val="40"/>
        </w:rPr>
        <w:t>同时，湖北是多个国家战略的重要交汇点，是国内大循环的重要节点和国内国际双循环的战略链接，也是中部崛起的重要战略支点。潜江</w:t>
      </w:r>
      <w:r>
        <w:rPr>
          <w:rFonts w:hint="eastAsia" w:ascii="Times New Roman" w:hAnsi="Times New Roman" w:cs="Times New Roman"/>
          <w:color w:val="auto"/>
          <w:sz w:val="32"/>
          <w:szCs w:val="40"/>
          <w:lang w:val="en-US" w:eastAsia="zh-CN"/>
        </w:rPr>
        <w:t>地处“一带一路”、中部崛起</w:t>
      </w:r>
      <w:r>
        <w:rPr>
          <w:rFonts w:hint="eastAsia" w:cs="Times New Roman"/>
          <w:color w:val="auto"/>
          <w:sz w:val="32"/>
          <w:szCs w:val="40"/>
          <w:lang w:val="en-US" w:eastAsia="zh-CN"/>
        </w:rPr>
        <w:t>、</w:t>
      </w:r>
      <w:r>
        <w:rPr>
          <w:rFonts w:hint="default" w:ascii="Times New Roman" w:hAnsi="Times New Roman" w:eastAsia="仿宋_GB2312" w:cs="Times New Roman"/>
          <w:color w:val="auto"/>
          <w:sz w:val="32"/>
          <w:szCs w:val="40"/>
        </w:rPr>
        <w:t>长江经济带、汉江生态经济带</w:t>
      </w:r>
      <w:r>
        <w:rPr>
          <w:rFonts w:hint="eastAsia" w:cs="Times New Roman"/>
          <w:color w:val="auto"/>
          <w:sz w:val="32"/>
          <w:szCs w:val="40"/>
          <w:lang w:val="en-US" w:eastAsia="zh-CN"/>
        </w:rPr>
        <w:t>和</w:t>
      </w:r>
      <w:r>
        <w:rPr>
          <w:rFonts w:hint="default" w:ascii="Times New Roman" w:hAnsi="Times New Roman" w:eastAsia="仿宋_GB2312" w:cs="Times New Roman"/>
          <w:color w:val="auto"/>
          <w:sz w:val="32"/>
          <w:szCs w:val="40"/>
        </w:rPr>
        <w:t>长江中下游城市群等多个国家级战略机遇叠加区</w:t>
      </w:r>
      <w:r>
        <w:rPr>
          <w:rFonts w:hint="eastAsia" w:ascii="Times New Roman" w:hAnsi="Times New Roman" w:cs="Times New Roman"/>
          <w:color w:val="auto"/>
          <w:sz w:val="32"/>
          <w:szCs w:val="40"/>
          <w:lang w:eastAsia="zh-CN"/>
        </w:rPr>
        <w:t>。</w:t>
      </w:r>
      <w:r>
        <w:rPr>
          <w:rFonts w:hint="eastAsia" w:ascii="Times New Roman" w:hAnsi="Times New Roman" w:cs="Times New Roman"/>
          <w:color w:val="auto"/>
          <w:sz w:val="32"/>
          <w:szCs w:val="40"/>
          <w:lang w:val="en-US" w:eastAsia="zh-CN"/>
        </w:rPr>
        <w:t>多重战略机遇</w:t>
      </w:r>
      <w:r>
        <w:rPr>
          <w:rFonts w:hint="eastAsia" w:ascii="Times New Roman" w:hAnsi="Times New Roman" w:cs="Times New Roman"/>
          <w:color w:val="auto"/>
          <w:sz w:val="32"/>
          <w:szCs w:val="40"/>
          <w:lang w:eastAsia="zh-CN"/>
        </w:rPr>
        <w:t>叠加</w:t>
      </w:r>
      <w:r>
        <w:rPr>
          <w:rFonts w:hint="eastAsia" w:cs="Times New Roman"/>
          <w:color w:val="auto"/>
          <w:sz w:val="32"/>
          <w:szCs w:val="40"/>
          <w:lang w:val="en-US" w:eastAsia="zh-CN"/>
        </w:rPr>
        <w:t>将</w:t>
      </w:r>
      <w:r>
        <w:rPr>
          <w:rFonts w:hint="eastAsia" w:ascii="Times New Roman" w:hAnsi="Times New Roman" w:cs="Times New Roman"/>
          <w:color w:val="auto"/>
          <w:sz w:val="32"/>
          <w:szCs w:val="40"/>
          <w:lang w:val="en-US" w:eastAsia="zh-CN"/>
        </w:rPr>
        <w:t>为</w:t>
      </w:r>
      <w:r>
        <w:rPr>
          <w:rFonts w:hint="eastAsia" w:ascii="Times New Roman" w:hAnsi="Times New Roman" w:cs="Times New Roman"/>
          <w:color w:val="auto"/>
          <w:sz w:val="32"/>
          <w:szCs w:val="40"/>
          <w:lang w:eastAsia="zh-CN"/>
        </w:rPr>
        <w:t>潜江</w:t>
      </w:r>
      <w:r>
        <w:rPr>
          <w:rFonts w:hint="eastAsia" w:ascii="Times New Roman" w:hAnsi="Times New Roman" w:cs="Times New Roman"/>
          <w:color w:val="auto"/>
          <w:sz w:val="32"/>
          <w:szCs w:val="40"/>
          <w:lang w:val="en-US" w:eastAsia="zh-CN"/>
        </w:rPr>
        <w:t>农业</w:t>
      </w:r>
      <w:r>
        <w:rPr>
          <w:rFonts w:hint="eastAsia" w:cs="Times New Roman"/>
          <w:color w:val="auto"/>
          <w:sz w:val="32"/>
          <w:szCs w:val="40"/>
          <w:lang w:val="en-US" w:eastAsia="zh-CN"/>
        </w:rPr>
        <w:t>农村</w:t>
      </w:r>
      <w:r>
        <w:rPr>
          <w:rFonts w:hint="eastAsia" w:ascii="Times New Roman" w:hAnsi="Times New Roman" w:cs="Times New Roman"/>
          <w:color w:val="auto"/>
          <w:sz w:val="32"/>
          <w:szCs w:val="40"/>
          <w:lang w:eastAsia="zh-CN"/>
        </w:rPr>
        <w:t>发展释放更多</w:t>
      </w:r>
      <w:r>
        <w:rPr>
          <w:rFonts w:hint="eastAsia" w:ascii="Times New Roman" w:hAnsi="Times New Roman" w:cs="Times New Roman"/>
          <w:color w:val="auto"/>
          <w:sz w:val="32"/>
          <w:szCs w:val="40"/>
          <w:lang w:val="en-US" w:eastAsia="zh-CN"/>
        </w:rPr>
        <w:t>红利</w:t>
      </w:r>
      <w:r>
        <w:rPr>
          <w:rFonts w:hint="eastAsia" w:ascii="Times New Roman" w:hAnsi="Times New Roman" w:cs="Times New Roman"/>
          <w:color w:val="auto"/>
          <w:sz w:val="32"/>
          <w:szCs w:val="40"/>
          <w:lang w:eastAsia="zh-CN"/>
        </w:rPr>
        <w:t>，同时也</w:t>
      </w:r>
      <w:r>
        <w:rPr>
          <w:rFonts w:hint="default" w:ascii="Times New Roman" w:hAnsi="Times New Roman" w:eastAsia="仿宋_GB2312" w:cs="Times New Roman"/>
          <w:color w:val="auto"/>
          <w:sz w:val="32"/>
          <w:szCs w:val="40"/>
        </w:rPr>
        <w:t>有利于深化</w:t>
      </w:r>
      <w:r>
        <w:rPr>
          <w:rFonts w:hint="eastAsia" w:ascii="Times New Roman" w:hAnsi="Times New Roman" w:cs="Times New Roman"/>
          <w:color w:val="auto"/>
          <w:sz w:val="32"/>
          <w:szCs w:val="40"/>
          <w:lang w:val="en-US" w:eastAsia="zh-CN"/>
        </w:rPr>
        <w:t>潜江</w:t>
      </w:r>
      <w:r>
        <w:rPr>
          <w:rFonts w:hint="eastAsia" w:cs="Times New Roman"/>
          <w:color w:val="auto"/>
          <w:sz w:val="32"/>
          <w:szCs w:val="40"/>
          <w:lang w:val="en-US" w:eastAsia="zh-CN"/>
        </w:rPr>
        <w:t>农业</w:t>
      </w:r>
      <w:r>
        <w:rPr>
          <w:rFonts w:hint="default" w:ascii="Times New Roman" w:hAnsi="Times New Roman" w:eastAsia="仿宋_GB2312" w:cs="Times New Roman"/>
          <w:color w:val="auto"/>
          <w:sz w:val="32"/>
          <w:szCs w:val="40"/>
        </w:rPr>
        <w:t>对外开放格局，加强与沿江、沿海等区域合作</w:t>
      </w:r>
      <w:r>
        <w:rPr>
          <w:rFonts w:hint="eastAsia" w:ascii="Times New Roman" w:hAnsi="Times New Roman" w:cs="Times New Roman"/>
          <w:color w:val="auto"/>
          <w:sz w:val="32"/>
          <w:szCs w:val="40"/>
          <w:lang w:eastAsia="zh-CN"/>
        </w:rPr>
        <w:t>，</w:t>
      </w:r>
      <w:r>
        <w:rPr>
          <w:rFonts w:hint="default" w:ascii="Times New Roman" w:hAnsi="Times New Roman" w:eastAsia="仿宋_GB2312" w:cs="Times New Roman"/>
          <w:color w:val="auto"/>
          <w:sz w:val="32"/>
          <w:szCs w:val="40"/>
        </w:rPr>
        <w:t>为</w:t>
      </w:r>
      <w:r>
        <w:rPr>
          <w:rFonts w:hint="eastAsia" w:cs="Times New Roman"/>
          <w:color w:val="auto"/>
          <w:sz w:val="32"/>
          <w:szCs w:val="40"/>
          <w:lang w:val="en-US" w:eastAsia="zh-CN"/>
        </w:rPr>
        <w:t>全</w:t>
      </w:r>
      <w:r>
        <w:rPr>
          <w:rFonts w:hint="default" w:ascii="Times New Roman" w:hAnsi="Times New Roman" w:eastAsia="仿宋_GB2312" w:cs="Times New Roman"/>
          <w:color w:val="auto"/>
          <w:sz w:val="32"/>
          <w:szCs w:val="40"/>
        </w:rPr>
        <w:t>市农业科技发展、乡村人才引进、招商引资和产业衔接等方面带来新的发展</w:t>
      </w:r>
      <w:r>
        <w:rPr>
          <w:rFonts w:hint="eastAsia" w:ascii="Times New Roman" w:hAnsi="Times New Roman" w:cs="Times New Roman"/>
          <w:color w:val="auto"/>
          <w:sz w:val="32"/>
          <w:szCs w:val="40"/>
          <w:lang w:val="en-US" w:eastAsia="zh-CN"/>
        </w:rPr>
        <w:t>动力</w:t>
      </w:r>
      <w:r>
        <w:rPr>
          <w:rFonts w:hint="default" w:ascii="Times New Roman" w:hAnsi="Times New Roman" w:eastAsia="仿宋_GB2312" w:cs="Times New Roman"/>
          <w:color w:val="auto"/>
          <w:sz w:val="32"/>
          <w:szCs w:val="40"/>
        </w:rPr>
        <w:t>。</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Times New Roman" w:hAnsi="Times New Roman" w:eastAsia="仿宋_GB2312" w:cs="Times New Roman"/>
          <w:color w:val="auto"/>
          <w:kern w:val="2"/>
          <w:sz w:val="32"/>
          <w:szCs w:val="40"/>
          <w:highlight w:val="none"/>
          <w:lang w:val="en-US" w:eastAsia="zh-CN" w:bidi="ar-SA"/>
        </w:rPr>
      </w:pPr>
      <w:r>
        <w:rPr>
          <w:rFonts w:hint="eastAsia" w:ascii="Times New Roman" w:hAnsi="Times New Roman" w:eastAsia="仿宋_GB2312" w:cs="Times New Roman"/>
          <w:b/>
          <w:bCs/>
          <w:color w:val="auto"/>
          <w:kern w:val="2"/>
          <w:sz w:val="32"/>
          <w:szCs w:val="40"/>
          <w:highlight w:val="none"/>
          <w:lang w:val="en-US" w:eastAsia="zh-CN" w:bidi="ar-SA"/>
        </w:rPr>
        <w:t>——从省</w:t>
      </w:r>
      <w:r>
        <w:rPr>
          <w:rFonts w:hint="eastAsia" w:cs="Times New Roman"/>
          <w:b/>
          <w:bCs/>
          <w:color w:val="auto"/>
          <w:kern w:val="2"/>
          <w:sz w:val="32"/>
          <w:szCs w:val="40"/>
          <w:highlight w:val="none"/>
          <w:lang w:val="en-US" w:eastAsia="zh-CN" w:bidi="ar-SA"/>
        </w:rPr>
        <w:t>市</w:t>
      </w:r>
      <w:r>
        <w:rPr>
          <w:rFonts w:hint="eastAsia" w:ascii="Times New Roman" w:hAnsi="Times New Roman" w:eastAsia="仿宋_GB2312" w:cs="Times New Roman"/>
          <w:b/>
          <w:bCs/>
          <w:color w:val="auto"/>
          <w:kern w:val="2"/>
          <w:sz w:val="32"/>
          <w:szCs w:val="40"/>
          <w:highlight w:val="none"/>
          <w:lang w:val="en-US" w:eastAsia="zh-CN" w:bidi="ar-SA"/>
        </w:rPr>
        <w:t>层面看，</w:t>
      </w:r>
      <w:r>
        <w:rPr>
          <w:rFonts w:hint="eastAsia" w:ascii="Times New Roman" w:hAnsi="Times New Roman" w:eastAsia="仿宋_GB2312" w:cs="Times New Roman"/>
          <w:color w:val="auto"/>
          <w:kern w:val="2"/>
          <w:sz w:val="32"/>
          <w:szCs w:val="40"/>
          <w:highlight w:val="none"/>
          <w:lang w:val="en-US" w:eastAsia="zh-CN" w:bidi="ar-SA"/>
        </w:rPr>
        <w:t>湖北实施“一主引领、两翼驱动、全域协同”</w:t>
      </w:r>
      <w:r>
        <w:rPr>
          <w:rFonts w:hint="eastAsia" w:cs="Times New Roman"/>
          <w:color w:val="auto"/>
          <w:kern w:val="2"/>
          <w:sz w:val="32"/>
          <w:szCs w:val="40"/>
          <w:highlight w:val="none"/>
          <w:lang w:val="en-US" w:eastAsia="zh-CN" w:bidi="ar-SA"/>
        </w:rPr>
        <w:t>区域</w:t>
      </w:r>
      <w:r>
        <w:rPr>
          <w:rFonts w:hint="eastAsia" w:ascii="Times New Roman" w:hAnsi="Times New Roman" w:eastAsia="仿宋_GB2312" w:cs="Times New Roman"/>
          <w:color w:val="auto"/>
          <w:kern w:val="2"/>
          <w:sz w:val="32"/>
          <w:szCs w:val="40"/>
          <w:highlight w:val="none"/>
          <w:lang w:val="en-US" w:eastAsia="zh-CN" w:bidi="ar-SA"/>
        </w:rPr>
        <w:t>布局，提出要推进以县城为重要载体的城镇化建设，推动产业、要素聚集发展，打造优势特色产业，做大做强块状经济。潜江作为武汉城市圈重要节点城市，也是“宜荆荆恩”城市群扇面型发展</w:t>
      </w:r>
      <w:r>
        <w:rPr>
          <w:rFonts w:hint="eastAsia" w:cs="Times New Roman"/>
          <w:color w:val="auto"/>
          <w:kern w:val="2"/>
          <w:sz w:val="32"/>
          <w:szCs w:val="40"/>
          <w:highlight w:val="none"/>
          <w:lang w:val="en-US" w:eastAsia="zh-CN" w:bidi="ar-SA"/>
        </w:rPr>
        <w:t>辐射区域</w:t>
      </w:r>
      <w:r>
        <w:rPr>
          <w:rFonts w:hint="eastAsia" w:ascii="Times New Roman" w:hAnsi="Times New Roman" w:eastAsia="仿宋_GB2312" w:cs="Times New Roman"/>
          <w:color w:val="auto"/>
          <w:kern w:val="2"/>
          <w:sz w:val="32"/>
          <w:szCs w:val="40"/>
          <w:highlight w:val="none"/>
          <w:lang w:val="en-US" w:eastAsia="zh-CN" w:bidi="ar-SA"/>
        </w:rPr>
        <w:t>，省级发展战略布局将进一步助推潜江打造特色鲜明、集中度高、关联性强</w:t>
      </w:r>
      <w:r>
        <w:rPr>
          <w:rFonts w:hint="eastAsia" w:cs="Times New Roman"/>
          <w:color w:val="auto"/>
          <w:kern w:val="2"/>
          <w:sz w:val="32"/>
          <w:szCs w:val="40"/>
          <w:highlight w:val="none"/>
          <w:lang w:val="en-US" w:eastAsia="zh-CN" w:bidi="ar-SA"/>
        </w:rPr>
        <w:t>和</w:t>
      </w:r>
      <w:r>
        <w:rPr>
          <w:rFonts w:hint="eastAsia" w:ascii="Times New Roman" w:hAnsi="Times New Roman" w:eastAsia="仿宋_GB2312" w:cs="Times New Roman"/>
          <w:color w:val="auto"/>
          <w:kern w:val="2"/>
          <w:sz w:val="32"/>
          <w:szCs w:val="40"/>
          <w:highlight w:val="none"/>
          <w:lang w:val="en-US" w:eastAsia="zh-CN" w:bidi="ar-SA"/>
        </w:rPr>
        <w:t>竞争力强的</w:t>
      </w:r>
      <w:r>
        <w:rPr>
          <w:rFonts w:hint="eastAsia" w:cs="Times New Roman"/>
          <w:color w:val="auto"/>
          <w:kern w:val="2"/>
          <w:sz w:val="32"/>
          <w:szCs w:val="40"/>
          <w:highlight w:val="none"/>
          <w:lang w:val="en-US" w:eastAsia="zh-CN" w:bidi="ar-SA"/>
        </w:rPr>
        <w:t>潜江龙虾、潜江虾-稻、潜江半夏和潜江大豆主导</w:t>
      </w:r>
      <w:r>
        <w:rPr>
          <w:rFonts w:hint="eastAsia" w:ascii="Times New Roman" w:hAnsi="Times New Roman" w:eastAsia="仿宋_GB2312" w:cs="Times New Roman"/>
          <w:color w:val="auto"/>
          <w:kern w:val="2"/>
          <w:sz w:val="32"/>
          <w:szCs w:val="40"/>
          <w:highlight w:val="none"/>
          <w:lang w:val="en-US" w:eastAsia="zh-CN" w:bidi="ar-SA"/>
        </w:rPr>
        <w:t>产业集群，将推动农业研发、生产、加工、储运、销售、品牌、体验、消费</w:t>
      </w:r>
      <w:r>
        <w:rPr>
          <w:rFonts w:hint="eastAsia" w:cs="Times New Roman"/>
          <w:color w:val="auto"/>
          <w:kern w:val="2"/>
          <w:sz w:val="32"/>
          <w:szCs w:val="40"/>
          <w:highlight w:val="none"/>
          <w:lang w:val="en-US" w:eastAsia="zh-CN" w:bidi="ar-SA"/>
        </w:rPr>
        <w:t>、</w:t>
      </w:r>
      <w:r>
        <w:rPr>
          <w:rFonts w:hint="eastAsia" w:ascii="Times New Roman" w:hAnsi="Times New Roman" w:eastAsia="仿宋_GB2312" w:cs="Times New Roman"/>
          <w:color w:val="auto"/>
          <w:kern w:val="2"/>
          <w:sz w:val="32"/>
          <w:szCs w:val="40"/>
          <w:highlight w:val="none"/>
          <w:lang w:val="en-US" w:eastAsia="zh-CN" w:bidi="ar-SA"/>
        </w:rPr>
        <w:t>服务等环节和主体紧密关联、有效衔接、耦合配套、协同发展</w:t>
      </w:r>
      <w:r>
        <w:rPr>
          <w:rFonts w:hint="eastAsia" w:cs="Times New Roman"/>
          <w:color w:val="auto"/>
          <w:kern w:val="2"/>
          <w:sz w:val="32"/>
          <w:szCs w:val="40"/>
          <w:highlight w:val="none"/>
          <w:lang w:val="en-US" w:eastAsia="zh-CN" w:bidi="ar-SA"/>
        </w:rPr>
        <w:t>，</w:t>
      </w:r>
      <w:r>
        <w:rPr>
          <w:rFonts w:hint="eastAsia" w:ascii="Times New Roman" w:hAnsi="Times New Roman" w:eastAsia="仿宋_GB2312" w:cs="Times New Roman"/>
          <w:color w:val="auto"/>
          <w:kern w:val="2"/>
          <w:sz w:val="32"/>
          <w:szCs w:val="40"/>
          <w:highlight w:val="none"/>
          <w:lang w:val="en-US" w:eastAsia="zh-CN" w:bidi="ar-SA"/>
        </w:rPr>
        <w:t>进而为潜江由农业大市向农业强市转变提供良好契机。同时将全面带动</w:t>
      </w:r>
      <w:r>
        <w:rPr>
          <w:rFonts w:hint="eastAsia" w:cs="Times New Roman"/>
          <w:color w:val="auto"/>
          <w:kern w:val="2"/>
          <w:sz w:val="32"/>
          <w:szCs w:val="40"/>
          <w:highlight w:val="none"/>
          <w:lang w:val="en-US" w:eastAsia="zh-CN" w:bidi="ar-SA"/>
        </w:rPr>
        <w:t>乡村</w:t>
      </w:r>
      <w:r>
        <w:rPr>
          <w:rFonts w:hint="eastAsia" w:ascii="Times New Roman" w:hAnsi="Times New Roman" w:eastAsia="仿宋_GB2312" w:cs="Times New Roman"/>
          <w:color w:val="auto"/>
          <w:kern w:val="2"/>
          <w:sz w:val="32"/>
          <w:szCs w:val="40"/>
          <w:highlight w:val="none"/>
          <w:lang w:val="en-US" w:eastAsia="zh-CN" w:bidi="ar-SA"/>
        </w:rPr>
        <w:t>基础设施建设</w:t>
      </w:r>
      <w:r>
        <w:rPr>
          <w:rFonts w:hint="eastAsia" w:cs="Times New Roman"/>
          <w:color w:val="auto"/>
          <w:kern w:val="2"/>
          <w:sz w:val="32"/>
          <w:szCs w:val="40"/>
          <w:highlight w:val="none"/>
          <w:lang w:val="en-US" w:eastAsia="zh-CN" w:bidi="ar-SA"/>
        </w:rPr>
        <w:t>和美丽村镇</w:t>
      </w:r>
      <w:r>
        <w:rPr>
          <w:rFonts w:hint="eastAsia" w:ascii="Times New Roman" w:hAnsi="Times New Roman" w:eastAsia="仿宋_GB2312" w:cs="Times New Roman"/>
          <w:color w:val="auto"/>
          <w:kern w:val="2"/>
          <w:sz w:val="32"/>
          <w:szCs w:val="40"/>
          <w:highlight w:val="none"/>
          <w:lang w:val="en-US" w:eastAsia="zh-CN" w:bidi="ar-SA"/>
        </w:rPr>
        <w:t>建设</w:t>
      </w:r>
      <w:r>
        <w:rPr>
          <w:rFonts w:hint="eastAsia" w:cs="Times New Roman"/>
          <w:color w:val="auto"/>
          <w:kern w:val="2"/>
          <w:sz w:val="32"/>
          <w:szCs w:val="40"/>
          <w:highlight w:val="none"/>
          <w:lang w:val="en-US" w:eastAsia="zh-CN" w:bidi="ar-SA"/>
        </w:rPr>
        <w:t>，促进</w:t>
      </w:r>
      <w:r>
        <w:rPr>
          <w:rFonts w:hint="eastAsia" w:ascii="Times New Roman" w:hAnsi="Times New Roman" w:eastAsia="仿宋_GB2312" w:cs="Times New Roman"/>
          <w:color w:val="auto"/>
          <w:kern w:val="2"/>
          <w:sz w:val="32"/>
          <w:szCs w:val="40"/>
          <w:highlight w:val="none"/>
          <w:lang w:val="en-US" w:eastAsia="zh-CN" w:bidi="ar-SA"/>
        </w:rPr>
        <w:t>城乡公共服务一体化，为推进</w:t>
      </w:r>
      <w:r>
        <w:rPr>
          <w:rFonts w:hint="eastAsia" w:cs="Times New Roman"/>
          <w:color w:val="auto"/>
          <w:kern w:val="2"/>
          <w:sz w:val="32"/>
          <w:szCs w:val="40"/>
          <w:highlight w:val="none"/>
          <w:lang w:val="en-US" w:eastAsia="zh-CN" w:bidi="ar-SA"/>
        </w:rPr>
        <w:t>全市</w:t>
      </w:r>
      <w:r>
        <w:rPr>
          <w:rFonts w:hint="eastAsia" w:ascii="Times New Roman" w:hAnsi="Times New Roman" w:eastAsia="仿宋_GB2312" w:cs="Times New Roman"/>
          <w:color w:val="auto"/>
          <w:kern w:val="2"/>
          <w:sz w:val="32"/>
          <w:szCs w:val="40"/>
          <w:highlight w:val="none"/>
          <w:lang w:val="en-US" w:eastAsia="zh-CN" w:bidi="ar-SA"/>
        </w:rPr>
        <w:t>城乡融合发展带来新机遇。</w:t>
      </w:r>
    </w:p>
    <w:p>
      <w:pPr>
        <w:widowControl w:val="0"/>
        <w:ind w:firstLine="643" w:firstLineChars="200"/>
        <w:jc w:val="both"/>
        <w:rPr>
          <w:rFonts w:hint="eastAsia" w:ascii="楷体" w:hAnsi="楷体" w:eastAsia="楷体" w:cs="楷体"/>
          <w:b/>
          <w:bCs/>
          <w:smallCaps w:val="0"/>
          <w:sz w:val="32"/>
          <w:szCs w:val="32"/>
          <w:lang w:val="en-US" w:eastAsia="zh-CN"/>
        </w:rPr>
      </w:pPr>
      <w:r>
        <w:rPr>
          <w:rFonts w:hint="eastAsia" w:cs="Times New Roman"/>
          <w:b/>
          <w:color w:val="auto"/>
          <w:sz w:val="32"/>
          <w:szCs w:val="40"/>
          <w:highlight w:val="none"/>
          <w:lang w:eastAsia="zh-CN"/>
        </w:rPr>
        <w:t>——</w:t>
      </w:r>
      <w:r>
        <w:rPr>
          <w:rFonts w:hint="default" w:ascii="Times New Roman" w:hAnsi="Times New Roman" w:eastAsia="仿宋_GB2312" w:cs="Times New Roman"/>
          <w:b/>
          <w:color w:val="auto"/>
          <w:sz w:val="32"/>
          <w:szCs w:val="40"/>
          <w:highlight w:val="none"/>
        </w:rPr>
        <w:t>从</w:t>
      </w:r>
      <w:r>
        <w:rPr>
          <w:rFonts w:hint="eastAsia" w:cs="Times New Roman"/>
          <w:b/>
          <w:color w:val="auto"/>
          <w:sz w:val="32"/>
          <w:szCs w:val="40"/>
          <w:highlight w:val="none"/>
          <w:lang w:val="en-US" w:eastAsia="zh-CN"/>
        </w:rPr>
        <w:t>市级</w:t>
      </w:r>
      <w:r>
        <w:rPr>
          <w:rFonts w:hint="default" w:ascii="Times New Roman" w:hAnsi="Times New Roman" w:eastAsia="仿宋_GB2312" w:cs="Times New Roman"/>
          <w:b/>
          <w:color w:val="auto"/>
          <w:sz w:val="32"/>
          <w:szCs w:val="40"/>
          <w:highlight w:val="none"/>
        </w:rPr>
        <w:t>实际看</w:t>
      </w:r>
      <w:r>
        <w:rPr>
          <w:rFonts w:hint="default" w:ascii="Times New Roman" w:hAnsi="Times New Roman" w:eastAsia="仿宋_GB2312" w:cs="Times New Roman"/>
          <w:color w:val="auto"/>
          <w:sz w:val="32"/>
          <w:szCs w:val="40"/>
          <w:highlight w:val="none"/>
        </w:rPr>
        <w:t>，</w:t>
      </w:r>
      <w:r>
        <w:rPr>
          <w:rFonts w:hint="eastAsia" w:cs="Times New Roman"/>
          <w:color w:val="auto"/>
          <w:sz w:val="32"/>
          <w:szCs w:val="40"/>
          <w:highlight w:val="none"/>
          <w:lang w:val="en-US" w:eastAsia="zh-CN"/>
        </w:rPr>
        <w:t>全市聚焦“百强进位”目标，实施</w:t>
      </w:r>
      <w:r>
        <w:rPr>
          <w:rFonts w:hint="eastAsia" w:cs="Times New Roman"/>
          <w:color w:val="auto"/>
          <w:sz w:val="32"/>
          <w:szCs w:val="40"/>
          <w:highlight w:val="none"/>
          <w:lang w:eastAsia="zh-CN"/>
        </w:rPr>
        <w:t>“一城两区三基地”</w:t>
      </w:r>
      <w:r>
        <w:rPr>
          <w:rStyle w:val="32"/>
          <w:rFonts w:hint="eastAsia" w:cs="Times New Roman"/>
          <w:color w:val="auto"/>
          <w:sz w:val="32"/>
          <w:szCs w:val="40"/>
          <w:highlight w:val="none"/>
          <w:lang w:eastAsia="zh-CN"/>
        </w:rPr>
        <w:footnoteReference w:id="0"/>
      </w:r>
      <w:r>
        <w:rPr>
          <w:rFonts w:hint="eastAsia" w:cs="Times New Roman"/>
          <w:color w:val="auto"/>
          <w:sz w:val="32"/>
          <w:szCs w:val="40"/>
          <w:highlight w:val="none"/>
          <w:lang w:val="en-US" w:eastAsia="zh-CN"/>
        </w:rPr>
        <w:t>发展战略及“接东连西、左右逢源”发展策略，将加速推进中心城镇和产业园区对接融合，加快农业特色小镇、农旅特色产业及“口子镇”发展；推动以潜江虾-稻和潜江半夏等产业为主导的西片特色产业聚集区发展；促进农村一二三产业融合发展；加快垦区集团化、农场企业化改革步伐；加快融入武汉城市圈和“宜荆荆恩”城市群一体化发展，为缩小城乡发展差距、破除城乡二元结构、推进镇域经济振兴带来机遇，对推动形成工农互促、城乡互补、协调发展、共同繁荣的潜江新型工农城乡关系具有重要促进作用，将加快助推农业农村现代化。</w:t>
      </w:r>
      <w:bookmarkEnd w:id="30"/>
      <w:bookmarkEnd w:id="31"/>
      <w:bookmarkEnd w:id="32"/>
      <w:bookmarkEnd w:id="33"/>
      <w:bookmarkStart w:id="34" w:name="_Toc964"/>
      <w:bookmarkStart w:id="35" w:name="_Toc7632"/>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60" w:lineRule="exact"/>
        <w:ind w:left="0" w:leftChars="0" w:firstLine="0" w:firstLineChars="0"/>
        <w:jc w:val="center"/>
        <w:textAlignment w:val="auto"/>
        <w:outlineLvl w:val="1"/>
        <w:rPr>
          <w:rFonts w:hint="default" w:ascii="楷体" w:hAnsi="楷体" w:eastAsia="楷体" w:cs="楷体"/>
          <w:b/>
          <w:bCs/>
          <w:smallCaps w:val="0"/>
          <w:sz w:val="32"/>
          <w:szCs w:val="32"/>
          <w:lang w:val="en-US" w:eastAsia="zh-CN"/>
        </w:rPr>
      </w:pPr>
      <w:bookmarkStart w:id="36" w:name="_Toc27526"/>
      <w:r>
        <w:rPr>
          <w:rFonts w:hint="eastAsia" w:ascii="楷体" w:hAnsi="楷体" w:eastAsia="楷体" w:cs="楷体"/>
          <w:b/>
          <w:bCs/>
          <w:smallCaps w:val="0"/>
          <w:sz w:val="32"/>
          <w:szCs w:val="32"/>
          <w:lang w:val="en-US" w:eastAsia="zh-CN"/>
        </w:rPr>
        <w:t>第三节 “十四五”发展挑战</w:t>
      </w:r>
      <w:bookmarkEnd w:id="34"/>
      <w:bookmarkEnd w:id="35"/>
      <w:bookmarkEnd w:id="3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cs="仿宋_GB2312"/>
          <w:szCs w:val="32"/>
        </w:rPr>
      </w:pPr>
      <w:r>
        <w:rPr>
          <w:rFonts w:hint="eastAsia" w:ascii="仿宋_GB2312" w:hAnsi="仿宋_GB2312" w:eastAsia="仿宋_GB2312" w:cs="仿宋_GB2312"/>
          <w:color w:val="auto"/>
          <w:sz w:val="32"/>
          <w:szCs w:val="40"/>
        </w:rPr>
        <w:t>“十四五”时期，</w:t>
      </w:r>
      <w:r>
        <w:rPr>
          <w:rFonts w:hint="eastAsia" w:ascii="Times New Roman" w:hAnsi="Times New Roman" w:eastAsia="仿宋_GB2312" w:cs="Times New Roman"/>
          <w:color w:val="auto"/>
          <w:sz w:val="32"/>
          <w:szCs w:val="40"/>
          <w:lang w:eastAsia="zh-CN"/>
        </w:rPr>
        <w:t>全</w:t>
      </w:r>
      <w:r>
        <w:rPr>
          <w:rFonts w:hint="default" w:ascii="Times New Roman" w:hAnsi="Times New Roman" w:eastAsia="仿宋_GB2312" w:cs="Times New Roman"/>
          <w:color w:val="auto"/>
          <w:sz w:val="32"/>
          <w:szCs w:val="40"/>
        </w:rPr>
        <w:t>市农业农村发展</w:t>
      </w:r>
      <w:r>
        <w:rPr>
          <w:rFonts w:hint="eastAsia" w:cs="Times New Roman"/>
          <w:color w:val="auto"/>
          <w:sz w:val="32"/>
          <w:szCs w:val="40"/>
          <w:lang w:val="en-US" w:eastAsia="zh-CN"/>
        </w:rPr>
        <w:t>也</w:t>
      </w:r>
      <w:r>
        <w:rPr>
          <w:rFonts w:hint="default" w:ascii="Times New Roman" w:hAnsi="Times New Roman" w:eastAsia="仿宋_GB2312" w:cs="Times New Roman"/>
          <w:color w:val="auto"/>
          <w:sz w:val="32"/>
          <w:szCs w:val="40"/>
        </w:rPr>
        <w:t>面临</w:t>
      </w:r>
      <w:r>
        <w:rPr>
          <w:rFonts w:hint="eastAsia" w:cs="Times New Roman"/>
          <w:color w:val="auto"/>
          <w:sz w:val="32"/>
          <w:szCs w:val="40"/>
          <w:highlight w:val="none"/>
          <w:lang w:val="en-US" w:eastAsia="zh-CN"/>
        </w:rPr>
        <w:t>严峻</w:t>
      </w:r>
      <w:r>
        <w:rPr>
          <w:rFonts w:hint="default" w:ascii="Times New Roman" w:hAnsi="Times New Roman" w:eastAsia="仿宋_GB2312" w:cs="Times New Roman"/>
          <w:color w:val="auto"/>
          <w:sz w:val="32"/>
          <w:szCs w:val="40"/>
        </w:rPr>
        <w:t>挑战。</w:t>
      </w:r>
    </w:p>
    <w:p>
      <w:pPr>
        <w:keepNext w:val="0"/>
        <w:keepLines w:val="0"/>
        <w:pageBreakBefore w:val="0"/>
        <w:widowControl w:val="0"/>
        <w:kinsoku/>
        <w:wordWrap/>
        <w:overflowPunct/>
        <w:topLinePunct w:val="0"/>
        <w:autoSpaceDE/>
        <w:autoSpaceDN/>
        <w:bidi w:val="0"/>
        <w:adjustRightInd/>
        <w:snapToGrid/>
        <w:spacing w:line="560" w:lineRule="exact"/>
        <w:ind w:firstLine="641"/>
        <w:jc w:val="both"/>
        <w:textAlignment w:val="auto"/>
        <w:outlineLvl w:val="9"/>
        <w:rPr>
          <w:rFonts w:hint="eastAsia" w:cs="Times New Roman"/>
          <w:b/>
          <w:bCs/>
          <w:kern w:val="0"/>
          <w:szCs w:val="32"/>
          <w:highlight w:val="yellow"/>
          <w:lang w:val="en-US" w:eastAsia="zh-CN"/>
        </w:rPr>
      </w:pPr>
      <w:r>
        <w:rPr>
          <w:rFonts w:hint="eastAsia" w:cs="Times New Roman"/>
          <w:b/>
          <w:bCs/>
          <w:kern w:val="0"/>
          <w:szCs w:val="32"/>
          <w:highlight w:val="none"/>
          <w:lang w:val="en-US" w:eastAsia="zh-CN"/>
        </w:rPr>
        <w:t>——农业方面，在发展基础、特色农业转型升级与社会化服务力量上面临三个挑战。</w:t>
      </w:r>
    </w:p>
    <w:p>
      <w:pPr>
        <w:keepNext w:val="0"/>
        <w:keepLines w:val="0"/>
        <w:pageBreakBefore w:val="0"/>
        <w:widowControl w:val="0"/>
        <w:kinsoku/>
        <w:wordWrap/>
        <w:overflowPunct/>
        <w:topLinePunct w:val="0"/>
        <w:autoSpaceDE/>
        <w:autoSpaceDN/>
        <w:bidi w:val="0"/>
        <w:adjustRightInd/>
        <w:snapToGrid/>
        <w:spacing w:line="560" w:lineRule="exact"/>
        <w:ind w:firstLine="641"/>
        <w:jc w:val="both"/>
        <w:textAlignment w:val="auto"/>
        <w:outlineLvl w:val="9"/>
        <w:rPr>
          <w:rFonts w:hint="eastAsia" w:cs="Times New Roman"/>
          <w:color w:val="auto"/>
          <w:sz w:val="32"/>
          <w:szCs w:val="40"/>
          <w:lang w:val="en-US" w:eastAsia="zh-CN"/>
        </w:rPr>
      </w:pPr>
      <w:r>
        <w:rPr>
          <w:rFonts w:hint="eastAsia" w:cs="Times New Roman"/>
          <w:b/>
          <w:bCs/>
          <w:kern w:val="0"/>
          <w:szCs w:val="32"/>
          <w:lang w:val="en-US" w:eastAsia="zh-CN"/>
        </w:rPr>
        <w:t>一是农业</w:t>
      </w:r>
      <w:r>
        <w:rPr>
          <w:rFonts w:hint="eastAsia" w:cs="Times New Roman"/>
          <w:b/>
          <w:bCs/>
          <w:color w:val="auto"/>
          <w:sz w:val="32"/>
          <w:szCs w:val="40"/>
          <w:lang w:val="en-US" w:eastAsia="zh-CN"/>
        </w:rPr>
        <w:t>发展</w:t>
      </w:r>
      <w:r>
        <w:rPr>
          <w:rFonts w:hint="eastAsia" w:ascii="Times New Roman" w:hAnsi="Times New Roman" w:eastAsia="仿宋_GB2312" w:cs="Times New Roman"/>
          <w:b/>
          <w:bCs/>
          <w:color w:val="auto"/>
          <w:sz w:val="32"/>
          <w:szCs w:val="40"/>
          <w:lang w:val="en-US" w:eastAsia="zh-CN"/>
        </w:rPr>
        <w:t>基础</w:t>
      </w:r>
      <w:r>
        <w:rPr>
          <w:rFonts w:hint="eastAsia" w:cs="Times New Roman"/>
          <w:b/>
          <w:bCs/>
          <w:color w:val="auto"/>
          <w:sz w:val="32"/>
          <w:szCs w:val="40"/>
          <w:lang w:val="en-US" w:eastAsia="zh-CN"/>
        </w:rPr>
        <w:t>亟待夯实。</w:t>
      </w:r>
      <w:r>
        <w:rPr>
          <w:rFonts w:hint="eastAsia" w:cs="Times New Roman"/>
          <w:color w:val="auto"/>
          <w:sz w:val="32"/>
          <w:szCs w:val="40"/>
          <w:lang w:val="en-US" w:eastAsia="zh-CN"/>
        </w:rPr>
        <w:t>高标准农田建设规模不够，农田水利基础设施大多年久失修、功能退化，农业基础设施“重建不重管”问题较为突出。农机化发展不平衡，大马力、高性能、先进适用农业机械少，养殖业、林果业、农产品初加工机械化发展滞后。“互联网+农业”处于探索阶段，数字化、智能化技术应用不足，生产效率较低。</w:t>
      </w:r>
    </w:p>
    <w:p>
      <w:pPr>
        <w:keepNext w:val="0"/>
        <w:keepLines w:val="0"/>
        <w:pageBreakBefore w:val="0"/>
        <w:widowControl w:val="0"/>
        <w:kinsoku/>
        <w:wordWrap/>
        <w:overflowPunct/>
        <w:topLinePunct w:val="0"/>
        <w:autoSpaceDE/>
        <w:autoSpaceDN/>
        <w:bidi w:val="0"/>
        <w:adjustRightInd/>
        <w:snapToGrid/>
        <w:jc w:val="both"/>
        <w:textAlignment w:val="auto"/>
        <w:rPr>
          <w:rFonts w:hint="eastAsia" w:cs="Times New Roman"/>
          <w:color w:val="auto"/>
          <w:sz w:val="32"/>
          <w:szCs w:val="40"/>
          <w:lang w:val="en-US" w:eastAsia="zh-CN"/>
        </w:rPr>
      </w:pPr>
      <w:r>
        <w:rPr>
          <w:rFonts w:hint="eastAsia" w:cs="Times New Roman"/>
          <w:b/>
          <w:bCs/>
          <w:color w:val="auto"/>
          <w:sz w:val="32"/>
          <w:szCs w:val="40"/>
          <w:highlight w:val="none"/>
          <w:lang w:val="en-US" w:eastAsia="zh-CN"/>
        </w:rPr>
        <w:t>二是优势农业发展瓶颈亟待突破。</w:t>
      </w:r>
      <w:r>
        <w:rPr>
          <w:rFonts w:hint="eastAsia" w:cs="Times New Roman"/>
          <w:b w:val="0"/>
          <w:bCs w:val="0"/>
          <w:color w:val="auto"/>
          <w:sz w:val="32"/>
          <w:szCs w:val="40"/>
          <w:highlight w:val="none"/>
          <w:lang w:val="en-US" w:eastAsia="zh-CN"/>
        </w:rPr>
        <w:t>潜江龙虾和潜江半夏等产业结构调整偏慢，规模化、组织化程度有待进一步提升。加工链条延伸不足，精深加工领域规模不大，且同质化竞争激烈。农旅融合等创新拓展还不够，潜江龙虾、潜江虾稻、潜江蔬果和潜江菜籽油等产业与观光旅游、文化休闲等融合不深，对经济拉动效果不明显。</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hint="default"/>
          <w:lang w:val="en-US" w:eastAsia="zh-CN"/>
        </w:rPr>
      </w:pPr>
      <w:r>
        <w:rPr>
          <w:rFonts w:hint="eastAsia"/>
          <w:b/>
          <w:bCs/>
          <w:lang w:val="en-US" w:eastAsia="zh-CN"/>
        </w:rPr>
        <w:t>三是农业</w:t>
      </w:r>
      <w:r>
        <w:rPr>
          <w:rFonts w:hint="default"/>
          <w:b/>
          <w:bCs/>
          <w:lang w:val="en-US" w:eastAsia="zh-CN"/>
        </w:rPr>
        <w:t>社会化服务</w:t>
      </w:r>
      <w:r>
        <w:rPr>
          <w:rFonts w:hint="eastAsia"/>
          <w:b/>
          <w:bCs/>
          <w:lang w:val="en-US" w:eastAsia="zh-CN"/>
        </w:rPr>
        <w:t>力量亟待增强</w:t>
      </w:r>
      <w:r>
        <w:rPr>
          <w:rFonts w:hint="default"/>
          <w:b/>
          <w:bCs/>
          <w:highlight w:val="none"/>
          <w:lang w:val="en-US" w:eastAsia="zh-CN"/>
        </w:rPr>
        <w:t>。</w:t>
      </w:r>
      <w:r>
        <w:rPr>
          <w:rFonts w:hint="default"/>
          <w:lang w:val="en-US" w:eastAsia="zh-CN"/>
        </w:rPr>
        <w:t>乡镇综合配套改革后，基层农业站所能留下来的人员都是老同志，参加技术培训、接受新技术新产品的机会少，大多凭经验指导生产，</w:t>
      </w:r>
      <w:r>
        <w:rPr>
          <w:rFonts w:hint="eastAsia"/>
          <w:lang w:val="en-US" w:eastAsia="zh-CN"/>
        </w:rPr>
        <w:t>无法满足</w:t>
      </w:r>
      <w:r>
        <w:rPr>
          <w:rFonts w:hint="default"/>
          <w:lang w:val="en-US" w:eastAsia="zh-CN"/>
        </w:rPr>
        <w:t>现代农业发展需要。基层农技推广队伍老化严重，人才补充难。市场化的农业服务</w:t>
      </w:r>
      <w:r>
        <w:rPr>
          <w:rFonts w:hint="eastAsia"/>
          <w:lang w:val="en-US" w:eastAsia="zh-CN"/>
        </w:rPr>
        <w:t>组织</w:t>
      </w:r>
      <w:r>
        <w:rPr>
          <w:rFonts w:hint="default"/>
          <w:lang w:val="en-US" w:eastAsia="zh-CN"/>
        </w:rPr>
        <w:t>成长较慢。</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b/>
          <w:bCs/>
          <w:lang w:val="en-US" w:eastAsia="zh-CN"/>
        </w:rPr>
      </w:pPr>
      <w:r>
        <w:rPr>
          <w:rFonts w:hint="eastAsia"/>
          <w:b/>
          <w:bCs/>
          <w:lang w:val="en-US" w:eastAsia="zh-CN"/>
        </w:rPr>
        <w:t>——农村方面，在区域协调发展、城乡一体化发展与乡村建设上存在三个短板。</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Times New Roman"/>
          <w:kern w:val="2"/>
          <w:sz w:val="32"/>
          <w:szCs w:val="24"/>
          <w:lang w:val="en-US" w:eastAsia="zh-CN" w:bidi="ar-SA"/>
        </w:rPr>
      </w:pPr>
      <w:r>
        <w:rPr>
          <w:rFonts w:hint="eastAsia"/>
          <w:b/>
          <w:bCs/>
          <w:lang w:val="en-US" w:eastAsia="zh-CN"/>
        </w:rPr>
        <w:t>一</w:t>
      </w:r>
      <w:r>
        <w:rPr>
          <w:rFonts w:hint="eastAsia"/>
          <w:b/>
          <w:bCs/>
          <w:highlight w:val="none"/>
          <w:lang w:val="en-US" w:eastAsia="zh-CN"/>
        </w:rPr>
        <w:t>是南北</w:t>
      </w:r>
      <w:r>
        <w:rPr>
          <w:rFonts w:hint="eastAsia" w:ascii="Times New Roman" w:hAnsi="Times New Roman" w:eastAsia="仿宋_GB2312" w:cs="Times New Roman"/>
          <w:b/>
          <w:bCs/>
          <w:kern w:val="2"/>
          <w:sz w:val="32"/>
          <w:szCs w:val="24"/>
          <w:lang w:val="en-US" w:eastAsia="zh-CN" w:bidi="ar-SA"/>
        </w:rPr>
        <w:t>区域发展不</w:t>
      </w:r>
      <w:r>
        <w:rPr>
          <w:rFonts w:hint="eastAsia" w:cs="Times New Roman"/>
          <w:b/>
          <w:bCs/>
          <w:kern w:val="2"/>
          <w:sz w:val="32"/>
          <w:szCs w:val="24"/>
          <w:lang w:val="en-US" w:eastAsia="zh-CN" w:bidi="ar-SA"/>
        </w:rPr>
        <w:t>够均</w:t>
      </w:r>
      <w:r>
        <w:rPr>
          <w:rFonts w:hint="eastAsia" w:ascii="Times New Roman" w:hAnsi="Times New Roman" w:eastAsia="仿宋_GB2312" w:cs="Times New Roman"/>
          <w:b/>
          <w:bCs/>
          <w:kern w:val="2"/>
          <w:sz w:val="32"/>
          <w:szCs w:val="24"/>
          <w:lang w:val="en-US" w:eastAsia="zh-CN" w:bidi="ar-SA"/>
        </w:rPr>
        <w:t>衡</w:t>
      </w:r>
      <w:r>
        <w:rPr>
          <w:rFonts w:hint="eastAsia" w:cs="Times New Roman"/>
          <w:b/>
          <w:bCs/>
          <w:kern w:val="2"/>
          <w:sz w:val="32"/>
          <w:szCs w:val="24"/>
          <w:lang w:val="en-US" w:eastAsia="zh-CN" w:bidi="ar-SA"/>
        </w:rPr>
        <w:t>。</w:t>
      </w:r>
      <w:r>
        <w:rPr>
          <w:rFonts w:hint="eastAsia" w:ascii="Times New Roman" w:hAnsi="Times New Roman" w:eastAsia="仿宋_GB2312" w:cs="Times New Roman"/>
          <w:kern w:val="2"/>
          <w:sz w:val="32"/>
          <w:szCs w:val="24"/>
          <w:lang w:val="en-US" w:eastAsia="zh-CN" w:bidi="ar-SA"/>
        </w:rPr>
        <w:t>潜</w:t>
      </w:r>
      <w:r>
        <w:rPr>
          <w:rFonts w:hint="eastAsia" w:cs="Times New Roman"/>
          <w:kern w:val="2"/>
          <w:sz w:val="32"/>
          <w:szCs w:val="24"/>
          <w:lang w:val="en-US" w:eastAsia="zh-CN" w:bidi="ar-SA"/>
        </w:rPr>
        <w:t>江南部地区</w:t>
      </w:r>
      <w:r>
        <w:rPr>
          <w:rFonts w:hint="eastAsia" w:ascii="Times New Roman" w:hAnsi="Times New Roman" w:eastAsia="仿宋_GB2312" w:cs="Times New Roman"/>
          <w:kern w:val="2"/>
          <w:sz w:val="32"/>
          <w:szCs w:val="24"/>
          <w:lang w:val="en-US" w:eastAsia="zh-CN" w:bidi="ar-SA"/>
        </w:rPr>
        <w:t>通过</w:t>
      </w:r>
      <w:r>
        <w:rPr>
          <w:rFonts w:hint="eastAsia" w:cs="Times New Roman"/>
          <w:kern w:val="2"/>
          <w:sz w:val="32"/>
          <w:szCs w:val="24"/>
          <w:lang w:val="en-US" w:eastAsia="zh-CN" w:bidi="ar-SA"/>
        </w:rPr>
        <w:t>发展</w:t>
      </w:r>
      <w:r>
        <w:rPr>
          <w:rFonts w:hint="eastAsia" w:ascii="Times New Roman" w:hAnsi="Times New Roman" w:eastAsia="仿宋_GB2312" w:cs="Times New Roman"/>
          <w:kern w:val="2"/>
          <w:sz w:val="32"/>
          <w:szCs w:val="24"/>
          <w:lang w:val="en-US" w:eastAsia="zh-CN" w:bidi="ar-SA"/>
        </w:rPr>
        <w:t>虾稻共作模式，获得了较高的经济效益，农民增收明显。潜江北部</w:t>
      </w:r>
      <w:r>
        <w:rPr>
          <w:rFonts w:hint="eastAsia" w:cs="Times New Roman"/>
          <w:kern w:val="2"/>
          <w:sz w:val="32"/>
          <w:szCs w:val="24"/>
          <w:lang w:val="en-US" w:eastAsia="zh-CN" w:bidi="ar-SA"/>
        </w:rPr>
        <w:t>以</w:t>
      </w:r>
      <w:r>
        <w:rPr>
          <w:rFonts w:hint="eastAsia" w:ascii="Times New Roman" w:hAnsi="Times New Roman" w:eastAsia="仿宋_GB2312" w:cs="Times New Roman"/>
          <w:kern w:val="2"/>
          <w:sz w:val="32"/>
          <w:szCs w:val="24"/>
          <w:lang w:val="en-US" w:eastAsia="zh-CN" w:bidi="ar-SA"/>
        </w:rPr>
        <w:t>旱田耕作</w:t>
      </w:r>
      <w:r>
        <w:rPr>
          <w:rFonts w:hint="eastAsia" w:cs="Times New Roman"/>
          <w:kern w:val="2"/>
          <w:sz w:val="32"/>
          <w:szCs w:val="24"/>
          <w:lang w:val="en-US" w:eastAsia="zh-CN" w:bidi="ar-SA"/>
        </w:rPr>
        <w:t>为主</w:t>
      </w:r>
      <w:r>
        <w:rPr>
          <w:rFonts w:hint="eastAsia" w:ascii="Times New Roman" w:hAnsi="Times New Roman" w:eastAsia="仿宋_GB2312" w:cs="Times New Roman"/>
          <w:kern w:val="2"/>
          <w:sz w:val="32"/>
          <w:szCs w:val="24"/>
          <w:lang w:val="en-US" w:eastAsia="zh-CN" w:bidi="ar-SA"/>
        </w:rPr>
        <w:t>，近年来产业结构调整还在不断探索中，加之</w:t>
      </w:r>
      <w:r>
        <w:rPr>
          <w:rFonts w:hint="eastAsia" w:cs="Times New Roman"/>
          <w:kern w:val="2"/>
          <w:sz w:val="32"/>
          <w:szCs w:val="24"/>
          <w:lang w:val="en-US" w:eastAsia="zh-CN" w:bidi="ar-SA"/>
        </w:rPr>
        <w:t>区域</w:t>
      </w:r>
      <w:r>
        <w:rPr>
          <w:rFonts w:hint="eastAsia" w:ascii="Times New Roman" w:hAnsi="Times New Roman" w:eastAsia="仿宋_GB2312" w:cs="Times New Roman"/>
          <w:kern w:val="2"/>
          <w:sz w:val="32"/>
          <w:szCs w:val="24"/>
          <w:lang w:val="en-US" w:eastAsia="zh-CN" w:bidi="ar-SA"/>
        </w:rPr>
        <w:t>人口稠密，人均耕地少，增收较为困难。</w:t>
      </w:r>
    </w:p>
    <w:p>
      <w:pPr>
        <w:pStyle w:val="2"/>
        <w:keepNext w:val="0"/>
        <w:keepLines w:val="0"/>
        <w:pageBreakBefore w:val="0"/>
        <w:widowControl w:val="0"/>
        <w:kinsoku/>
        <w:wordWrap/>
        <w:overflowPunct/>
        <w:topLinePunct w:val="0"/>
        <w:autoSpaceDE/>
        <w:autoSpaceDN/>
        <w:bidi w:val="0"/>
        <w:adjustRightInd/>
        <w:snapToGrid/>
        <w:spacing w:after="0"/>
        <w:ind w:firstLine="643" w:firstLineChars="200"/>
        <w:jc w:val="both"/>
        <w:textAlignment w:val="auto"/>
        <w:rPr>
          <w:rFonts w:hint="eastAsia" w:cs="Times New Roman"/>
          <w:b/>
          <w:bCs/>
          <w:kern w:val="2"/>
          <w:sz w:val="32"/>
          <w:szCs w:val="24"/>
          <w:lang w:val="en-US" w:eastAsia="zh-CN" w:bidi="ar-SA"/>
        </w:rPr>
      </w:pPr>
      <w:r>
        <w:rPr>
          <w:rFonts w:hint="eastAsia" w:cs="Times New Roman"/>
          <w:b/>
          <w:bCs/>
          <w:kern w:val="2"/>
          <w:sz w:val="32"/>
          <w:szCs w:val="24"/>
          <w:lang w:val="en-US" w:eastAsia="zh-CN" w:bidi="ar-SA"/>
        </w:rPr>
        <w:t>二是城乡之间发展不够平衡。</w:t>
      </w:r>
      <w:r>
        <w:rPr>
          <w:rFonts w:hint="eastAsia" w:cs="Times New Roman"/>
          <w:kern w:val="2"/>
          <w:sz w:val="32"/>
          <w:szCs w:val="24"/>
          <w:lang w:val="en-US" w:eastAsia="zh-CN" w:bidi="ar-SA"/>
        </w:rPr>
        <w:t>城乡一体化发展仍然存在体制机制上的障碍，</w:t>
      </w:r>
      <w:r>
        <w:rPr>
          <w:rFonts w:hint="eastAsia" w:ascii="Times New Roman" w:hAnsi="Times New Roman" w:eastAsia="仿宋_GB2312" w:cs="Times New Roman"/>
          <w:i w:val="0"/>
          <w:iCs w:val="0"/>
          <w:caps w:val="0"/>
          <w:spacing w:val="0"/>
          <w:sz w:val="32"/>
          <w:szCs w:val="24"/>
          <w:shd w:val="clear"/>
        </w:rPr>
        <w:t>农村基础设施供给与现代</w:t>
      </w:r>
      <w:r>
        <w:rPr>
          <w:rFonts w:hint="eastAsia" w:cs="Times New Roman"/>
          <w:i w:val="0"/>
          <w:iCs w:val="0"/>
          <w:caps w:val="0"/>
          <w:spacing w:val="0"/>
          <w:sz w:val="32"/>
          <w:szCs w:val="24"/>
          <w:shd w:val="clear"/>
          <w:lang w:val="en-US" w:eastAsia="zh-CN"/>
        </w:rPr>
        <w:t>农村</w:t>
      </w:r>
      <w:r>
        <w:rPr>
          <w:rFonts w:hint="eastAsia" w:ascii="Times New Roman" w:hAnsi="Times New Roman" w:eastAsia="仿宋_GB2312" w:cs="Times New Roman"/>
          <w:i w:val="0"/>
          <w:iCs w:val="0"/>
          <w:caps w:val="0"/>
          <w:spacing w:val="0"/>
          <w:sz w:val="32"/>
          <w:szCs w:val="24"/>
          <w:shd w:val="clear"/>
        </w:rPr>
        <w:t>发展需求不匹配</w:t>
      </w:r>
      <w:r>
        <w:rPr>
          <w:rFonts w:hint="eastAsia" w:cs="Times New Roman"/>
          <w:i w:val="0"/>
          <w:iCs w:val="0"/>
          <w:caps w:val="0"/>
          <w:spacing w:val="0"/>
          <w:sz w:val="32"/>
          <w:szCs w:val="24"/>
          <w:shd w:val="clear"/>
          <w:lang w:eastAsia="zh-CN"/>
        </w:rPr>
        <w:t>，</w:t>
      </w:r>
      <w:r>
        <w:rPr>
          <w:rFonts w:hint="eastAsia" w:ascii="Times New Roman" w:hAnsi="Times New Roman" w:eastAsia="仿宋_GB2312" w:cs="Times New Roman"/>
          <w:i w:val="0"/>
          <w:iCs w:val="0"/>
          <w:caps w:val="0"/>
          <w:spacing w:val="0"/>
          <w:sz w:val="32"/>
          <w:szCs w:val="24"/>
          <w:shd w:val="clear"/>
        </w:rPr>
        <w:t>公共服务供给还不能满足农民的美好生活需要</w:t>
      </w:r>
      <w:r>
        <w:rPr>
          <w:rFonts w:hint="eastAsia" w:cs="Times New Roman"/>
          <w:kern w:val="2"/>
          <w:sz w:val="32"/>
          <w:szCs w:val="24"/>
          <w:lang w:val="en-US" w:eastAsia="zh-CN" w:bidi="ar-SA"/>
        </w:rPr>
        <w:t>。农村公路虽然实现了行政村村村通，但部分村组道路质量还不高；农村物流发展比较滞后，配送网点少。农村医疗卫生、文化教育等公共资源质量总体不高，农民看病、子女上学等仍有不少难处。农村社保、医保、养老标准和条件虽然逐年提升，但与市区相比差距仍然很大，需要持续加力。</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cs="Times New Roman"/>
          <w:kern w:val="2"/>
          <w:sz w:val="32"/>
          <w:szCs w:val="24"/>
          <w:lang w:val="en-US" w:eastAsia="zh-CN" w:bidi="ar-SA"/>
        </w:rPr>
      </w:pPr>
      <w:r>
        <w:rPr>
          <w:rFonts w:hint="eastAsia" w:cs="Times New Roman"/>
          <w:b/>
          <w:bCs/>
          <w:kern w:val="2"/>
          <w:sz w:val="32"/>
          <w:szCs w:val="24"/>
          <w:lang w:val="en-US" w:eastAsia="zh-CN" w:bidi="ar-SA"/>
        </w:rPr>
        <w:t>三是</w:t>
      </w:r>
      <w:r>
        <w:rPr>
          <w:rFonts w:hint="eastAsia" w:ascii="Times New Roman" w:hAnsi="Times New Roman" w:eastAsia="仿宋_GB2312" w:cs="Times New Roman"/>
          <w:b/>
          <w:bCs/>
          <w:kern w:val="2"/>
          <w:sz w:val="32"/>
          <w:szCs w:val="24"/>
          <w:lang w:val="en-US" w:eastAsia="zh-CN" w:bidi="ar-SA"/>
        </w:rPr>
        <w:t>乡村建设</w:t>
      </w:r>
      <w:r>
        <w:rPr>
          <w:rFonts w:hint="eastAsia" w:cs="Times New Roman"/>
          <w:b/>
          <w:bCs/>
          <w:kern w:val="2"/>
          <w:sz w:val="32"/>
          <w:szCs w:val="24"/>
          <w:lang w:val="en-US" w:eastAsia="zh-CN" w:bidi="ar-SA"/>
        </w:rPr>
        <w:t>体系</w:t>
      </w:r>
      <w:r>
        <w:rPr>
          <w:rFonts w:hint="eastAsia" w:ascii="Times New Roman" w:hAnsi="Times New Roman" w:eastAsia="仿宋_GB2312" w:cs="Times New Roman"/>
          <w:b/>
          <w:bCs/>
          <w:kern w:val="2"/>
          <w:sz w:val="32"/>
          <w:szCs w:val="24"/>
          <w:lang w:val="en-US" w:eastAsia="zh-CN" w:bidi="ar-SA"/>
        </w:rPr>
        <w:t>不够</w:t>
      </w:r>
      <w:r>
        <w:rPr>
          <w:rFonts w:hint="eastAsia" w:cs="Times New Roman"/>
          <w:b/>
          <w:bCs/>
          <w:kern w:val="2"/>
          <w:sz w:val="32"/>
          <w:szCs w:val="24"/>
          <w:lang w:val="en-US" w:eastAsia="zh-CN" w:bidi="ar-SA"/>
        </w:rPr>
        <w:t>完善</w:t>
      </w:r>
      <w:r>
        <w:rPr>
          <w:rFonts w:hint="eastAsia" w:ascii="Times New Roman" w:hAnsi="Times New Roman" w:eastAsia="仿宋_GB2312" w:cs="Times New Roman"/>
          <w:b/>
          <w:bCs/>
          <w:kern w:val="2"/>
          <w:sz w:val="32"/>
          <w:szCs w:val="24"/>
          <w:lang w:val="en-US" w:eastAsia="zh-CN" w:bidi="ar-SA"/>
        </w:rPr>
        <w:t>。</w:t>
      </w:r>
      <w:r>
        <w:rPr>
          <w:rFonts w:hint="eastAsia" w:ascii="Times New Roman" w:hAnsi="Times New Roman" w:eastAsia="仿宋_GB2312" w:cs="Times New Roman"/>
          <w:kern w:val="2"/>
          <w:sz w:val="32"/>
          <w:szCs w:val="24"/>
          <w:lang w:val="en-US" w:eastAsia="zh-CN" w:bidi="ar-SA"/>
        </w:rPr>
        <w:t>美丽乡村建设</w:t>
      </w:r>
      <w:r>
        <w:rPr>
          <w:rFonts w:hint="eastAsia" w:cs="Times New Roman"/>
          <w:kern w:val="2"/>
          <w:sz w:val="32"/>
          <w:szCs w:val="24"/>
          <w:lang w:val="en-US" w:eastAsia="zh-CN" w:bidi="ar-SA"/>
        </w:rPr>
        <w:t>、</w:t>
      </w:r>
      <w:r>
        <w:rPr>
          <w:rFonts w:hint="eastAsia" w:ascii="Times New Roman" w:hAnsi="Times New Roman" w:eastAsia="仿宋_GB2312" w:cs="Times New Roman"/>
          <w:kern w:val="2"/>
          <w:sz w:val="32"/>
          <w:szCs w:val="24"/>
          <w:lang w:val="en-US" w:eastAsia="zh-CN" w:bidi="ar-SA"/>
        </w:rPr>
        <w:t>人居环境整治</w:t>
      </w:r>
      <w:r>
        <w:rPr>
          <w:rFonts w:hint="eastAsia" w:cs="Times New Roman"/>
          <w:kern w:val="2"/>
          <w:sz w:val="32"/>
          <w:szCs w:val="24"/>
          <w:lang w:val="en-US" w:eastAsia="zh-CN" w:bidi="ar-SA"/>
        </w:rPr>
        <w:t>和</w:t>
      </w:r>
      <w:r>
        <w:rPr>
          <w:rFonts w:hint="eastAsia" w:ascii="Times New Roman" w:hAnsi="Times New Roman" w:eastAsia="仿宋_GB2312" w:cs="Times New Roman"/>
          <w:kern w:val="2"/>
          <w:sz w:val="32"/>
          <w:szCs w:val="24"/>
          <w:lang w:val="en-US" w:eastAsia="zh-CN" w:bidi="ar-SA"/>
        </w:rPr>
        <w:t>农村厕所革命等工作，受资金</w:t>
      </w:r>
      <w:r>
        <w:rPr>
          <w:rFonts w:hint="eastAsia" w:cs="Times New Roman"/>
          <w:kern w:val="2"/>
          <w:sz w:val="32"/>
          <w:szCs w:val="24"/>
          <w:lang w:val="en-US" w:eastAsia="zh-CN" w:bidi="ar-SA"/>
        </w:rPr>
        <w:t>和</w:t>
      </w:r>
      <w:r>
        <w:rPr>
          <w:rFonts w:hint="eastAsia" w:ascii="Times New Roman" w:hAnsi="Times New Roman" w:eastAsia="仿宋_GB2312" w:cs="Times New Roman"/>
          <w:kern w:val="2"/>
          <w:sz w:val="32"/>
          <w:szCs w:val="24"/>
          <w:lang w:val="en-US" w:eastAsia="zh-CN" w:bidi="ar-SA"/>
        </w:rPr>
        <w:t>人才等要素制约，示范效应</w:t>
      </w:r>
      <w:bookmarkStart w:id="37" w:name="_Toc25041"/>
      <w:bookmarkStart w:id="38" w:name="_Toc3422"/>
      <w:bookmarkStart w:id="39" w:name="_Toc28396"/>
      <w:bookmarkStart w:id="40" w:name="_Toc23965"/>
      <w:r>
        <w:rPr>
          <w:rFonts w:hint="eastAsia" w:cs="Times New Roman"/>
          <w:kern w:val="2"/>
          <w:sz w:val="32"/>
          <w:szCs w:val="24"/>
          <w:lang w:val="en-US" w:eastAsia="zh-CN" w:bidi="ar-SA"/>
        </w:rPr>
        <w:t>有待加强。村庄规划滞后，</w:t>
      </w:r>
      <w:r>
        <w:rPr>
          <w:rFonts w:hint="eastAsia" w:ascii="Times New Roman" w:hAnsi="Times New Roman" w:eastAsia="仿宋_GB2312" w:cs="Times New Roman"/>
          <w:kern w:val="2"/>
          <w:sz w:val="32"/>
          <w:szCs w:val="24"/>
          <w:lang w:val="en-US" w:eastAsia="zh-CN" w:bidi="ar-SA"/>
        </w:rPr>
        <w:t>美丽乡村建设更多注重道路硬化、房屋刷白、广场建设等面上工程，忽视了地下管网、空中线网的合理布局和优先建设</w:t>
      </w:r>
      <w:r>
        <w:rPr>
          <w:rFonts w:hint="eastAsia" w:cs="Times New Roman"/>
          <w:kern w:val="2"/>
          <w:sz w:val="32"/>
          <w:szCs w:val="24"/>
          <w:lang w:val="en-US" w:eastAsia="zh-CN" w:bidi="ar-SA"/>
        </w:rPr>
        <w:t>，</w:t>
      </w:r>
      <w:r>
        <w:rPr>
          <w:rFonts w:hint="eastAsia" w:cs="Times New Roman"/>
          <w:kern w:val="2"/>
          <w:sz w:val="32"/>
          <w:szCs w:val="24"/>
          <w:highlight w:val="none"/>
          <w:lang w:val="en-US" w:eastAsia="zh-CN" w:bidi="ar-SA"/>
        </w:rPr>
        <w:t>部分村镇污水处理设施及管网缺乏，面源污染问题突出，</w:t>
      </w:r>
      <w:r>
        <w:rPr>
          <w:rFonts w:hint="eastAsia" w:cs="Times New Roman"/>
          <w:kern w:val="2"/>
          <w:sz w:val="32"/>
          <w:szCs w:val="24"/>
          <w:lang w:val="en-US" w:eastAsia="zh-CN" w:bidi="ar-SA"/>
        </w:rPr>
        <w:t>农村生态环境亟须修复，</w:t>
      </w:r>
      <w:r>
        <w:rPr>
          <w:rFonts w:hint="eastAsia" w:ascii="Times New Roman" w:hAnsi="Times New Roman" w:eastAsia="仿宋_GB2312" w:cs="Times New Roman"/>
          <w:kern w:val="2"/>
          <w:sz w:val="32"/>
          <w:szCs w:val="24"/>
          <w:lang w:val="en-US" w:eastAsia="zh-CN" w:bidi="ar-SA"/>
        </w:rPr>
        <w:t>乡村建设</w:t>
      </w:r>
      <w:r>
        <w:rPr>
          <w:rFonts w:hint="eastAsia" w:cs="Times New Roman"/>
          <w:kern w:val="2"/>
          <w:sz w:val="32"/>
          <w:szCs w:val="24"/>
          <w:lang w:val="en-US" w:eastAsia="zh-CN" w:bidi="ar-SA"/>
        </w:rPr>
        <w:t>的</w:t>
      </w:r>
      <w:r>
        <w:rPr>
          <w:rFonts w:hint="eastAsia" w:ascii="Times New Roman" w:hAnsi="Times New Roman" w:eastAsia="仿宋_GB2312" w:cs="Times New Roman"/>
          <w:kern w:val="2"/>
          <w:sz w:val="32"/>
          <w:szCs w:val="24"/>
          <w:lang w:val="en-US" w:eastAsia="zh-CN" w:bidi="ar-SA"/>
        </w:rPr>
        <w:t>整体水平</w:t>
      </w:r>
      <w:r>
        <w:rPr>
          <w:rFonts w:hint="eastAsia" w:cs="Times New Roman"/>
          <w:kern w:val="2"/>
          <w:sz w:val="32"/>
          <w:szCs w:val="24"/>
          <w:lang w:val="en-US" w:eastAsia="zh-CN" w:bidi="ar-SA"/>
        </w:rPr>
        <w:t>还</w:t>
      </w:r>
      <w:r>
        <w:rPr>
          <w:rFonts w:hint="eastAsia" w:ascii="Times New Roman" w:hAnsi="Times New Roman" w:eastAsia="仿宋_GB2312" w:cs="Times New Roman"/>
          <w:kern w:val="2"/>
          <w:sz w:val="32"/>
          <w:szCs w:val="24"/>
          <w:lang w:val="en-US" w:eastAsia="zh-CN" w:bidi="ar-SA"/>
        </w:rPr>
        <w:t>有待提高</w:t>
      </w:r>
      <w:r>
        <w:rPr>
          <w:rFonts w:hint="eastAsia" w:cs="Times New Roman"/>
          <w:kern w:val="2"/>
          <w:sz w:val="32"/>
          <w:szCs w:val="24"/>
          <w:lang w:val="en-US" w:eastAsia="zh-CN" w:bidi="ar-SA"/>
        </w:rPr>
        <w:t>。</w:t>
      </w:r>
    </w:p>
    <w:p>
      <w:pPr>
        <w:keepNext w:val="0"/>
        <w:keepLines w:val="0"/>
        <w:pageBreakBefore w:val="0"/>
        <w:widowControl w:val="0"/>
        <w:kinsoku/>
        <w:wordWrap/>
        <w:overflowPunct/>
        <w:topLinePunct w:val="0"/>
        <w:autoSpaceDE/>
        <w:autoSpaceDN/>
        <w:bidi w:val="0"/>
        <w:adjustRightInd/>
        <w:snapToGrid/>
        <w:jc w:val="both"/>
        <w:textAlignment w:val="auto"/>
        <w:rPr>
          <w:rFonts w:hint="eastAsia" w:cs="Times New Roman"/>
          <w:kern w:val="2"/>
          <w:sz w:val="32"/>
          <w:szCs w:val="24"/>
          <w:lang w:val="en-US" w:eastAsia="zh-CN" w:bidi="ar-SA"/>
        </w:rPr>
      </w:pPr>
      <w:r>
        <w:rPr>
          <w:rFonts w:hint="eastAsia"/>
          <w:b/>
          <w:bCs/>
          <w:highlight w:val="none"/>
          <w:lang w:val="en-US" w:eastAsia="zh-CN"/>
        </w:rPr>
        <w:t>——农民整体素质方面，在农业农村现代化发展与高素质农民需求之间，存在一个突出的矛盾。</w:t>
      </w:r>
      <w:r>
        <w:rPr>
          <w:rFonts w:hint="eastAsia" w:cs="Times New Roman"/>
          <w:kern w:val="2"/>
          <w:sz w:val="32"/>
          <w:szCs w:val="24"/>
          <w:lang w:val="en-US" w:eastAsia="zh-CN" w:bidi="ar-SA"/>
        </w:rPr>
        <w:t>全市农村劳动人口大专以上文化程度占比不到10%。农民整体素质不够高，在很大程度上制约了农业高质量发展，尤其是当休闲农业、品牌农业和创意农业等新业态将成为区域农业发展的增长点，农村发展迫切需要大量高素质人才。此外，</w:t>
      </w:r>
      <w:bookmarkEnd w:id="37"/>
      <w:bookmarkEnd w:id="38"/>
      <w:bookmarkEnd w:id="39"/>
      <w:bookmarkEnd w:id="40"/>
      <w:r>
        <w:rPr>
          <w:rFonts w:hint="eastAsia" w:cs="Times New Roman"/>
          <w:kern w:val="2"/>
          <w:sz w:val="32"/>
          <w:szCs w:val="24"/>
          <w:lang w:val="en-US" w:eastAsia="zh-CN" w:bidi="ar-SA"/>
        </w:rPr>
        <w:t>在当前经济下行压力叠加疫情影响下，对于多数缺乏技术和技能的外出务工农民而言，务工收入难以保障，将直接导致农民收入降低。</w:t>
      </w:r>
    </w:p>
    <w:p>
      <w:pPr>
        <w:pStyle w:val="2"/>
        <w:rPr>
          <w:rFonts w:hint="eastAsia"/>
          <w:lang w:val="en-US" w:eastAsia="zh-CN"/>
        </w:rPr>
      </w:pPr>
    </w:p>
    <w:p>
      <w:pPr>
        <w:rPr>
          <w:rFonts w:hint="eastAsia" w:ascii="Times New Roman" w:hAnsi="Times New Roman" w:cs="Times New Roman"/>
          <w:lang w:val="en-US" w:eastAsia="zh-CN"/>
        </w:rPr>
      </w:pPr>
      <w:bookmarkStart w:id="41" w:name="_Toc12936"/>
      <w:bookmarkStart w:id="42" w:name="_Toc4531"/>
      <w:bookmarkStart w:id="43" w:name="_Toc29636"/>
      <w:r>
        <w:rPr>
          <w:rFonts w:hint="eastAsia" w:ascii="Times New Roman" w:hAnsi="Times New Roman" w:cs="Times New Roman"/>
          <w:lang w:val="en-US" w:eastAsia="zh-CN"/>
        </w:rPr>
        <w:br w:type="page"/>
      </w:r>
    </w:p>
    <w:p>
      <w:pPr>
        <w:pStyle w:val="4"/>
        <w:keepNext/>
        <w:keepLines/>
        <w:pageBreakBefore w:val="0"/>
        <w:widowControl w:val="0"/>
        <w:kinsoku/>
        <w:wordWrap/>
        <w:overflowPunct/>
        <w:topLinePunct w:val="0"/>
        <w:autoSpaceDE/>
        <w:autoSpaceDN/>
        <w:bidi w:val="0"/>
        <w:adjustRightInd/>
        <w:snapToGrid/>
        <w:spacing w:before="0" w:after="220" w:afterLines="50"/>
        <w:ind w:left="0" w:leftChars="0" w:firstLine="0" w:firstLineChars="0"/>
        <w:jc w:val="center"/>
        <w:textAlignment w:val="auto"/>
        <w:rPr>
          <w:rFonts w:hint="eastAsia" w:ascii="楷体" w:hAnsi="楷体" w:eastAsia="楷体" w:cs="楷体"/>
          <w:b/>
          <w:bCs/>
          <w:smallCaps w:val="0"/>
          <w:sz w:val="32"/>
          <w:szCs w:val="32"/>
          <w:lang w:val="en-US" w:eastAsia="zh-CN"/>
        </w:rPr>
      </w:pPr>
      <w:r>
        <w:rPr>
          <w:rFonts w:hint="eastAsia" w:ascii="Times New Roman" w:hAnsi="Times New Roman" w:cs="Times New Roman"/>
          <w:lang w:val="en-US" w:eastAsia="zh-CN"/>
        </w:rPr>
        <w:t>第二章 “十四五”总体要求</w:t>
      </w:r>
      <w:bookmarkEnd w:id="41"/>
      <w:bookmarkEnd w:id="42"/>
      <w:bookmarkEnd w:id="43"/>
    </w:p>
    <w:p>
      <w:pPr>
        <w:pStyle w:val="21"/>
        <w:keepNext w:val="0"/>
        <w:keepLines w:val="0"/>
        <w:pageBreakBefore w:val="0"/>
        <w:widowControl/>
        <w:tabs>
          <w:tab w:val="right" w:leader="dot" w:pos="8306"/>
        </w:tabs>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仿宋_GB2312" w:eastAsia="仿宋_GB2312" w:cs="仿宋_GB2312"/>
          <w:b w:val="0"/>
          <w:smallCaps w:val="0"/>
          <w:kern w:val="2"/>
          <w:sz w:val="32"/>
          <w:szCs w:val="32"/>
          <w:lang w:val="en-US" w:eastAsia="zh-CN" w:bidi="ar-SA"/>
        </w:rPr>
      </w:pPr>
      <w:r>
        <w:rPr>
          <w:rFonts w:hint="eastAsia" w:ascii="仿宋_GB2312" w:hAnsi="仿宋_GB2312" w:eastAsia="仿宋_GB2312" w:cs="仿宋_GB2312"/>
          <w:b w:val="0"/>
          <w:smallCaps w:val="0"/>
          <w:kern w:val="2"/>
          <w:sz w:val="32"/>
          <w:szCs w:val="32"/>
          <w:highlight w:val="none"/>
          <w:lang w:val="en-US" w:eastAsia="zh-CN" w:bidi="ar-SA"/>
        </w:rPr>
        <w:t>谋划推动我市“十四五”</w:t>
      </w:r>
      <w:r>
        <w:rPr>
          <w:rFonts w:hint="eastAsia" w:ascii="仿宋_GB2312" w:hAnsi="仿宋_GB2312" w:cs="仿宋_GB2312"/>
          <w:b w:val="0"/>
          <w:smallCaps w:val="0"/>
          <w:kern w:val="2"/>
          <w:sz w:val="32"/>
          <w:szCs w:val="32"/>
          <w:highlight w:val="none"/>
          <w:lang w:val="en-US" w:eastAsia="zh-CN" w:bidi="ar-SA"/>
        </w:rPr>
        <w:t>农业农村现代化发展规划</w:t>
      </w:r>
      <w:r>
        <w:rPr>
          <w:rFonts w:hint="eastAsia" w:ascii="仿宋_GB2312" w:hAnsi="仿宋_GB2312" w:eastAsia="仿宋_GB2312" w:cs="仿宋_GB2312"/>
          <w:b w:val="0"/>
          <w:smallCaps w:val="0"/>
          <w:kern w:val="2"/>
          <w:sz w:val="32"/>
          <w:szCs w:val="32"/>
          <w:highlight w:val="none"/>
          <w:lang w:val="en-US" w:eastAsia="zh-CN" w:bidi="ar-SA"/>
        </w:rPr>
        <w:t>，必须全面贯彻落实党的十九届五中全会和省委十一届八次全会精神，</w:t>
      </w:r>
      <w:r>
        <w:rPr>
          <w:rFonts w:hint="eastAsia" w:ascii="仿宋_GB2312" w:hAnsi="仿宋_GB2312" w:cs="仿宋_GB2312"/>
          <w:b w:val="0"/>
          <w:smallCaps w:val="0"/>
          <w:kern w:val="2"/>
          <w:sz w:val="32"/>
          <w:szCs w:val="32"/>
          <w:lang w:val="en-US" w:eastAsia="zh-CN" w:bidi="ar-SA"/>
        </w:rPr>
        <w:t>要围绕“建成支点、走在前列、谱写新篇”目标定位，牢牢把握进入</w:t>
      </w:r>
      <w:r>
        <w:rPr>
          <w:rFonts w:hint="eastAsia" w:ascii="仿宋_GB2312" w:hAnsi="仿宋_GB2312" w:eastAsia="仿宋_GB2312" w:cs="仿宋_GB2312"/>
          <w:b w:val="0"/>
          <w:smallCaps w:val="0"/>
          <w:kern w:val="2"/>
          <w:sz w:val="32"/>
          <w:szCs w:val="32"/>
          <w:lang w:val="en-US" w:eastAsia="zh-CN" w:bidi="ar-SA"/>
        </w:rPr>
        <w:t>新发展阶段、贯彻新发展理念</w:t>
      </w:r>
      <w:r>
        <w:rPr>
          <w:rFonts w:hint="eastAsia" w:ascii="仿宋_GB2312" w:hAnsi="仿宋_GB2312" w:cs="仿宋_GB2312"/>
          <w:b w:val="0"/>
          <w:smallCaps w:val="0"/>
          <w:kern w:val="2"/>
          <w:sz w:val="32"/>
          <w:szCs w:val="32"/>
          <w:lang w:val="en-US" w:eastAsia="zh-CN" w:bidi="ar-SA"/>
        </w:rPr>
        <w:t>、构建</w:t>
      </w:r>
      <w:r>
        <w:rPr>
          <w:rFonts w:hint="eastAsia" w:ascii="仿宋_GB2312" w:hAnsi="仿宋_GB2312" w:eastAsia="仿宋_GB2312" w:cs="仿宋_GB2312"/>
          <w:b w:val="0"/>
          <w:smallCaps w:val="0"/>
          <w:kern w:val="2"/>
          <w:sz w:val="32"/>
          <w:szCs w:val="32"/>
          <w:lang w:val="en-US" w:eastAsia="zh-CN" w:bidi="ar-SA"/>
        </w:rPr>
        <w:t>新发展格局</w:t>
      </w:r>
      <w:r>
        <w:rPr>
          <w:rFonts w:hint="eastAsia" w:ascii="仿宋_GB2312" w:hAnsi="仿宋_GB2312" w:cs="仿宋_GB2312"/>
          <w:b w:val="0"/>
          <w:smallCaps w:val="0"/>
          <w:kern w:val="2"/>
          <w:sz w:val="32"/>
          <w:szCs w:val="32"/>
          <w:lang w:val="en-US" w:eastAsia="zh-CN" w:bidi="ar-SA"/>
        </w:rPr>
        <w:t>的丰富内涵和实践要求</w:t>
      </w:r>
      <w:r>
        <w:rPr>
          <w:rFonts w:hint="eastAsia" w:ascii="仿宋_GB2312" w:hAnsi="仿宋_GB2312" w:eastAsia="仿宋_GB2312" w:cs="仿宋_GB2312"/>
          <w:b w:val="0"/>
          <w:smallCaps w:val="0"/>
          <w:kern w:val="2"/>
          <w:sz w:val="32"/>
          <w:szCs w:val="32"/>
          <w:lang w:val="en-US" w:eastAsia="zh-CN" w:bidi="ar-SA"/>
        </w:rPr>
        <w:t>，切实转化为</w:t>
      </w:r>
      <w:r>
        <w:rPr>
          <w:rFonts w:hint="eastAsia" w:ascii="仿宋_GB2312" w:hAnsi="仿宋_GB2312" w:cs="仿宋_GB2312"/>
          <w:b w:val="0"/>
          <w:smallCaps w:val="0"/>
          <w:kern w:val="2"/>
          <w:sz w:val="32"/>
          <w:szCs w:val="32"/>
          <w:lang w:val="en-US" w:eastAsia="zh-CN" w:bidi="ar-SA"/>
        </w:rPr>
        <w:t>农业农村</w:t>
      </w:r>
      <w:r>
        <w:rPr>
          <w:rFonts w:hint="eastAsia" w:ascii="仿宋_GB2312" w:hAnsi="仿宋_GB2312" w:eastAsia="仿宋_GB2312" w:cs="仿宋_GB2312"/>
          <w:b w:val="0"/>
          <w:smallCaps w:val="0"/>
          <w:kern w:val="2"/>
          <w:sz w:val="32"/>
          <w:szCs w:val="32"/>
          <w:lang w:val="en-US" w:eastAsia="zh-CN" w:bidi="ar-SA"/>
        </w:rPr>
        <w:t>的“施工图”，不断开辟</w:t>
      </w:r>
      <w:r>
        <w:rPr>
          <w:rFonts w:hint="eastAsia" w:ascii="仿宋_GB2312" w:hAnsi="仿宋_GB2312" w:cs="仿宋_GB2312"/>
          <w:b w:val="0"/>
          <w:smallCaps w:val="0"/>
          <w:kern w:val="2"/>
          <w:sz w:val="32"/>
          <w:szCs w:val="32"/>
          <w:lang w:val="en-US" w:eastAsia="zh-CN" w:bidi="ar-SA"/>
        </w:rPr>
        <w:t>农业农村</w:t>
      </w:r>
      <w:r>
        <w:rPr>
          <w:rFonts w:hint="eastAsia" w:ascii="仿宋_GB2312" w:hAnsi="仿宋_GB2312" w:eastAsia="仿宋_GB2312" w:cs="仿宋_GB2312"/>
          <w:b w:val="0"/>
          <w:smallCaps w:val="0"/>
          <w:kern w:val="2"/>
          <w:sz w:val="32"/>
          <w:szCs w:val="32"/>
          <w:lang w:val="en-US" w:eastAsia="zh-CN" w:bidi="ar-SA"/>
        </w:rPr>
        <w:t>高质量发展新境界。</w:t>
      </w:r>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600" w:lineRule="exact"/>
        <w:ind w:left="0" w:leftChars="0" w:firstLine="0" w:firstLineChars="0"/>
        <w:jc w:val="center"/>
        <w:textAlignment w:val="auto"/>
        <w:outlineLvl w:val="1"/>
        <w:rPr>
          <w:rFonts w:hint="default" w:ascii="楷体" w:hAnsi="楷体" w:eastAsia="楷体" w:cs="楷体"/>
          <w:b/>
          <w:bCs/>
          <w:smallCaps w:val="0"/>
          <w:sz w:val="32"/>
          <w:szCs w:val="32"/>
          <w:lang w:val="en-US" w:eastAsia="zh-CN"/>
        </w:rPr>
      </w:pPr>
      <w:bookmarkStart w:id="44" w:name="_Toc32406"/>
      <w:bookmarkStart w:id="45" w:name="_Toc20276"/>
      <w:bookmarkStart w:id="46" w:name="_Toc20790"/>
      <w:r>
        <w:rPr>
          <w:rFonts w:hint="eastAsia" w:ascii="楷体" w:hAnsi="楷体" w:eastAsia="楷体" w:cs="楷体"/>
          <w:b/>
          <w:bCs/>
          <w:smallCaps w:val="0"/>
          <w:sz w:val="32"/>
          <w:szCs w:val="32"/>
          <w:lang w:val="en-US" w:eastAsia="zh-CN"/>
        </w:rPr>
        <w:t>第一节 指导思想</w:t>
      </w:r>
      <w:bookmarkEnd w:id="44"/>
      <w:bookmarkEnd w:id="45"/>
      <w:bookmarkEnd w:id="46"/>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楷体" w:hAnsi="楷体" w:eastAsia="楷体" w:cs="楷体"/>
          <w:b/>
          <w:bCs/>
          <w:smallCaps w:val="0"/>
          <w:sz w:val="32"/>
          <w:szCs w:val="32"/>
          <w:lang w:val="en-US" w:eastAsia="zh-CN"/>
        </w:rPr>
      </w:pPr>
      <w:r>
        <w:rPr>
          <w:rFonts w:ascii="仿宋_GB2312" w:hAnsi="仿宋_GB2312" w:cs="仿宋_GB2312"/>
          <w:szCs w:val="32"/>
        </w:rPr>
        <w:t>以习近平新时代中国特色社会主义思想为指导，全面贯彻党的十九大和十九届二中、三中、四中、五中全会精神，</w:t>
      </w:r>
      <w:r>
        <w:rPr>
          <w:rFonts w:hint="eastAsia" w:ascii="仿宋_GB2312" w:hAnsi="仿宋_GB2312" w:cs="仿宋_GB2312"/>
          <w:szCs w:val="32"/>
          <w:lang w:val="en-US" w:eastAsia="zh-CN"/>
        </w:rPr>
        <w:t xml:space="preserve"> </w:t>
      </w:r>
      <w:r>
        <w:rPr>
          <w:rFonts w:ascii="仿宋_GB2312" w:hAnsi="仿宋_GB2312" w:cs="仿宋_GB2312"/>
          <w:szCs w:val="32"/>
        </w:rPr>
        <w:t>贯彻落实中央经济工作会议、中央农村工作会议精神，</w:t>
      </w:r>
      <w:r>
        <w:rPr>
          <w:rFonts w:hint="eastAsia" w:ascii="仿宋_GB2312" w:hAnsi="仿宋_GB2312" w:cs="仿宋_GB2312"/>
          <w:szCs w:val="32"/>
        </w:rPr>
        <w:t>统筹推进“五位一体”总体布局，协调推进“四个全面”战略布局</w:t>
      </w:r>
      <w:r>
        <w:rPr>
          <w:rFonts w:hint="eastAsia" w:ascii="仿宋_GB2312" w:hAnsi="仿宋_GB2312" w:cs="仿宋_GB2312"/>
          <w:szCs w:val="32"/>
          <w:lang w:eastAsia="zh-CN"/>
        </w:rPr>
        <w:t>，</w:t>
      </w:r>
      <w:r>
        <w:rPr>
          <w:rFonts w:ascii="仿宋_GB2312" w:hAnsi="仿宋_GB2312" w:cs="仿宋_GB2312"/>
          <w:szCs w:val="32"/>
        </w:rPr>
        <w:t>以农业农村优先发展为总方针，以</w:t>
      </w:r>
      <w:r>
        <w:rPr>
          <w:rFonts w:hint="eastAsia" w:ascii="仿宋_GB2312" w:hAnsi="仿宋_GB2312" w:cs="仿宋_GB2312"/>
          <w:szCs w:val="32"/>
          <w:lang w:val="en-US" w:eastAsia="zh-CN"/>
        </w:rPr>
        <w:t>实现</w:t>
      </w:r>
      <w:r>
        <w:rPr>
          <w:rFonts w:ascii="仿宋_GB2312" w:hAnsi="仿宋_GB2312" w:cs="仿宋_GB2312"/>
          <w:szCs w:val="32"/>
        </w:rPr>
        <w:t>农业农村现代化为总目标，以实施乡村振兴战略为总抓手，以推进农业供给侧结构性改革</w:t>
      </w:r>
      <w:r>
        <w:rPr>
          <w:rFonts w:hint="eastAsia" w:ascii="仿宋_GB2312" w:hAnsi="仿宋_GB2312" w:cs="仿宋_GB2312"/>
          <w:szCs w:val="32"/>
          <w:lang w:val="en-US" w:eastAsia="zh-CN"/>
        </w:rPr>
        <w:t>为主线，主动融入湖北“一主引领、两翼驱动、全域协同”区域布局</w:t>
      </w:r>
      <w:r>
        <w:rPr>
          <w:rFonts w:hint="eastAsia" w:ascii="仿宋_GB2312" w:hAnsi="仿宋_GB2312" w:cs="仿宋_GB2312"/>
          <w:szCs w:val="32"/>
          <w:highlight w:val="none"/>
          <w:lang w:val="en-US" w:eastAsia="zh-CN"/>
        </w:rPr>
        <w:t>，</w:t>
      </w:r>
      <w:r>
        <w:rPr>
          <w:rFonts w:hint="eastAsia" w:ascii="仿宋_GB2312" w:hAnsi="仿宋_GB2312" w:cs="仿宋_GB2312"/>
          <w:szCs w:val="32"/>
          <w:lang w:val="en-US" w:eastAsia="zh-CN"/>
        </w:rPr>
        <w:t>围绕</w:t>
      </w:r>
      <w:r>
        <w:rPr>
          <w:rFonts w:hint="eastAsia" w:ascii="仿宋_GB2312" w:hAnsi="仿宋_GB2312" w:cs="仿宋_GB2312"/>
          <w:b/>
          <w:bCs/>
          <w:szCs w:val="32"/>
          <w:lang w:val="en-US" w:eastAsia="zh-CN"/>
        </w:rPr>
        <w:t>“百强进位”</w:t>
      </w:r>
      <w:r>
        <w:rPr>
          <w:rFonts w:hint="eastAsia" w:ascii="仿宋_GB2312" w:hAnsi="仿宋_GB2312" w:cs="仿宋_GB2312"/>
          <w:szCs w:val="32"/>
          <w:lang w:val="en-US" w:eastAsia="zh-CN"/>
        </w:rPr>
        <w:t>目标指引，强化以工补农、以城带乡，推动形成工农互促、城乡互补、协调发展、共同繁荣的新型工农城乡关系，把</w:t>
      </w:r>
      <w:r>
        <w:rPr>
          <w:rFonts w:hint="eastAsia" w:ascii="仿宋_GB2312" w:hAnsi="仿宋_GB2312" w:cs="仿宋_GB2312"/>
          <w:szCs w:val="32"/>
        </w:rPr>
        <w:t>潜江</w:t>
      </w:r>
      <w:r>
        <w:rPr>
          <w:rFonts w:hint="eastAsia" w:ascii="仿宋_GB2312" w:hAnsi="仿宋_GB2312" w:cs="仿宋_GB2312"/>
          <w:szCs w:val="32"/>
          <w:lang w:val="en-US" w:eastAsia="zh-CN"/>
        </w:rPr>
        <w:t>建设成</w:t>
      </w:r>
      <w:r>
        <w:rPr>
          <w:rFonts w:hint="eastAsia" w:ascii="仿宋_GB2312" w:hAnsi="仿宋_GB2312" w:cs="仿宋_GB2312"/>
          <w:szCs w:val="32"/>
        </w:rPr>
        <w:t>为</w:t>
      </w:r>
      <w:r>
        <w:rPr>
          <w:rFonts w:hint="eastAsia" w:ascii="仿宋_GB2312" w:hAnsi="仿宋_GB2312" w:cs="仿宋_GB2312"/>
          <w:b/>
          <w:bCs/>
          <w:szCs w:val="32"/>
          <w:highlight w:val="none"/>
          <w:lang w:val="en-US" w:eastAsia="zh-CN"/>
        </w:rPr>
        <w:t>湖北省重要优质农产品供应基地、全国农业全产业链典型县、国家农业现代化示范区、全国农村一二三产业融合发展示范区</w:t>
      </w:r>
      <w:r>
        <w:rPr>
          <w:rFonts w:hint="eastAsia" w:ascii="仿宋_GB2312" w:hAnsi="仿宋_GB2312" w:cs="仿宋_GB2312"/>
          <w:b w:val="0"/>
          <w:bCs w:val="0"/>
          <w:szCs w:val="32"/>
          <w:highlight w:val="none"/>
          <w:lang w:val="en-US" w:eastAsia="zh-CN"/>
        </w:rPr>
        <w:t>和</w:t>
      </w:r>
      <w:r>
        <w:rPr>
          <w:rFonts w:hint="eastAsia" w:ascii="仿宋_GB2312" w:hAnsi="仿宋_GB2312" w:cs="仿宋_GB2312"/>
          <w:b/>
          <w:bCs/>
          <w:szCs w:val="32"/>
          <w:highlight w:val="none"/>
          <w:lang w:val="en-US" w:eastAsia="zh-CN"/>
        </w:rPr>
        <w:t>国家乡村振兴示范区，</w:t>
      </w:r>
      <w:r>
        <w:rPr>
          <w:rFonts w:hint="eastAsia" w:ascii="仿宋_GB2312" w:hAnsi="仿宋_GB2312" w:cs="仿宋_GB2312"/>
          <w:szCs w:val="32"/>
          <w:highlight w:val="none"/>
        </w:rPr>
        <w:t>加快推进农业农村现代化</w:t>
      </w:r>
      <w:r>
        <w:rPr>
          <w:rFonts w:hint="eastAsia" w:ascii="仿宋_GB2312" w:hAnsi="仿宋_GB2312" w:cs="仿宋_GB2312"/>
          <w:szCs w:val="32"/>
          <w:highlight w:val="none"/>
          <w:lang w:eastAsia="zh-CN"/>
        </w:rPr>
        <w:t>。</w:t>
      </w:r>
      <w:bookmarkStart w:id="47" w:name="_Toc12345"/>
      <w:bookmarkStart w:id="48" w:name="_Toc25465"/>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60" w:lineRule="exact"/>
        <w:ind w:left="0" w:leftChars="0" w:firstLine="0" w:firstLineChars="0"/>
        <w:jc w:val="center"/>
        <w:textAlignment w:val="auto"/>
        <w:outlineLvl w:val="1"/>
        <w:rPr>
          <w:rFonts w:hint="default" w:ascii="楷体" w:hAnsi="楷体" w:eastAsia="楷体" w:cs="楷体"/>
          <w:b/>
          <w:bCs/>
          <w:smallCaps w:val="0"/>
          <w:sz w:val="32"/>
          <w:szCs w:val="32"/>
          <w:lang w:val="en-US" w:eastAsia="zh-CN"/>
        </w:rPr>
      </w:pPr>
      <w:bookmarkStart w:id="49" w:name="_Toc32396"/>
      <w:r>
        <w:rPr>
          <w:rFonts w:hint="eastAsia" w:ascii="楷体" w:hAnsi="楷体" w:eastAsia="楷体" w:cs="楷体"/>
          <w:b/>
          <w:bCs/>
          <w:smallCaps w:val="0"/>
          <w:sz w:val="32"/>
          <w:szCs w:val="32"/>
          <w:lang w:val="en-US" w:eastAsia="zh-CN"/>
        </w:rPr>
        <w:t>第二节 基本原则</w:t>
      </w:r>
      <w:bookmarkEnd w:id="47"/>
      <w:bookmarkEnd w:id="48"/>
      <w:bookmarkEnd w:id="49"/>
    </w:p>
    <w:p>
      <w:pPr>
        <w:keepNext w:val="0"/>
        <w:keepLines w:val="0"/>
        <w:pageBreakBefore w:val="0"/>
        <w:widowControl w:val="0"/>
        <w:kinsoku/>
        <w:wordWrap/>
        <w:overflowPunct/>
        <w:topLinePunct w:val="0"/>
        <w:autoSpaceDE/>
        <w:autoSpaceDN/>
        <w:bidi w:val="0"/>
        <w:adjustRightInd/>
        <w:snapToGrid/>
        <w:textAlignment w:val="auto"/>
        <w:rPr>
          <w:rFonts w:hint="eastAsia"/>
          <w:b w:val="0"/>
          <w:bCs w:val="0"/>
          <w:lang w:val="en-US" w:eastAsia="zh-CN"/>
        </w:rPr>
      </w:pPr>
      <w:bookmarkStart w:id="50" w:name="_Toc27474"/>
      <w:bookmarkStart w:id="51" w:name="_Toc31436"/>
      <w:bookmarkStart w:id="52" w:name="_Toc27029"/>
      <w:bookmarkStart w:id="53" w:name="_Toc23924"/>
      <w:r>
        <w:rPr>
          <w:rFonts w:hint="eastAsia"/>
          <w:b/>
          <w:bCs/>
          <w:lang w:val="en-US" w:eastAsia="zh-CN"/>
        </w:rPr>
        <w:t>1.坚持党的全面领导。</w:t>
      </w:r>
      <w:r>
        <w:rPr>
          <w:rFonts w:hint="eastAsia"/>
          <w:b w:val="0"/>
          <w:bCs w:val="0"/>
          <w:lang w:val="en-US" w:eastAsia="zh-CN"/>
        </w:rPr>
        <w:t>严格落实五级书记抓乡村振兴，坚持和加强党对农村工作的全面领导，充分发挥基层党组织战斗堡垒作用，不断提高贯彻新发展理念、构建新发展格局的能力和水平，不折不扣贯彻落实中央省委市委决策部署，为实现高质量发展提供根本保证。</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b/>
          <w:bCs/>
          <w:lang w:val="en-US" w:eastAsia="zh-CN"/>
        </w:rPr>
        <w:t>2.坚持农民主体地位。</w:t>
      </w:r>
      <w:r>
        <w:rPr>
          <w:rFonts w:hint="eastAsia"/>
          <w:lang w:val="en-US" w:eastAsia="zh-CN"/>
        </w:rPr>
        <w:t>以维护农民权益与增进农民福祉为出发点和落脚点，尊重农民经营自主权和首创精神，激发广大农民群众创新、创业、创造活力，让农民成为农业现代化的自觉参与者和真正受益者。</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b/>
          <w:bCs/>
          <w:lang w:val="en-US" w:eastAsia="zh-CN"/>
        </w:rPr>
        <w:t>3.坚持产能结构协调兼顾。</w:t>
      </w:r>
      <w:r>
        <w:rPr>
          <w:rFonts w:hint="eastAsia"/>
          <w:lang w:val="en-US" w:eastAsia="zh-CN"/>
        </w:rPr>
        <w:t>以保障粮食安全为底线，注重提高农业综合生产能力和调整优化农业结构，提升供给体系质量和效率，加快形成数量平衡、结构合理、品质优良的有效供给。</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b/>
          <w:bCs/>
          <w:lang w:val="en-US" w:eastAsia="zh-CN"/>
        </w:rPr>
        <w:t>4.坚持市场政府两手发力。</w:t>
      </w:r>
      <w:r>
        <w:rPr>
          <w:rFonts w:hint="eastAsia"/>
          <w:lang w:val="en-US" w:eastAsia="zh-CN"/>
        </w:rPr>
        <w:t>充分发挥市场在资源配置中的决定性作用，更好发挥政府在政策引导、宏观调控、支持保护、公共服务等方面作用，建立主体活力迸发、管理顺畅高效、制度保障完备的现代管理机制。</w:t>
      </w: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b/>
          <w:bCs/>
          <w:smallCaps w:val="0"/>
          <w:sz w:val="32"/>
          <w:szCs w:val="32"/>
          <w:highlight w:val="yellow"/>
          <w:lang w:val="en-US" w:eastAsia="zh-CN"/>
        </w:rPr>
      </w:pPr>
      <w:r>
        <w:rPr>
          <w:rFonts w:hint="eastAsia"/>
          <w:b/>
          <w:bCs/>
          <w:lang w:val="en-US" w:eastAsia="zh-CN"/>
        </w:rPr>
        <w:t>5.坚持城乡互补共同繁荣。</w:t>
      </w:r>
      <w:r>
        <w:rPr>
          <w:rFonts w:hint="eastAsia"/>
          <w:lang w:val="en-US" w:eastAsia="zh-CN"/>
        </w:rPr>
        <w:t>坚持城乡统筹，城乡协同，推进城乡基本公共服务均等化。坚持区域联动，科学规划，实现城乡系统功能效益最大化，充分发挥潜江中心城镇带动力和牵引力，以城乡产业发展为重点、以城乡人才融合为支撑，构建起以城带农、工农互促、城乡互补的全面融合、共同繁荣新格局。</w:t>
      </w:r>
      <w:bookmarkEnd w:id="50"/>
      <w:bookmarkEnd w:id="51"/>
      <w:bookmarkEnd w:id="52"/>
      <w:bookmarkEnd w:id="53"/>
      <w:bookmarkStart w:id="54" w:name="_Toc30781"/>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60" w:lineRule="exact"/>
        <w:ind w:left="0" w:leftChars="0" w:firstLine="0" w:firstLineChars="0"/>
        <w:jc w:val="center"/>
        <w:textAlignment w:val="auto"/>
        <w:outlineLvl w:val="1"/>
        <w:rPr>
          <w:rFonts w:hint="default" w:ascii="楷体" w:hAnsi="楷体" w:eastAsia="楷体" w:cs="楷体"/>
          <w:b/>
          <w:bCs/>
          <w:smallCaps w:val="0"/>
          <w:sz w:val="32"/>
          <w:szCs w:val="32"/>
          <w:highlight w:val="yellow"/>
          <w:lang w:val="en-US" w:eastAsia="zh-CN"/>
        </w:rPr>
      </w:pPr>
      <w:bookmarkStart w:id="55" w:name="_Toc31897"/>
      <w:bookmarkStart w:id="56" w:name="_Toc27898"/>
      <w:r>
        <w:rPr>
          <w:rFonts w:hint="eastAsia" w:ascii="楷体" w:hAnsi="楷体" w:eastAsia="楷体" w:cs="楷体"/>
          <w:b/>
          <w:bCs/>
          <w:smallCaps w:val="0"/>
          <w:sz w:val="32"/>
          <w:szCs w:val="32"/>
          <w:highlight w:val="none"/>
          <w:lang w:val="en-US" w:eastAsia="zh-CN"/>
        </w:rPr>
        <w:t>第三节 发展目标</w:t>
      </w:r>
      <w:bookmarkEnd w:id="54"/>
      <w:bookmarkEnd w:id="55"/>
      <w:bookmarkEnd w:id="56"/>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default" w:eastAsia="楷体" w:cs="Times New Roman"/>
          <w:b/>
          <w:bCs/>
          <w:color w:val="auto"/>
          <w:sz w:val="32"/>
          <w:szCs w:val="40"/>
          <w:highlight w:val="none"/>
          <w:lang w:val="en-US" w:eastAsia="zh-CN"/>
        </w:rPr>
      </w:pPr>
      <w:bookmarkStart w:id="57" w:name="_Toc26857"/>
      <w:bookmarkStart w:id="58" w:name="_Toc21204"/>
      <w:bookmarkStart w:id="59" w:name="_Toc28687"/>
      <w:bookmarkStart w:id="60" w:name="_Toc8249"/>
      <w:r>
        <w:rPr>
          <w:rFonts w:hint="eastAsia" w:eastAsia="楷体" w:cs="Times New Roman"/>
          <w:b/>
          <w:bCs/>
          <w:color w:val="auto"/>
          <w:sz w:val="32"/>
          <w:szCs w:val="40"/>
          <w:highlight w:val="none"/>
          <w:lang w:val="en-US" w:eastAsia="zh-CN"/>
        </w:rPr>
        <w:t>一、远景目标</w:t>
      </w:r>
    </w:p>
    <w:p>
      <w:pPr>
        <w:pStyle w:val="2"/>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到2035年，乡村振兴取得决定性进展，农业农村现代化基本实现，建成农业强市。农业结构得到根本性改善，农民就业质量显著提高，共同富裕迈出坚实步伐；城乡基本公共服务均等化基本实现，城乡融合发展体制机制更加完善；乡风文明达到新高度，乡村治理体系更加完善；农村生态环境根本好转，生态宜居的美丽乡村基本实现</w:t>
      </w:r>
      <w:r>
        <w:rPr>
          <w:rFonts w:hint="eastAsia" w:ascii="Times New Roman" w:hAnsi="Times New Roman" w:cs="Times New Roman"/>
          <w:lang w:val="en-US" w:eastAsia="zh-CN"/>
        </w:rPr>
        <w:t>。</w:t>
      </w:r>
      <w:r>
        <w:rPr>
          <w:rFonts w:hint="default" w:ascii="Times New Roman" w:hAnsi="Times New Roman" w:cs="Times New Roman"/>
          <w:lang w:val="en-US" w:eastAsia="zh-CN"/>
        </w:rPr>
        <w:t>乡村全面振兴，农业强、农村美、农民富全面实现。</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lang w:val="en-US" w:eastAsia="zh-CN"/>
        </w:rPr>
      </w:pPr>
      <w:r>
        <w:rPr>
          <w:rFonts w:hint="eastAsia" w:eastAsia="楷体" w:cs="Times New Roman"/>
          <w:b/>
          <w:bCs/>
          <w:color w:val="auto"/>
          <w:sz w:val="32"/>
          <w:szCs w:val="40"/>
          <w:highlight w:val="none"/>
          <w:lang w:val="en-US" w:eastAsia="zh-CN"/>
        </w:rPr>
        <w:t>二、近景目标</w:t>
      </w:r>
    </w:p>
    <w:p>
      <w:pPr>
        <w:bidi w:val="0"/>
        <w:rPr>
          <w:rFonts w:ascii="Times New Roman" w:hAnsi="Times New Roman" w:cs="Times New Roman"/>
          <w:bCs/>
          <w:kern w:val="2"/>
          <w:szCs w:val="24"/>
        </w:rPr>
      </w:pPr>
      <w:r>
        <w:rPr>
          <w:rFonts w:hint="eastAsia"/>
          <w:lang w:val="en-US" w:eastAsia="zh-CN"/>
        </w:rPr>
        <w:t>到2025年，全市农业农村现代化水平全面提升，农产品供给保障能力稳步提高，农业发展质效明显提升，农业物质技术装备能力不断增强，建设成为</w:t>
      </w:r>
      <w:r>
        <w:rPr>
          <w:rFonts w:hint="eastAsia" w:ascii="仿宋_GB2312" w:hAnsi="仿宋_GB2312" w:cs="仿宋_GB2312"/>
          <w:b w:val="0"/>
          <w:bCs w:val="0"/>
          <w:szCs w:val="32"/>
          <w:highlight w:val="none"/>
          <w:lang w:val="en-US" w:eastAsia="zh-CN"/>
        </w:rPr>
        <w:t>湖北省重要优质农产品供应基地、全国农业全产业链典型县、国家农业现代化示范区、全国农村一二三产业融合发展示范区和国家乡村振兴示范区。</w:t>
      </w:r>
      <w:r>
        <w:rPr>
          <w:rFonts w:hint="eastAsia"/>
          <w:lang w:val="en-US" w:eastAsia="zh-CN"/>
        </w:rPr>
        <w:t>美丽宜居乡村全面覆盖，城乡融合发展格局基本形成，农业农村现代化进程走在全省前列，示范镇村率先基本实现农业农村现代化，成为长江经济带最具影响力和带动力的强劲活跃增长极。</w:t>
      </w:r>
    </w:p>
    <w:p>
      <w:pPr>
        <w:bidi w:val="0"/>
        <w:rPr>
          <w:rFonts w:hint="eastAsia" w:ascii="楷体" w:hAnsi="楷体" w:eastAsia="楷体" w:cs="楷体"/>
          <w:b/>
          <w:bCs/>
          <w:lang w:val="en-US"/>
        </w:rPr>
      </w:pPr>
      <w:r>
        <w:rPr>
          <w:rFonts w:hint="eastAsia" w:ascii="楷体" w:hAnsi="楷体" w:eastAsia="楷体" w:cs="楷体"/>
          <w:b/>
          <w:bCs/>
          <w:lang w:val="en-US" w:eastAsia="zh-CN"/>
        </w:rPr>
        <w:t>（一）农业高质高效。</w:t>
      </w:r>
    </w:p>
    <w:p>
      <w:pPr>
        <w:keepNext w:val="0"/>
        <w:keepLines w:val="0"/>
        <w:pageBreakBefore w:val="0"/>
        <w:widowControl w:val="0"/>
        <w:kinsoku/>
        <w:wordWrap/>
        <w:overflowPunct/>
        <w:topLinePunct w:val="0"/>
        <w:autoSpaceDE/>
        <w:autoSpaceDN/>
        <w:bidi w:val="0"/>
        <w:adjustRightInd/>
        <w:snapToGrid/>
        <w:textAlignment w:val="auto"/>
        <w:rPr>
          <w:rFonts w:hint="eastAsia"/>
          <w:b w:val="0"/>
          <w:bCs w:val="0"/>
          <w:highlight w:val="none"/>
          <w:lang w:val="en-US" w:eastAsia="zh-CN"/>
        </w:rPr>
      </w:pPr>
      <w:r>
        <w:rPr>
          <w:b/>
          <w:bCs/>
          <w:highlight w:val="none"/>
        </w:rPr>
        <w:t>1.</w:t>
      </w:r>
      <w:bookmarkEnd w:id="57"/>
      <w:bookmarkEnd w:id="58"/>
      <w:bookmarkEnd w:id="59"/>
      <w:r>
        <w:rPr>
          <w:rFonts w:hint="eastAsia"/>
          <w:b/>
          <w:bCs/>
          <w:highlight w:val="none"/>
          <w:lang w:val="en-US" w:eastAsia="zh-CN"/>
        </w:rPr>
        <w:t>农产品供给保障能力稳步提高</w:t>
      </w:r>
      <w:r>
        <w:rPr>
          <w:b/>
          <w:bCs/>
          <w:highlight w:val="none"/>
        </w:rPr>
        <w:t>。</w:t>
      </w:r>
      <w:r>
        <w:rPr>
          <w:rFonts w:hint="eastAsia"/>
          <w:highlight w:val="none"/>
          <w:lang w:val="en-US" w:eastAsia="zh-CN"/>
        </w:rPr>
        <w:t>“十四五”期间，全市耕地保有量稳定在180万亩。保障粮、油、菜、肉、蛋等重要农产品供给安全。粮食总产预计稳定在60万吨，其中水稻产量预计稳定在47万吨。油料总产稳定在4.25万吨，其中油菜籽产量稳定在3.5万吨。蔬菜和瓜果总产预计分别达到100万吨和8.5万吨。中药材总产预计达到2万吨。水产品总产预计达到20万吨，其中小龙虾产量预计达到13.50万吨。</w:t>
      </w:r>
      <w:bookmarkEnd w:id="60"/>
      <w:bookmarkStart w:id="61" w:name="_Toc14856"/>
      <w:bookmarkStart w:id="62" w:name="_Toc12125"/>
      <w:bookmarkStart w:id="63" w:name="_Toc28517"/>
      <w:bookmarkStart w:id="64" w:name="_Toc22452"/>
      <w:r>
        <w:rPr>
          <w:rFonts w:hint="eastAsia" w:ascii="仿宋" w:hAnsi="仿宋" w:eastAsia="仿宋"/>
          <w:sz w:val="32"/>
          <w:szCs w:val="32"/>
          <w:highlight w:val="none"/>
        </w:rPr>
        <w:t>猪牛羊禽肉</w:t>
      </w:r>
      <w:r>
        <w:rPr>
          <w:rFonts w:ascii="仿宋" w:hAnsi="仿宋" w:eastAsia="仿宋"/>
          <w:sz w:val="32"/>
          <w:szCs w:val="32"/>
          <w:highlight w:val="none"/>
        </w:rPr>
        <w:t>总产</w:t>
      </w:r>
      <w:r>
        <w:rPr>
          <w:rFonts w:hint="eastAsia" w:ascii="仿宋" w:hAnsi="仿宋" w:eastAsia="仿宋"/>
          <w:sz w:val="32"/>
          <w:szCs w:val="32"/>
          <w:highlight w:val="none"/>
        </w:rPr>
        <w:t>预计</w:t>
      </w:r>
      <w:r>
        <w:rPr>
          <w:rFonts w:ascii="仿宋" w:hAnsi="仿宋" w:eastAsia="仿宋"/>
          <w:sz w:val="32"/>
          <w:szCs w:val="32"/>
          <w:highlight w:val="none"/>
        </w:rPr>
        <w:t>达到</w:t>
      </w:r>
      <w:r>
        <w:rPr>
          <w:rFonts w:hint="default" w:ascii="Times New Roman" w:hAnsi="Times New Roman" w:eastAsia="仿宋" w:cs="Times New Roman"/>
          <w:sz w:val="32"/>
          <w:szCs w:val="32"/>
          <w:highlight w:val="none"/>
        </w:rPr>
        <w:t>4.39万吨，禽蛋总产预计达到2.53万</w:t>
      </w:r>
      <w:r>
        <w:rPr>
          <w:rFonts w:hint="eastAsia" w:ascii="仿宋" w:hAnsi="仿宋" w:eastAsia="仿宋"/>
          <w:sz w:val="32"/>
          <w:szCs w:val="32"/>
          <w:highlight w:val="none"/>
        </w:rPr>
        <w:t>吨。</w:t>
      </w:r>
      <w:r>
        <w:rPr>
          <w:rFonts w:hint="eastAsia"/>
          <w:highlight w:val="none"/>
          <w:lang w:val="en-US" w:eastAsia="zh-CN"/>
        </w:rPr>
        <w:t>到2025年，全市农业综合生产能力显著提升，成为</w:t>
      </w:r>
      <w:r>
        <w:rPr>
          <w:rFonts w:hint="eastAsia"/>
          <w:b w:val="0"/>
          <w:bCs w:val="0"/>
          <w:highlight w:val="none"/>
          <w:lang w:val="en-US" w:eastAsia="zh-CN"/>
        </w:rPr>
        <w:t>湖北省重要优质农产品供应基地。</w:t>
      </w:r>
    </w:p>
    <w:p>
      <w:pPr>
        <w:pStyle w:val="2"/>
        <w:keepNext w:val="0"/>
        <w:keepLines w:val="0"/>
        <w:pageBreakBefore w:val="0"/>
        <w:widowControl w:val="0"/>
        <w:kinsoku/>
        <w:wordWrap/>
        <w:overflowPunct/>
        <w:topLinePunct w:val="0"/>
        <w:autoSpaceDE/>
        <w:autoSpaceDN/>
        <w:bidi w:val="0"/>
        <w:adjustRightInd/>
        <w:snapToGrid/>
        <w:spacing w:after="0"/>
        <w:ind w:firstLine="643" w:firstLineChars="200"/>
        <w:jc w:val="both"/>
        <w:textAlignment w:val="auto"/>
        <w:rPr>
          <w:rFonts w:hint="eastAsia"/>
          <w:b/>
          <w:bCs/>
          <w:highlight w:val="none"/>
          <w:lang w:val="en-US" w:eastAsia="zh-CN"/>
        </w:rPr>
      </w:pPr>
      <w:r>
        <w:rPr>
          <w:rFonts w:hint="eastAsia"/>
          <w:b/>
          <w:bCs/>
          <w:highlight w:val="none"/>
          <w:lang w:val="en-US" w:eastAsia="zh-CN"/>
        </w:rPr>
        <w:t>2.农业产业持续发展壮大。</w:t>
      </w:r>
      <w:r>
        <w:rPr>
          <w:rFonts w:hint="eastAsia" w:eastAsia="仿宋_GB2312" w:cs="Times New Roman"/>
          <w:kern w:val="2"/>
          <w:sz w:val="32"/>
          <w:szCs w:val="24"/>
          <w:highlight w:val="none"/>
          <w:lang w:val="en-US" w:eastAsia="zh-CN" w:bidi="ar-SA"/>
        </w:rPr>
        <w:t>到2025年，良种化、标准化、规模化、专业化</w:t>
      </w:r>
      <w:r>
        <w:rPr>
          <w:rFonts w:hint="eastAsia" w:cs="Times New Roman"/>
          <w:kern w:val="2"/>
          <w:sz w:val="32"/>
          <w:szCs w:val="24"/>
          <w:highlight w:val="none"/>
          <w:lang w:val="en-US" w:eastAsia="zh-CN" w:bidi="ar-SA"/>
        </w:rPr>
        <w:t>和</w:t>
      </w:r>
      <w:r>
        <w:rPr>
          <w:rFonts w:hint="eastAsia" w:eastAsia="仿宋_GB2312" w:cs="Times New Roman"/>
          <w:kern w:val="2"/>
          <w:sz w:val="32"/>
          <w:szCs w:val="24"/>
          <w:highlight w:val="none"/>
          <w:lang w:val="en-US" w:eastAsia="zh-CN" w:bidi="ar-SA"/>
        </w:rPr>
        <w:t>特色化的现代农业产业连片基地遍及全市，</w:t>
      </w:r>
      <w:r>
        <w:rPr>
          <w:rFonts w:hint="eastAsia" w:cs="Times New Roman"/>
          <w:kern w:val="2"/>
          <w:sz w:val="32"/>
          <w:szCs w:val="24"/>
          <w:highlight w:val="none"/>
          <w:lang w:val="en-US" w:eastAsia="zh-CN" w:bidi="ar-SA"/>
        </w:rPr>
        <w:t>建</w:t>
      </w:r>
      <w:r>
        <w:rPr>
          <w:rFonts w:hint="eastAsia" w:eastAsia="仿宋_GB2312" w:cs="Times New Roman"/>
          <w:kern w:val="2"/>
          <w:sz w:val="32"/>
          <w:szCs w:val="24"/>
          <w:highlight w:val="none"/>
          <w:lang w:val="en-US" w:eastAsia="zh-CN" w:bidi="ar-SA"/>
        </w:rPr>
        <w:t>成</w:t>
      </w:r>
      <w:r>
        <w:rPr>
          <w:rFonts w:hint="eastAsia" w:cs="Times New Roman"/>
          <w:kern w:val="2"/>
          <w:sz w:val="32"/>
          <w:szCs w:val="24"/>
          <w:highlight w:val="none"/>
          <w:lang w:val="en-US" w:eastAsia="zh-CN" w:bidi="ar-SA"/>
        </w:rPr>
        <w:t>具有全省</w:t>
      </w:r>
      <w:r>
        <w:rPr>
          <w:rFonts w:hint="eastAsia" w:eastAsia="仿宋_GB2312" w:cs="Times New Roman"/>
          <w:kern w:val="2"/>
          <w:sz w:val="32"/>
          <w:szCs w:val="24"/>
          <w:highlight w:val="none"/>
          <w:lang w:val="en-US" w:eastAsia="zh-CN" w:bidi="ar-SA"/>
        </w:rPr>
        <w:t>影响力的特色产业</w:t>
      </w:r>
      <w:r>
        <w:rPr>
          <w:rFonts w:hint="eastAsia" w:cs="Times New Roman"/>
          <w:kern w:val="2"/>
          <w:sz w:val="32"/>
          <w:szCs w:val="24"/>
          <w:highlight w:val="none"/>
          <w:lang w:val="en-US" w:eastAsia="zh-CN" w:bidi="ar-SA"/>
        </w:rPr>
        <w:t>园区</w:t>
      </w:r>
      <w:r>
        <w:rPr>
          <w:rFonts w:hint="eastAsia" w:eastAsia="仿宋_GB2312" w:cs="Times New Roman"/>
          <w:kern w:val="2"/>
          <w:sz w:val="32"/>
          <w:szCs w:val="24"/>
          <w:highlight w:val="none"/>
          <w:lang w:val="en-US" w:eastAsia="zh-CN" w:bidi="ar-SA"/>
        </w:rPr>
        <w:t>。</w:t>
      </w:r>
      <w:r>
        <w:rPr>
          <w:rFonts w:hint="eastAsia" w:cs="Times New Roman"/>
          <w:kern w:val="2"/>
          <w:sz w:val="32"/>
          <w:szCs w:val="24"/>
          <w:highlight w:val="none"/>
          <w:lang w:val="en-US" w:eastAsia="zh-CN" w:bidi="ar-SA"/>
        </w:rPr>
        <w:t>农产品初加工、精深加工和综合利用加工形成错位互补、纵深推进的发展格局。农业科技创新体系日益健全。潜江龙虾和潜江虾稻等产业，形成较大影响力的“国字号”“鄂字号”“乡字号”品牌集群。三产融合不断深入，形成休闲度假、文化体育、观光采摘、电子商务和仓储物流等产业同频共振、多点开花的发展格局。到2025年，全市农业综合效益大幅提升，市级以上龙头企业达到120家，农产品加工业产值达到500亿元，与农业总产值之比达到3:1，农产品加工转化率达到88%。农业产业化水平居全省领先地位，成功创建全国农业全产业链典型县、国家农业现代化示范区和</w:t>
      </w:r>
      <w:r>
        <w:rPr>
          <w:rFonts w:hint="eastAsia"/>
          <w:b w:val="0"/>
          <w:bCs w:val="0"/>
          <w:highlight w:val="none"/>
          <w:lang w:val="en-US" w:eastAsia="zh-CN"/>
        </w:rPr>
        <w:t>全国农村一二三产业融合发展示范区。</w:t>
      </w:r>
    </w:p>
    <w:bookmarkEnd w:id="61"/>
    <w:bookmarkEnd w:id="62"/>
    <w:bookmarkEnd w:id="63"/>
    <w:bookmarkEnd w:id="64"/>
    <w:p>
      <w:pPr>
        <w:keepNext w:val="0"/>
        <w:keepLines w:val="0"/>
        <w:pageBreakBefore w:val="0"/>
        <w:widowControl w:val="0"/>
        <w:kinsoku/>
        <w:wordWrap/>
        <w:overflowPunct/>
        <w:topLinePunct w:val="0"/>
        <w:autoSpaceDE/>
        <w:autoSpaceDN/>
        <w:bidi w:val="0"/>
        <w:adjustRightInd/>
        <w:snapToGrid/>
        <w:textAlignment w:val="auto"/>
        <w:rPr>
          <w:rFonts w:hint="default" w:eastAsia="仿宋_GB2312"/>
          <w:lang w:val="en-US" w:eastAsia="zh-CN"/>
        </w:rPr>
      </w:pPr>
      <w:bookmarkStart w:id="65" w:name="_Toc29618"/>
      <w:bookmarkStart w:id="66" w:name="_Toc19764"/>
      <w:bookmarkStart w:id="67" w:name="_Toc28184"/>
      <w:bookmarkStart w:id="68" w:name="_Toc30788"/>
      <w:r>
        <w:rPr>
          <w:rFonts w:hint="eastAsia"/>
          <w:b/>
          <w:bCs/>
          <w:lang w:val="en-US" w:eastAsia="zh-CN"/>
        </w:rPr>
        <w:t>3</w:t>
      </w:r>
      <w:r>
        <w:rPr>
          <w:b/>
          <w:bCs/>
        </w:rPr>
        <w:t>.</w:t>
      </w:r>
      <w:r>
        <w:rPr>
          <w:rFonts w:hint="eastAsia"/>
          <w:b/>
          <w:bCs/>
          <w:lang w:val="en-US" w:eastAsia="zh-CN"/>
        </w:rPr>
        <w:t>物质技术</w:t>
      </w:r>
      <w:r>
        <w:rPr>
          <w:b/>
          <w:bCs/>
        </w:rPr>
        <w:t>装备</w:t>
      </w:r>
      <w:bookmarkEnd w:id="65"/>
      <w:bookmarkEnd w:id="66"/>
      <w:bookmarkEnd w:id="67"/>
      <w:r>
        <w:rPr>
          <w:rFonts w:hint="eastAsia"/>
          <w:b/>
          <w:bCs/>
          <w:lang w:val="en-US" w:eastAsia="zh-CN"/>
        </w:rPr>
        <w:t>能力不断增强</w:t>
      </w:r>
      <w:r>
        <w:rPr>
          <w:b/>
          <w:bCs/>
        </w:rPr>
        <w:t>。</w:t>
      </w:r>
      <w:r>
        <w:rPr>
          <w:rFonts w:hint="eastAsia"/>
        </w:rPr>
        <w:t>高产稳产农田大幅增加，</w:t>
      </w:r>
      <w:r>
        <w:rPr>
          <w:rFonts w:hint="eastAsia"/>
          <w:highlight w:val="none"/>
        </w:rPr>
        <w:t>高标准农田</w:t>
      </w:r>
      <w:r>
        <w:rPr>
          <w:rFonts w:hint="eastAsia"/>
          <w:highlight w:val="none"/>
          <w:lang w:val="en-US" w:eastAsia="zh-CN"/>
        </w:rPr>
        <w:t>建设规模达到111</w:t>
      </w:r>
      <w:r>
        <w:rPr>
          <w:rFonts w:hint="eastAsia"/>
          <w:highlight w:val="none"/>
        </w:rPr>
        <w:t>万亩</w:t>
      </w:r>
      <w:r>
        <w:rPr>
          <w:rFonts w:hint="eastAsia"/>
          <w:highlight w:val="none"/>
          <w:lang w:eastAsia="zh-CN"/>
        </w:rPr>
        <w:t>。</w:t>
      </w:r>
      <w:r>
        <w:rPr>
          <w:rFonts w:hint="eastAsia"/>
        </w:rPr>
        <w:t>蔬菜播种移栽、半夏机械播</w:t>
      </w:r>
      <w:r>
        <w:rPr>
          <w:rFonts w:hint="eastAsia"/>
          <w:lang w:val="en-US" w:eastAsia="zh-CN"/>
        </w:rPr>
        <w:t>收及</w:t>
      </w:r>
      <w:r>
        <w:rPr>
          <w:rFonts w:hint="eastAsia"/>
          <w:lang w:eastAsia="zh-CN"/>
        </w:rPr>
        <w:t>渔业捕捞等关键环节实现机械化重点突破，基本实现水稻、小麦、大豆、油菜、</w:t>
      </w:r>
      <w:r>
        <w:rPr>
          <w:rFonts w:hint="eastAsia"/>
          <w:highlight w:val="none"/>
          <w:lang w:eastAsia="zh-CN"/>
        </w:rPr>
        <w:t>大宗特色优势蔬菜</w:t>
      </w:r>
      <w:r>
        <w:rPr>
          <w:rFonts w:hint="eastAsia"/>
          <w:highlight w:val="none"/>
          <w:lang w:val="en-US" w:eastAsia="zh-CN"/>
        </w:rPr>
        <w:t>和</w:t>
      </w:r>
      <w:r>
        <w:rPr>
          <w:rFonts w:hint="eastAsia"/>
          <w:lang w:eastAsia="zh-CN"/>
        </w:rPr>
        <w:t>半夏等农作物生产全程全面机械化。主要农作物耕种收综合机械化率达到86.5%；设施种植机械化率达到55%；</w:t>
      </w:r>
      <w:r>
        <w:rPr>
          <w:rFonts w:hint="eastAsia"/>
          <w:lang w:val="en-US" w:eastAsia="zh-CN"/>
        </w:rPr>
        <w:t>农产品初加工机械化率达到50%；</w:t>
      </w:r>
      <w:r>
        <w:rPr>
          <w:rFonts w:hint="eastAsia"/>
          <w:lang w:eastAsia="zh-CN"/>
        </w:rPr>
        <w:t>畜</w:t>
      </w:r>
      <w:r>
        <w:rPr>
          <w:rFonts w:hint="eastAsia"/>
          <w:lang w:val="en-US" w:eastAsia="zh-CN"/>
        </w:rPr>
        <w:t>禽和</w:t>
      </w:r>
      <w:r>
        <w:rPr>
          <w:rFonts w:hint="eastAsia"/>
          <w:lang w:eastAsia="zh-CN"/>
        </w:rPr>
        <w:t>水产养殖机械化率分别达到60%和50%。智慧农机推广应用基本实现。</w:t>
      </w:r>
      <w:r>
        <w:rPr>
          <w:rFonts w:hint="eastAsia"/>
          <w:highlight w:val="none"/>
          <w:lang w:eastAsia="zh-CN"/>
        </w:rPr>
        <w:t>主要农作物良种覆盖率、畜禽和</w:t>
      </w:r>
      <w:r>
        <w:rPr>
          <w:rFonts w:hint="eastAsia"/>
          <w:highlight w:val="none"/>
          <w:lang w:val="en-US" w:eastAsia="zh-CN"/>
        </w:rPr>
        <w:t>水产业</w:t>
      </w:r>
      <w:r>
        <w:rPr>
          <w:rFonts w:hint="eastAsia"/>
          <w:highlight w:val="none"/>
          <w:lang w:eastAsia="zh-CN"/>
        </w:rPr>
        <w:t>良种化率</w:t>
      </w:r>
      <w:r>
        <w:rPr>
          <w:rFonts w:hint="eastAsia"/>
          <w:highlight w:val="none"/>
          <w:lang w:val="en-US" w:eastAsia="zh-CN"/>
        </w:rPr>
        <w:t>分别</w:t>
      </w:r>
      <w:r>
        <w:rPr>
          <w:rFonts w:hint="eastAsia"/>
          <w:highlight w:val="none"/>
          <w:lang w:eastAsia="zh-CN"/>
        </w:rPr>
        <w:t>达</w:t>
      </w:r>
      <w:r>
        <w:rPr>
          <w:rFonts w:hint="eastAsia"/>
          <w:highlight w:val="none"/>
          <w:lang w:val="en-US" w:eastAsia="zh-CN"/>
        </w:rPr>
        <w:t>到</w:t>
      </w:r>
      <w:r>
        <w:rPr>
          <w:rFonts w:hint="eastAsia"/>
          <w:highlight w:val="none"/>
          <w:lang w:eastAsia="zh-CN"/>
        </w:rPr>
        <w:t>98%、</w:t>
      </w:r>
      <w:r>
        <w:rPr>
          <w:rFonts w:hint="eastAsia"/>
          <w:highlight w:val="none"/>
          <w:lang w:val="en-US" w:eastAsia="zh-CN"/>
        </w:rPr>
        <w:t>90</w:t>
      </w:r>
      <w:r>
        <w:rPr>
          <w:rFonts w:hint="eastAsia"/>
          <w:highlight w:val="none"/>
          <w:lang w:eastAsia="zh-CN"/>
        </w:rPr>
        <w:t>%和8</w:t>
      </w:r>
      <w:r>
        <w:rPr>
          <w:rFonts w:hint="eastAsia"/>
          <w:highlight w:val="none"/>
          <w:lang w:val="en-US" w:eastAsia="zh-CN"/>
        </w:rPr>
        <w:t>5</w:t>
      </w:r>
      <w:r>
        <w:rPr>
          <w:rFonts w:hint="eastAsia"/>
          <w:highlight w:val="none"/>
          <w:lang w:eastAsia="zh-CN"/>
        </w:rPr>
        <w:t>%以上。</w:t>
      </w:r>
      <w:r>
        <w:rPr>
          <w:rFonts w:hint="eastAsia"/>
          <w:highlight w:val="none"/>
          <w:lang w:val="en-US" w:eastAsia="zh-CN"/>
        </w:rPr>
        <w:t>农业科技进步贡献率达到64.5%。农业信息化覆盖率达到90%</w:t>
      </w:r>
      <w:r>
        <w:rPr>
          <w:rFonts w:hint="eastAsia"/>
        </w:rPr>
        <w:t>。潜江大数据中心全面升级为湖北省虾稻产业大数据中心</w:t>
      </w:r>
      <w:r>
        <w:rPr>
          <w:rFonts w:hint="eastAsia"/>
          <w:lang w:eastAsia="zh-CN"/>
        </w:rPr>
        <w:t>。</w:t>
      </w:r>
      <w:r>
        <w:rPr>
          <w:rFonts w:hint="eastAsia"/>
        </w:rPr>
        <w:t>数字农业和数字乡村建设取得阶段性成效，5G技术应用得到全面推广</w:t>
      </w:r>
      <w:r>
        <w:rPr>
          <w:rFonts w:hint="eastAsia"/>
          <w:lang w:eastAsia="zh-CN"/>
        </w:rPr>
        <w:t>。</w:t>
      </w:r>
      <w:r>
        <w:rPr>
          <w:rFonts w:hint="eastAsia"/>
          <w:lang w:val="en-US" w:eastAsia="zh-CN"/>
        </w:rPr>
        <w:t>到2025年，</w:t>
      </w:r>
      <w:r>
        <w:rPr>
          <w:rFonts w:hint="eastAsia"/>
        </w:rPr>
        <w:t>成功创建国家级数字农业示范区</w:t>
      </w:r>
      <w:r>
        <w:rPr>
          <w:rFonts w:hint="eastAsia"/>
          <w:lang w:eastAsia="zh-CN"/>
        </w:rPr>
        <w:t>，</w:t>
      </w:r>
      <w:r>
        <w:rPr>
          <w:rFonts w:hint="eastAsia"/>
          <w:lang w:val="en-US" w:eastAsia="zh-CN"/>
        </w:rPr>
        <w:t>争创国家农业高新技术产业示范区。</w:t>
      </w:r>
    </w:p>
    <w:bookmarkEnd w:id="68"/>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Times New Roman" w:hAnsi="Times New Roman" w:eastAsia="仿宋_GB2312" w:cs="Times New Roman"/>
          <w:kern w:val="2"/>
          <w:sz w:val="32"/>
          <w:szCs w:val="24"/>
          <w:highlight w:val="none"/>
          <w:lang w:val="en-US" w:eastAsia="zh-CN" w:bidi="ar-SA"/>
        </w:rPr>
      </w:pPr>
      <w:bookmarkStart w:id="69" w:name="_Toc14119"/>
      <w:bookmarkStart w:id="70" w:name="_Toc13171"/>
      <w:bookmarkStart w:id="71" w:name="_Toc17546"/>
      <w:bookmarkStart w:id="72" w:name="_Toc26374"/>
      <w:r>
        <w:rPr>
          <w:rFonts w:hint="eastAsia"/>
          <w:b/>
          <w:bCs/>
          <w:lang w:val="en-US" w:eastAsia="zh-CN"/>
        </w:rPr>
        <w:t>4</w:t>
      </w:r>
      <w:r>
        <w:rPr>
          <w:b/>
          <w:bCs/>
        </w:rPr>
        <w:t>.</w:t>
      </w:r>
      <w:bookmarkEnd w:id="69"/>
      <w:bookmarkEnd w:id="70"/>
      <w:bookmarkEnd w:id="71"/>
      <w:r>
        <w:rPr>
          <w:rFonts w:hint="eastAsia"/>
          <w:b/>
          <w:bCs/>
          <w:lang w:val="en-US" w:eastAsia="zh-CN"/>
        </w:rPr>
        <w:t>绿色农业可持续发展全面深化</w:t>
      </w:r>
      <w:r>
        <w:rPr>
          <w:b/>
          <w:bCs/>
        </w:rPr>
        <w:t>。</w:t>
      </w:r>
      <w:r>
        <w:rPr>
          <w:rFonts w:hint="eastAsia" w:ascii="Times New Roman" w:hAnsi="Times New Roman" w:eastAsia="仿宋_GB2312" w:cs="Times New Roman"/>
          <w:kern w:val="2"/>
          <w:sz w:val="32"/>
          <w:szCs w:val="24"/>
          <w:highlight w:val="none"/>
          <w:lang w:val="en-US" w:eastAsia="zh-CN" w:bidi="ar-SA"/>
        </w:rPr>
        <w:t>农业生态环境保护与治理取得实效，资源利用水平明显提高，“一控两减三基本”和耕地质量提升目标基本达成。到2025年，全市规模养殖场畜禽粪污处理设施配套率100%，畜禽粪污综合利用率95%，农作物测土配方施肥技术推广覆盖率97%，主要农作物病虫害绿色防控覆盖率45.5%，化肥使用量进一步减少，农作物秸秆综合利用率95%以上。</w:t>
      </w:r>
      <w:bookmarkEnd w:id="72"/>
      <w:bookmarkStart w:id="73" w:name="_Toc29469"/>
      <w:bookmarkStart w:id="74" w:name="_Toc6823"/>
      <w:bookmarkStart w:id="75" w:name="_Toc2487"/>
      <w:bookmarkStart w:id="76" w:name="_Toc30987"/>
      <w:r>
        <w:rPr>
          <w:rFonts w:hint="eastAsia" w:eastAsia="仿宋_GB2312" w:cs="Times New Roman"/>
          <w:kern w:val="2"/>
          <w:sz w:val="32"/>
          <w:szCs w:val="24"/>
          <w:highlight w:val="none"/>
          <w:lang w:val="en-US" w:eastAsia="zh-CN" w:bidi="ar-SA"/>
        </w:rPr>
        <w:t>耕地轮作休耕制度、废旧地膜和包装废弃物回收处理制度及农业绿色发展的科技创新体系建立健全。构建以沿江、沿河、沿湖、沿路为骨干，以田、林为基底的生态安全和绿色发展空间体系，</w:t>
      </w:r>
      <w:r>
        <w:rPr>
          <w:rFonts w:hint="eastAsia" w:cs="Times New Roman"/>
          <w:kern w:val="2"/>
          <w:sz w:val="32"/>
          <w:szCs w:val="24"/>
          <w:highlight w:val="none"/>
          <w:lang w:val="en-US" w:eastAsia="zh-CN" w:bidi="ar-SA"/>
        </w:rPr>
        <w:t>形成</w:t>
      </w:r>
      <w:r>
        <w:rPr>
          <w:rFonts w:hint="eastAsia" w:eastAsia="仿宋_GB2312" w:cs="Times New Roman"/>
          <w:kern w:val="2"/>
          <w:sz w:val="32"/>
          <w:szCs w:val="24"/>
          <w:highlight w:val="none"/>
          <w:lang w:val="en-US" w:eastAsia="zh-CN" w:bidi="ar-SA"/>
        </w:rPr>
        <w:t>种养结合、生态循环、环境优美的乡村田园生态系统，农田生态</w:t>
      </w:r>
      <w:r>
        <w:rPr>
          <w:rFonts w:hint="eastAsia" w:cs="Times New Roman"/>
          <w:kern w:val="2"/>
          <w:sz w:val="32"/>
          <w:szCs w:val="24"/>
          <w:highlight w:val="none"/>
          <w:lang w:val="en-US" w:eastAsia="zh-CN" w:bidi="ar-SA"/>
        </w:rPr>
        <w:t>、</w:t>
      </w:r>
      <w:r>
        <w:rPr>
          <w:rFonts w:hint="eastAsia" w:ascii="Times New Roman" w:hAnsi="Times New Roman" w:eastAsia="仿宋_GB2312" w:cs="Times New Roman"/>
          <w:kern w:val="2"/>
          <w:sz w:val="32"/>
          <w:szCs w:val="24"/>
          <w:highlight w:val="none"/>
          <w:lang w:val="en-US" w:eastAsia="zh-CN" w:bidi="ar-SA"/>
        </w:rPr>
        <w:t>休闲和文化价值进一步提升。到2025年，成功创建国家农业绿色发展先行区</w:t>
      </w:r>
      <w:r>
        <w:rPr>
          <w:rFonts w:hint="eastAsia" w:eastAsia="仿宋_GB2312" w:cs="Times New Roman"/>
          <w:kern w:val="2"/>
          <w:sz w:val="32"/>
          <w:szCs w:val="24"/>
          <w:highlight w:val="none"/>
          <w:lang w:val="en-US" w:eastAsia="zh-CN" w:bidi="ar-SA"/>
        </w:rPr>
        <w:t>，</w:t>
      </w:r>
      <w:r>
        <w:rPr>
          <w:rFonts w:hint="eastAsia" w:ascii="Times New Roman" w:hAnsi="Times New Roman" w:eastAsia="仿宋_GB2312" w:cs="Times New Roman"/>
          <w:kern w:val="2"/>
          <w:sz w:val="32"/>
          <w:szCs w:val="24"/>
          <w:highlight w:val="none"/>
          <w:lang w:val="en-US" w:eastAsia="zh-CN" w:bidi="ar-SA"/>
        </w:rPr>
        <w:t>建立符合</w:t>
      </w:r>
      <w:r>
        <w:rPr>
          <w:rFonts w:hint="eastAsia" w:eastAsia="仿宋_GB2312" w:cs="Times New Roman"/>
          <w:kern w:val="2"/>
          <w:sz w:val="32"/>
          <w:szCs w:val="24"/>
          <w:highlight w:val="none"/>
          <w:lang w:val="en-US" w:eastAsia="zh-CN" w:bidi="ar-SA"/>
        </w:rPr>
        <w:t>潜江</w:t>
      </w:r>
      <w:r>
        <w:rPr>
          <w:rFonts w:hint="eastAsia" w:ascii="Times New Roman" w:hAnsi="Times New Roman" w:eastAsia="仿宋_GB2312" w:cs="Times New Roman"/>
          <w:kern w:val="2"/>
          <w:sz w:val="32"/>
          <w:szCs w:val="24"/>
          <w:highlight w:val="none"/>
          <w:lang w:val="en-US" w:eastAsia="zh-CN" w:bidi="ar-SA"/>
        </w:rPr>
        <w:t>实际的农业绿色发展体制机制，形成可推广、可复制的农业绿色发展经验和做法，为全国资源枯竭型城市农业绿色转型发展打造样板。</w:t>
      </w:r>
    </w:p>
    <w:p>
      <w:pPr>
        <w:keepNext w:val="0"/>
        <w:keepLines w:val="0"/>
        <w:pageBreakBefore w:val="0"/>
        <w:widowControl w:val="0"/>
        <w:kinsoku/>
        <w:wordWrap/>
        <w:overflowPunct/>
        <w:topLinePunct w:val="0"/>
        <w:autoSpaceDE/>
        <w:autoSpaceDN/>
        <w:bidi w:val="0"/>
        <w:adjustRightInd/>
        <w:snapToGrid/>
        <w:textAlignment w:val="auto"/>
        <w:rPr>
          <w:b/>
          <w:bCs/>
          <w:highlight w:val="none"/>
        </w:rPr>
      </w:pPr>
      <w:r>
        <w:rPr>
          <w:rFonts w:hint="eastAsia"/>
          <w:b/>
          <w:bCs/>
          <w:highlight w:val="none"/>
          <w:lang w:val="en-US" w:eastAsia="zh-CN"/>
        </w:rPr>
        <w:t>5</w:t>
      </w:r>
      <w:r>
        <w:rPr>
          <w:b/>
          <w:bCs/>
          <w:highlight w:val="none"/>
        </w:rPr>
        <w:t>.现代农业经营体系</w:t>
      </w:r>
      <w:bookmarkEnd w:id="73"/>
      <w:bookmarkEnd w:id="74"/>
      <w:bookmarkEnd w:id="75"/>
      <w:r>
        <w:rPr>
          <w:rFonts w:hint="eastAsia"/>
          <w:b/>
          <w:bCs/>
          <w:highlight w:val="none"/>
          <w:lang w:val="en-US" w:eastAsia="zh-CN"/>
        </w:rPr>
        <w:t>建设深入推进</w:t>
      </w:r>
      <w:r>
        <w:rPr>
          <w:b/>
          <w:bCs/>
          <w:highlight w:val="none"/>
        </w:rPr>
        <w:t>。</w:t>
      </w:r>
      <w:r>
        <w:rPr>
          <w:rFonts w:hint="eastAsia"/>
          <w:b w:val="0"/>
          <w:bCs w:val="0"/>
          <w:highlight w:val="none"/>
        </w:rPr>
        <w:t>家庭农场、农民合作社、农业社会化服务组织等各类新型农业经营主体和服务主体蓬勃发展，现代农业经营体系初步构建，各类主体质量、效益进一步提升，竞争能力进一步增强。小农户与现代农业联结机制、农民与市场主体利益分享机制日趋完善</w:t>
      </w:r>
      <w:r>
        <w:rPr>
          <w:rFonts w:hint="eastAsia"/>
          <w:b w:val="0"/>
          <w:bCs w:val="0"/>
          <w:highlight w:val="none"/>
          <w:lang w:val="en-US" w:eastAsia="zh-CN"/>
        </w:rPr>
        <w:t>。</w:t>
      </w:r>
      <w:r>
        <w:rPr>
          <w:highlight w:val="none"/>
        </w:rPr>
        <w:t>到2025年，</w:t>
      </w:r>
      <w:r>
        <w:rPr>
          <w:rFonts w:hint="eastAsia"/>
          <w:highlight w:val="none"/>
        </w:rPr>
        <w:t>家庭农场数量稳步增加，市级以上示范家庭农场达到175家，生产经营能力和带动能力得到巩固提升</w:t>
      </w:r>
      <w:r>
        <w:rPr>
          <w:rFonts w:hint="eastAsia"/>
          <w:highlight w:val="none"/>
          <w:lang w:eastAsia="zh-CN"/>
        </w:rPr>
        <w:t>。</w:t>
      </w:r>
      <w:r>
        <w:rPr>
          <w:rFonts w:hint="eastAsia"/>
          <w:highlight w:val="none"/>
        </w:rPr>
        <w:t>农民合作社规范运行水平大幅提高，各级示范合作社达到200家</w:t>
      </w:r>
      <w:r>
        <w:rPr>
          <w:rFonts w:hint="eastAsia"/>
          <w:highlight w:val="none"/>
          <w:lang w:eastAsia="zh-CN"/>
        </w:rPr>
        <w:t>，</w:t>
      </w:r>
      <w:r>
        <w:rPr>
          <w:rFonts w:hint="eastAsia"/>
          <w:highlight w:val="none"/>
        </w:rPr>
        <w:t>服务能力和带动效应显著增强</w:t>
      </w:r>
      <w:r>
        <w:rPr>
          <w:rFonts w:hint="eastAsia"/>
          <w:highlight w:val="none"/>
          <w:lang w:eastAsia="zh-CN"/>
        </w:rPr>
        <w:t>。</w:t>
      </w:r>
      <w:r>
        <w:rPr>
          <w:rFonts w:hint="eastAsia"/>
          <w:highlight w:val="none"/>
          <w:lang w:val="en-US" w:eastAsia="zh-CN"/>
        </w:rPr>
        <w:t>农业社会化服务组织的市场化、专业化、信息化水平显著提升。农业经营主体和服务主体经营者队伍的文化素质、技能水平和经营能力显著提升。</w:t>
      </w:r>
      <w:bookmarkEnd w:id="76"/>
      <w:bookmarkStart w:id="77" w:name="_Toc24706"/>
      <w:bookmarkStart w:id="78" w:name="_Toc2254"/>
      <w:bookmarkStart w:id="79" w:name="_Toc18587"/>
      <w:bookmarkStart w:id="80" w:name="_Toc22540"/>
      <w:r>
        <w:rPr>
          <w:rFonts w:hint="eastAsia"/>
          <w:highlight w:val="none"/>
          <w:lang w:val="en-US" w:eastAsia="zh-CN"/>
        </w:rPr>
        <w:t>小农户参与新型经营主体利益联结机制的覆盖率达到60%。</w:t>
      </w: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b/>
          <w:bCs/>
          <w:highlight w:val="none"/>
          <w:lang w:val="en-US" w:eastAsia="zh-CN"/>
        </w:rPr>
      </w:pPr>
      <w:r>
        <w:rPr>
          <w:rFonts w:hint="eastAsia" w:ascii="楷体" w:hAnsi="楷体" w:eastAsia="楷体" w:cs="楷体"/>
          <w:b/>
          <w:bCs/>
          <w:lang w:val="en-US" w:eastAsia="zh-CN"/>
        </w:rPr>
        <w:t>（二）乡村宜居宜业。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highlight w:val="none"/>
          <w:lang w:val="en-US" w:eastAsia="zh-CN"/>
        </w:rPr>
      </w:pPr>
      <w:r>
        <w:rPr>
          <w:rFonts w:hint="eastAsia"/>
          <w:b/>
          <w:bCs/>
          <w:highlight w:val="none"/>
          <w:lang w:val="en-US" w:eastAsia="zh-CN"/>
        </w:rPr>
        <w:t>6.</w:t>
      </w:r>
      <w:r>
        <w:rPr>
          <w:b/>
          <w:bCs/>
          <w:highlight w:val="none"/>
        </w:rPr>
        <w:t>乡村</w:t>
      </w:r>
      <w:r>
        <w:rPr>
          <w:rFonts w:hint="eastAsia"/>
          <w:b/>
          <w:bCs/>
          <w:highlight w:val="none"/>
          <w:lang w:val="en-US" w:eastAsia="zh-CN"/>
        </w:rPr>
        <w:t>生产生活生态环境显著改善。</w:t>
      </w:r>
      <w:r>
        <w:rPr>
          <w:rFonts w:hint="eastAsia"/>
          <w:b w:val="0"/>
          <w:bCs w:val="0"/>
          <w:highlight w:val="none"/>
          <w:lang w:val="en-US" w:eastAsia="zh-CN"/>
        </w:rPr>
        <w:t>全市乡村面貌焕然一新，乡村生产、生活、生态和谐发展。新型农村社区、现代产业园区和乡村生态功能区建设有序推进，“农民向社区集中”“产业向园区集中”和“土地向新型经营主体集中”的“三个集中”蔚然成形。“美丽乡村”建设全面覆盖，宜居宜业宜游的美丽村镇连线连片，“水乡园林”的乡村特色风貌加速形成。“镇村联动”发展机制建立健全，区、镇、街道逐渐成为服务农民的区域中心。城乡融合发展体制机制进一步完善，公共服务水平趋于均衡，基础设施互联互通基本实现，城乡居民基本生活保障水平大体相当。农民文化生活不断丰富，乡风文明程度进一步提升。自治、法治、德治相结合的乡村治理体系更加完善，基层组织建设明显加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b/>
          <w:bCs/>
          <w:highlight w:val="none"/>
          <w:lang w:val="en-US" w:eastAsia="zh-CN"/>
        </w:rPr>
      </w:pPr>
      <w:r>
        <w:rPr>
          <w:rFonts w:hint="eastAsia"/>
          <w:highlight w:val="none"/>
          <w:lang w:val="en-US" w:eastAsia="zh-CN"/>
        </w:rPr>
        <w:t>到2025年，农村自来水覆盖率100%；农村卫生厕所普及率100%；农村生活污水治理率达到40%；集镇生活污水运营维护管理机制建立健全。全市产业强村、美丽乡村、文明乡村、平安乡村“四村”联创覆盖全市50%行政村；</w:t>
      </w:r>
      <w:r>
        <w:rPr>
          <w:rFonts w:hint="eastAsia"/>
          <w:b w:val="0"/>
          <w:bCs w:val="0"/>
          <w:highlight w:val="none"/>
          <w:lang w:val="en-US" w:eastAsia="zh-CN"/>
        </w:rPr>
        <w:t>城镇人口集聚能力大幅提升，</w:t>
      </w:r>
      <w:r>
        <w:rPr>
          <w:rFonts w:hint="eastAsia"/>
          <w:highlight w:val="none"/>
          <w:lang w:val="en-US" w:eastAsia="zh-CN"/>
        </w:rPr>
        <w:t>全市常住人口城镇化率达61%。</w:t>
      </w:r>
    </w:p>
    <w:bookmarkEnd w:id="77"/>
    <w:bookmarkEnd w:id="78"/>
    <w:bookmarkEnd w:id="79"/>
    <w:bookmarkEnd w:id="80"/>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b/>
          <w:bCs/>
          <w:highlight w:val="none"/>
          <w:lang w:val="en-US" w:eastAsia="zh-CN"/>
        </w:rPr>
      </w:pPr>
      <w:bookmarkStart w:id="81" w:name="_Toc16604"/>
      <w:bookmarkStart w:id="82" w:name="_Toc11278"/>
      <w:bookmarkStart w:id="83" w:name="_Toc13906"/>
      <w:bookmarkStart w:id="84" w:name="_Toc1954"/>
      <w:r>
        <w:rPr>
          <w:rFonts w:hint="eastAsia" w:ascii="楷体" w:hAnsi="楷体" w:eastAsia="楷体" w:cs="楷体"/>
          <w:b/>
          <w:bCs/>
          <w:lang w:val="en-US" w:eastAsia="zh-CN"/>
        </w:rPr>
        <w:t>（三）农民富裕富足。</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highlight w:val="none"/>
          <w:lang w:val="en-US" w:eastAsia="zh-CN"/>
        </w:rPr>
      </w:pPr>
      <w:r>
        <w:rPr>
          <w:rFonts w:hint="eastAsia"/>
          <w:b/>
          <w:bCs/>
          <w:highlight w:val="none"/>
          <w:lang w:val="en-US" w:eastAsia="zh-CN"/>
        </w:rPr>
        <w:t>7.农民共同富裕取得实质性成效。</w:t>
      </w:r>
      <w:r>
        <w:rPr>
          <w:rFonts w:hint="eastAsia"/>
          <w:highlight w:val="none"/>
          <w:lang w:val="en-US" w:eastAsia="zh-CN"/>
        </w:rPr>
        <w:t>脱贫攻坚成果不断巩固拓展，实现与乡村振兴有效衔接，共同富裕的城乡融合水平进一步提升。农民增收渠道多元，收入持续稳定提高。农村集体经济蓬勃发展。每个区、镇、街道至少形成1-2个主导产品和主导产业，全市建成6-7个“一村一品、一镇一业”农业特色专业村镇，30个以上农业特色专业村。</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highlight w:val="none"/>
          <w:lang w:val="en-US" w:eastAsia="zh-CN"/>
        </w:rPr>
      </w:pPr>
      <w:r>
        <w:rPr>
          <w:rFonts w:hint="eastAsia"/>
          <w:highlight w:val="none"/>
          <w:lang w:val="en-US" w:eastAsia="zh-CN"/>
        </w:rPr>
        <w:t>到2025年，农村常住居民人均可支配收入达2.7万元，年均增速为7.34%。城乡居民人均可支配收入比缩小至1.55：1。全市80%的行政村村级集体经济年收入达到8万元，其中年经营收益过50万元的经济强村比重达到 12%</w:t>
      </w:r>
      <w:r>
        <w:rPr>
          <w:rFonts w:hint="eastAsia" w:cs="Times New Roman"/>
          <w:b w:val="0"/>
          <w:smallCaps w:val="0"/>
          <w:kern w:val="2"/>
          <w:sz w:val="32"/>
          <w:szCs w:val="24"/>
          <w:highlight w:val="none"/>
          <w:lang w:val="en-US" w:eastAsia="zh-CN" w:bidi="ar-SA"/>
        </w:rPr>
        <w:t>。至“十四五”末，</w:t>
      </w:r>
      <w:r>
        <w:rPr>
          <w:rFonts w:hint="eastAsia"/>
          <w:highlight w:val="none"/>
          <w:lang w:val="en-US" w:eastAsia="zh-CN"/>
        </w:rPr>
        <w:t>潜江乡村振兴取得深入进展、走在湖北前列，农业农村现代化发展目标如期实现。农民生活质量明显提升，群众获得感、幸福感、安全感显著增强，将潜江打造为国家级乡村振兴示范区。</w:t>
      </w:r>
      <w:bookmarkEnd w:id="81"/>
      <w:bookmarkEnd w:id="82"/>
      <w:bookmarkEnd w:id="83"/>
      <w:bookmarkEnd w:id="84"/>
    </w:p>
    <w:p>
      <w:pPr>
        <w:pStyle w:val="2"/>
        <w:rPr>
          <w:rFonts w:hint="eastAsia"/>
          <w:highlight w:val="none"/>
          <w:lang w:val="en-US" w:eastAsia="zh-CN"/>
        </w:rPr>
      </w:pPr>
    </w:p>
    <w:p>
      <w:pPr>
        <w:pStyle w:val="2"/>
        <w:rPr>
          <w:rFonts w:hint="eastAsia"/>
        </w:rPr>
      </w:pPr>
    </w:p>
    <w:p>
      <w:pPr>
        <w:spacing w:line="360" w:lineRule="auto"/>
        <w:ind w:firstLine="0" w:firstLineChars="0"/>
        <w:jc w:val="center"/>
        <w:rPr>
          <w:rFonts w:hint="eastAsia" w:eastAsia="黑体"/>
          <w:lang w:eastAsia="zh-CN"/>
        </w:rPr>
      </w:pPr>
      <w:r>
        <w:rPr>
          <w:rFonts w:hint="eastAsia" w:ascii="黑体" w:hAnsi="黑体" w:eastAsia="黑体" w:cs="黑体"/>
          <w:sz w:val="28"/>
          <w:szCs w:val="22"/>
        </w:rPr>
        <w:t>表</w:t>
      </w:r>
      <w:r>
        <w:rPr>
          <w:rFonts w:hint="default" w:ascii="Times New Roman" w:hAnsi="Times New Roman" w:eastAsia="黑体" w:cs="Times New Roman"/>
          <w:sz w:val="28"/>
          <w:szCs w:val="22"/>
          <w:lang w:val="en-US" w:eastAsia="zh-CN"/>
        </w:rPr>
        <w:t>2-1</w:t>
      </w:r>
      <w:r>
        <w:rPr>
          <w:rFonts w:hint="eastAsia" w:ascii="黑体" w:hAnsi="黑体" w:eastAsia="黑体" w:cs="黑体"/>
          <w:sz w:val="28"/>
          <w:szCs w:val="22"/>
        </w:rPr>
        <w:t>“十四五”时期潜江市农业农村现代化发展主要指标</w:t>
      </w:r>
    </w:p>
    <w:tbl>
      <w:tblPr>
        <w:tblStyle w:val="24"/>
        <w:tblW w:w="5657" w:type="pct"/>
        <w:jc w:val="center"/>
        <w:tblLayout w:type="fixed"/>
        <w:tblCellMar>
          <w:top w:w="0" w:type="dxa"/>
          <w:left w:w="0" w:type="dxa"/>
          <w:bottom w:w="0" w:type="dxa"/>
          <w:right w:w="0" w:type="dxa"/>
        </w:tblCellMar>
      </w:tblPr>
      <w:tblGrid>
        <w:gridCol w:w="454"/>
        <w:gridCol w:w="572"/>
        <w:gridCol w:w="3352"/>
        <w:gridCol w:w="729"/>
        <w:gridCol w:w="925"/>
        <w:gridCol w:w="876"/>
        <w:gridCol w:w="876"/>
        <w:gridCol w:w="934"/>
        <w:gridCol w:w="707"/>
      </w:tblGrid>
      <w:tr>
        <w:tblPrEx>
          <w:tblCellMar>
            <w:top w:w="0" w:type="dxa"/>
            <w:left w:w="0" w:type="dxa"/>
            <w:bottom w:w="0" w:type="dxa"/>
            <w:right w:w="0" w:type="dxa"/>
          </w:tblCellMar>
        </w:tblPrEx>
        <w:trPr>
          <w:trHeight w:val="675" w:hRule="atLeast"/>
          <w:tblHeader/>
          <w:jc w:val="center"/>
        </w:trPr>
        <w:tc>
          <w:tcPr>
            <w:tcW w:w="454" w:type="dxa"/>
            <w:tcBorders>
              <w:top w:val="single" w:color="000000" w:sz="4" w:space="0"/>
              <w:left w:val="single" w:color="000000" w:sz="4" w:space="0"/>
              <w:bottom w:val="single" w:color="000000" w:sz="4" w:space="0"/>
              <w:right w:val="single" w:color="000000" w:sz="4" w:space="0"/>
            </w:tcBorders>
            <w:shd w:val="clear" w:color="auto" w:fill="D7D7D7"/>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Times New Roman" w:hAnsi="Times New Roman" w:eastAsia="宋体" w:cs="Times New Roman"/>
                <w:b/>
                <w:bCs/>
                <w:kern w:val="21"/>
                <w:position w:val="6"/>
                <w:sz w:val="20"/>
                <w:szCs w:val="22"/>
              </w:rPr>
            </w:pPr>
            <w:bookmarkStart w:id="85" w:name="_Toc25488"/>
            <w:bookmarkStart w:id="86" w:name="_Toc23754"/>
            <w:r>
              <w:rPr>
                <w:rFonts w:ascii="Times New Roman" w:hAnsi="Times New Roman" w:eastAsia="宋体" w:cs="Times New Roman"/>
                <w:b/>
                <w:bCs/>
                <w:kern w:val="21"/>
                <w:position w:val="6"/>
                <w:sz w:val="20"/>
                <w:szCs w:val="22"/>
              </w:rPr>
              <w:t>类别</w:t>
            </w:r>
          </w:p>
        </w:tc>
        <w:tc>
          <w:tcPr>
            <w:tcW w:w="572" w:type="dxa"/>
            <w:tcBorders>
              <w:top w:val="single" w:color="000000" w:sz="4" w:space="0"/>
              <w:left w:val="nil"/>
              <w:bottom w:val="single" w:color="000000" w:sz="4" w:space="0"/>
              <w:right w:val="single" w:color="000000" w:sz="4" w:space="0"/>
            </w:tcBorders>
            <w:shd w:val="clear" w:color="auto" w:fill="D7D7D7"/>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Times New Roman" w:hAnsi="Times New Roman" w:eastAsia="宋体" w:cs="Times New Roman"/>
                <w:b/>
                <w:bCs/>
                <w:kern w:val="21"/>
                <w:position w:val="6"/>
                <w:sz w:val="20"/>
                <w:szCs w:val="22"/>
              </w:rPr>
            </w:pPr>
            <w:r>
              <w:rPr>
                <w:rFonts w:ascii="Times New Roman" w:hAnsi="Times New Roman" w:eastAsia="宋体" w:cs="Times New Roman"/>
                <w:b/>
                <w:bCs/>
                <w:kern w:val="21"/>
                <w:position w:val="6"/>
                <w:sz w:val="20"/>
                <w:szCs w:val="22"/>
              </w:rPr>
              <w:t>序号</w:t>
            </w:r>
          </w:p>
        </w:tc>
        <w:tc>
          <w:tcPr>
            <w:tcW w:w="3352" w:type="dxa"/>
            <w:tcBorders>
              <w:top w:val="single" w:color="000000" w:sz="4" w:space="0"/>
              <w:left w:val="nil"/>
              <w:bottom w:val="single" w:color="000000" w:sz="4" w:space="0"/>
              <w:right w:val="single" w:color="000000" w:sz="4" w:space="0"/>
            </w:tcBorders>
            <w:shd w:val="clear" w:color="auto" w:fill="D7D7D7"/>
            <w:noWrap w:val="0"/>
            <w:tcMar>
              <w:top w:w="17" w:type="dxa"/>
              <w:left w:w="17" w:type="dxa"/>
              <w:bottom w:w="0" w:type="dxa"/>
              <w:right w:w="1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Times New Roman" w:hAnsi="Times New Roman" w:eastAsia="宋体" w:cs="Times New Roman"/>
                <w:b/>
                <w:bCs/>
                <w:kern w:val="21"/>
                <w:position w:val="6"/>
                <w:sz w:val="20"/>
                <w:szCs w:val="22"/>
              </w:rPr>
            </w:pPr>
            <w:r>
              <w:rPr>
                <w:rFonts w:ascii="Times New Roman" w:hAnsi="Times New Roman" w:eastAsia="宋体" w:cs="Times New Roman"/>
                <w:b/>
                <w:bCs/>
                <w:kern w:val="21"/>
                <w:position w:val="6"/>
                <w:sz w:val="20"/>
                <w:szCs w:val="22"/>
              </w:rPr>
              <w:t>指      标</w:t>
            </w:r>
          </w:p>
        </w:tc>
        <w:tc>
          <w:tcPr>
            <w:tcW w:w="729" w:type="dxa"/>
            <w:tcBorders>
              <w:top w:val="single" w:color="000000" w:sz="4" w:space="0"/>
              <w:left w:val="nil"/>
              <w:bottom w:val="single" w:color="000000" w:sz="4" w:space="0"/>
              <w:right w:val="single" w:color="000000" w:sz="4" w:space="0"/>
            </w:tcBorders>
            <w:shd w:val="clear" w:color="auto" w:fill="D7D7D7"/>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Times New Roman" w:hAnsi="Times New Roman" w:eastAsia="宋体" w:cs="Times New Roman"/>
                <w:b/>
                <w:bCs/>
                <w:kern w:val="21"/>
                <w:position w:val="6"/>
                <w:sz w:val="20"/>
                <w:szCs w:val="22"/>
              </w:rPr>
            </w:pPr>
            <w:r>
              <w:rPr>
                <w:rFonts w:ascii="Times New Roman" w:hAnsi="Times New Roman" w:eastAsia="宋体" w:cs="Times New Roman"/>
                <w:b/>
                <w:bCs/>
                <w:kern w:val="21"/>
                <w:position w:val="6"/>
                <w:sz w:val="20"/>
                <w:szCs w:val="22"/>
              </w:rPr>
              <w:t>单位</w:t>
            </w:r>
          </w:p>
        </w:tc>
        <w:tc>
          <w:tcPr>
            <w:tcW w:w="925" w:type="dxa"/>
            <w:tcBorders>
              <w:top w:val="single" w:color="000000" w:sz="4" w:space="0"/>
              <w:left w:val="nil"/>
              <w:bottom w:val="single" w:color="000000" w:sz="4" w:space="0"/>
              <w:right w:val="single" w:color="000000" w:sz="4" w:space="0"/>
            </w:tcBorders>
            <w:shd w:val="clear" w:color="auto" w:fill="D7D7D7"/>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Times New Roman" w:hAnsi="Times New Roman" w:eastAsia="宋体" w:cs="Times New Roman"/>
                <w:b/>
                <w:bCs/>
                <w:kern w:val="21"/>
                <w:position w:val="6"/>
                <w:sz w:val="20"/>
                <w:szCs w:val="22"/>
              </w:rPr>
            </w:pPr>
            <w:r>
              <w:rPr>
                <w:rFonts w:ascii="Times New Roman" w:hAnsi="Times New Roman" w:eastAsia="宋体" w:cs="Times New Roman"/>
                <w:b/>
                <w:bCs/>
                <w:kern w:val="21"/>
                <w:position w:val="6"/>
                <w:sz w:val="20"/>
                <w:szCs w:val="22"/>
              </w:rPr>
              <w:t>2020年</w:t>
            </w:r>
          </w:p>
        </w:tc>
        <w:tc>
          <w:tcPr>
            <w:tcW w:w="876" w:type="dxa"/>
            <w:tcBorders>
              <w:top w:val="single" w:color="000000" w:sz="4" w:space="0"/>
              <w:left w:val="nil"/>
              <w:bottom w:val="single" w:color="000000" w:sz="4" w:space="0"/>
              <w:right w:val="single" w:color="000000" w:sz="4" w:space="0"/>
            </w:tcBorders>
            <w:shd w:val="clear" w:color="auto" w:fill="D7D7D7"/>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Times New Roman" w:hAnsi="Times New Roman" w:eastAsia="宋体" w:cs="Times New Roman"/>
                <w:b/>
                <w:bCs/>
                <w:kern w:val="21"/>
                <w:position w:val="6"/>
                <w:sz w:val="20"/>
                <w:szCs w:val="22"/>
              </w:rPr>
            </w:pPr>
            <w:r>
              <w:rPr>
                <w:rFonts w:hint="eastAsia" w:ascii="Times New Roman" w:hAnsi="Times New Roman" w:eastAsia="宋体" w:cs="Times New Roman"/>
                <w:b/>
                <w:bCs/>
                <w:kern w:val="21"/>
                <w:position w:val="6"/>
                <w:sz w:val="20"/>
                <w:szCs w:val="22"/>
              </w:rPr>
              <w:t>2021年</w:t>
            </w:r>
          </w:p>
        </w:tc>
        <w:tc>
          <w:tcPr>
            <w:tcW w:w="876" w:type="dxa"/>
            <w:tcBorders>
              <w:top w:val="single" w:color="000000" w:sz="4" w:space="0"/>
              <w:left w:val="nil"/>
              <w:bottom w:val="single" w:color="000000" w:sz="4" w:space="0"/>
              <w:right w:val="single" w:color="000000" w:sz="4" w:space="0"/>
            </w:tcBorders>
            <w:shd w:val="clear" w:color="auto" w:fill="D7D7D7"/>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Times New Roman" w:hAnsi="Times New Roman" w:eastAsia="宋体" w:cs="Times New Roman"/>
                <w:b/>
                <w:bCs/>
                <w:kern w:val="21"/>
                <w:position w:val="6"/>
                <w:sz w:val="20"/>
                <w:szCs w:val="22"/>
              </w:rPr>
            </w:pPr>
            <w:r>
              <w:rPr>
                <w:rFonts w:ascii="Times New Roman" w:hAnsi="Times New Roman" w:eastAsia="宋体" w:cs="Times New Roman"/>
                <w:b/>
                <w:bCs/>
                <w:kern w:val="21"/>
                <w:position w:val="6"/>
                <w:sz w:val="20"/>
                <w:szCs w:val="22"/>
              </w:rPr>
              <w:t>2025年</w:t>
            </w:r>
            <w:r>
              <w:rPr>
                <w:rFonts w:ascii="Times New Roman" w:hAnsi="Times New Roman" w:eastAsia="宋体" w:cs="Times New Roman"/>
                <w:b/>
                <w:bCs/>
                <w:kern w:val="21"/>
                <w:position w:val="6"/>
                <w:sz w:val="20"/>
                <w:szCs w:val="22"/>
              </w:rPr>
              <w:br w:type="textWrapping"/>
            </w:r>
            <w:r>
              <w:rPr>
                <w:rFonts w:ascii="Times New Roman" w:hAnsi="Times New Roman" w:eastAsia="宋体" w:cs="Times New Roman"/>
                <w:b/>
                <w:bCs/>
                <w:kern w:val="21"/>
                <w:position w:val="6"/>
                <w:sz w:val="20"/>
                <w:szCs w:val="22"/>
              </w:rPr>
              <w:t>终期目标</w:t>
            </w:r>
          </w:p>
        </w:tc>
        <w:tc>
          <w:tcPr>
            <w:tcW w:w="934" w:type="dxa"/>
            <w:tcBorders>
              <w:top w:val="single" w:color="000000" w:sz="4" w:space="0"/>
              <w:left w:val="nil"/>
              <w:bottom w:val="single" w:color="000000" w:sz="4" w:space="0"/>
              <w:right w:val="single" w:color="000000" w:sz="4" w:space="0"/>
            </w:tcBorders>
            <w:shd w:val="clear" w:color="auto" w:fill="D7D7D7"/>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Times New Roman" w:hAnsi="Times New Roman" w:eastAsia="宋体" w:cs="Times New Roman"/>
                <w:b/>
                <w:bCs/>
                <w:kern w:val="21"/>
                <w:position w:val="6"/>
                <w:sz w:val="20"/>
                <w:szCs w:val="22"/>
              </w:rPr>
            </w:pPr>
            <w:r>
              <w:rPr>
                <w:rFonts w:ascii="Times New Roman" w:hAnsi="Times New Roman" w:eastAsia="宋体" w:cs="Times New Roman"/>
                <w:b/>
                <w:bCs/>
                <w:kern w:val="21"/>
                <w:position w:val="6"/>
                <w:sz w:val="20"/>
                <w:szCs w:val="22"/>
              </w:rPr>
              <w:t>年均增速</w:t>
            </w:r>
            <w:r>
              <w:rPr>
                <w:rFonts w:ascii="Times New Roman" w:hAnsi="Times New Roman" w:eastAsia="宋体" w:cs="Times New Roman"/>
                <w:b/>
                <w:bCs/>
                <w:kern w:val="21"/>
                <w:position w:val="6"/>
                <w:sz w:val="20"/>
                <w:szCs w:val="22"/>
              </w:rPr>
              <w:br w:type="textWrapping"/>
            </w:r>
            <w:r>
              <w:rPr>
                <w:rFonts w:ascii="Times New Roman" w:hAnsi="Times New Roman" w:eastAsia="宋体" w:cs="Times New Roman"/>
                <w:b/>
                <w:bCs/>
                <w:kern w:val="21"/>
                <w:position w:val="6"/>
                <w:sz w:val="20"/>
                <w:szCs w:val="22"/>
              </w:rPr>
              <w:t>[累计]</w:t>
            </w:r>
          </w:p>
        </w:tc>
        <w:tc>
          <w:tcPr>
            <w:tcW w:w="707" w:type="dxa"/>
            <w:tcBorders>
              <w:top w:val="single" w:color="000000" w:sz="4" w:space="0"/>
              <w:left w:val="nil"/>
              <w:bottom w:val="single" w:color="000000" w:sz="4" w:space="0"/>
              <w:right w:val="single" w:color="000000" w:sz="4" w:space="0"/>
            </w:tcBorders>
            <w:shd w:val="clear" w:color="auto" w:fill="D7D7D7"/>
            <w:noWrap/>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Times New Roman" w:hAnsi="Times New Roman" w:eastAsia="宋体" w:cs="Times New Roman"/>
                <w:b/>
                <w:bCs/>
                <w:kern w:val="21"/>
                <w:position w:val="6"/>
                <w:sz w:val="20"/>
                <w:szCs w:val="22"/>
              </w:rPr>
            </w:pPr>
            <w:r>
              <w:rPr>
                <w:rFonts w:ascii="Times New Roman" w:hAnsi="Times New Roman" w:eastAsia="宋体" w:cs="Times New Roman"/>
                <w:b/>
                <w:bCs/>
                <w:kern w:val="21"/>
                <w:position w:val="6"/>
                <w:sz w:val="20"/>
                <w:szCs w:val="22"/>
              </w:rPr>
              <w:t>指标</w:t>
            </w:r>
          </w:p>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Times New Roman" w:hAnsi="Times New Roman" w:eastAsia="宋体" w:cs="Times New Roman"/>
                <w:b/>
                <w:bCs/>
                <w:kern w:val="21"/>
                <w:position w:val="6"/>
                <w:sz w:val="20"/>
                <w:szCs w:val="22"/>
              </w:rPr>
            </w:pPr>
            <w:r>
              <w:rPr>
                <w:rFonts w:ascii="Times New Roman" w:hAnsi="Times New Roman" w:eastAsia="宋体" w:cs="Times New Roman"/>
                <w:b/>
                <w:bCs/>
                <w:kern w:val="21"/>
                <w:position w:val="6"/>
                <w:sz w:val="20"/>
                <w:szCs w:val="22"/>
              </w:rPr>
              <w:t>属性</w:t>
            </w:r>
          </w:p>
        </w:tc>
      </w:tr>
      <w:tr>
        <w:tblPrEx>
          <w:tblCellMar>
            <w:top w:w="0" w:type="dxa"/>
            <w:left w:w="0" w:type="dxa"/>
            <w:bottom w:w="0" w:type="dxa"/>
            <w:right w:w="0" w:type="dxa"/>
          </w:tblCellMar>
        </w:tblPrEx>
        <w:trPr>
          <w:trHeight w:val="351" w:hRule="atLeast"/>
          <w:jc w:val="center"/>
        </w:trPr>
        <w:tc>
          <w:tcPr>
            <w:tcW w:w="454" w:type="dxa"/>
            <w:vMerge w:val="restart"/>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eastAsia="宋体"/>
                <w:b/>
                <w:bCs/>
                <w:sz w:val="18"/>
                <w:szCs w:val="18"/>
                <w:lang w:val="en-US" w:eastAsia="zh-CN"/>
              </w:rPr>
            </w:pPr>
            <w:r>
              <w:rPr>
                <w:rFonts w:hint="eastAsia" w:eastAsia="宋体"/>
                <w:b/>
                <w:bCs/>
                <w:sz w:val="18"/>
                <w:szCs w:val="18"/>
                <w:lang w:val="en-US" w:eastAsia="zh-CN"/>
              </w:rPr>
              <w:t>农业高质高效</w:t>
            </w:r>
          </w:p>
        </w:tc>
        <w:tc>
          <w:tcPr>
            <w:tcW w:w="572"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eastAsia="宋体"/>
                <w:sz w:val="20"/>
                <w:szCs w:val="20"/>
                <w:highlight w:val="none"/>
                <w:lang w:val="en-US" w:eastAsia="zh-CN"/>
              </w:rPr>
            </w:pPr>
            <w:r>
              <w:rPr>
                <w:rFonts w:hint="eastAsia" w:eastAsia="宋体"/>
                <w:sz w:val="20"/>
                <w:szCs w:val="20"/>
                <w:highlight w:val="none"/>
                <w:lang w:val="en-US" w:eastAsia="zh-CN"/>
              </w:rPr>
              <w:t>1</w:t>
            </w:r>
          </w:p>
        </w:tc>
        <w:tc>
          <w:tcPr>
            <w:tcW w:w="3352" w:type="dxa"/>
            <w:tcBorders>
              <w:top w:val="single" w:color="000000" w:sz="4" w:space="0"/>
              <w:left w:val="nil"/>
              <w:bottom w:val="single" w:color="000000" w:sz="4" w:space="0"/>
              <w:right w:val="single" w:color="000000" w:sz="4" w:space="0"/>
            </w:tcBorders>
            <w:noWrap w:val="0"/>
            <w:tcMar>
              <w:top w:w="17" w:type="dxa"/>
              <w:left w:w="57" w:type="dxa"/>
              <w:bottom w:w="0" w:type="dxa"/>
              <w:right w:w="57" w:type="dxa"/>
            </w:tcMar>
            <w:vAlign w:val="center"/>
          </w:tcPr>
          <w:p>
            <w:pPr>
              <w:keepNext w:val="0"/>
              <w:keepLines w:val="0"/>
              <w:pageBreakBefore w:val="0"/>
              <w:kinsoku/>
              <w:wordWrap/>
              <w:overflowPunct/>
              <w:topLinePunct w:val="0"/>
              <w:autoSpaceDN/>
              <w:bidi w:val="0"/>
              <w:adjustRightInd/>
              <w:snapToGrid/>
              <w:spacing w:line="240" w:lineRule="auto"/>
              <w:ind w:left="0" w:leftChars="0" w:firstLine="0" w:firstLineChars="0"/>
              <w:jc w:val="both"/>
              <w:rPr>
                <w:rFonts w:eastAsia="宋体"/>
                <w:sz w:val="20"/>
                <w:szCs w:val="20"/>
                <w:highlight w:val="none"/>
              </w:rPr>
            </w:pPr>
            <w:r>
              <w:rPr>
                <w:rFonts w:hint="eastAsia" w:eastAsia="宋体"/>
                <w:sz w:val="20"/>
                <w:szCs w:val="20"/>
                <w:highlight w:val="none"/>
              </w:rPr>
              <w:t>粮食产量</w:t>
            </w:r>
          </w:p>
        </w:tc>
        <w:tc>
          <w:tcPr>
            <w:tcW w:w="729"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万吨</w:t>
            </w:r>
          </w:p>
        </w:tc>
        <w:tc>
          <w:tcPr>
            <w:tcW w:w="925"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sz w:val="20"/>
                <w:szCs w:val="20"/>
                <w:highlight w:val="none"/>
              </w:rPr>
              <w:t>5</w:t>
            </w:r>
            <w:r>
              <w:rPr>
                <w:rFonts w:hint="eastAsia" w:eastAsia="宋体" w:cs="Times New Roman"/>
                <w:sz w:val="20"/>
                <w:szCs w:val="20"/>
                <w:highlight w:val="none"/>
                <w:lang w:val="en-US" w:eastAsia="zh-CN"/>
              </w:rPr>
              <w:t>9.00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59.02</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60.00</w:t>
            </w:r>
          </w:p>
        </w:tc>
        <w:tc>
          <w:tcPr>
            <w:tcW w:w="93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0.34</w:t>
            </w:r>
            <w:r>
              <w:rPr>
                <w:rFonts w:hint="default" w:ascii="Times New Roman" w:hAnsi="Times New Roman" w:eastAsia="宋体" w:cs="Times New Roman"/>
                <w:sz w:val="20"/>
                <w:szCs w:val="20"/>
                <w:highlight w:val="none"/>
                <w:lang w:val="en-US" w:eastAsia="zh-CN"/>
              </w:rPr>
              <w:t>%</w:t>
            </w:r>
          </w:p>
        </w:tc>
        <w:tc>
          <w:tcPr>
            <w:tcW w:w="707"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keepNext w:val="0"/>
              <w:keepLines w:val="0"/>
              <w:pageBreakBefore w:val="0"/>
              <w:kinsoku/>
              <w:wordWrap/>
              <w:overflowPunct/>
              <w:topLinePunct w:val="0"/>
              <w:autoSpaceDN/>
              <w:bidi w:val="0"/>
              <w:adjustRightInd/>
              <w:snapToGrid/>
              <w:spacing w:line="240" w:lineRule="auto"/>
              <w:ind w:firstLine="0" w:firstLineChars="0"/>
              <w:jc w:val="center"/>
              <w:rPr>
                <w:rFonts w:eastAsia="宋体"/>
                <w:sz w:val="20"/>
                <w:szCs w:val="20"/>
                <w:highlight w:val="none"/>
              </w:rPr>
            </w:pPr>
            <w:r>
              <w:rPr>
                <w:rFonts w:eastAsia="宋体"/>
                <w:b/>
                <w:bCs/>
                <w:sz w:val="20"/>
                <w:szCs w:val="20"/>
                <w:highlight w:val="none"/>
              </w:rPr>
              <w:t>约束性</w:t>
            </w:r>
          </w:p>
        </w:tc>
      </w:tr>
      <w:tr>
        <w:tblPrEx>
          <w:tblCellMar>
            <w:top w:w="0" w:type="dxa"/>
            <w:left w:w="0" w:type="dxa"/>
            <w:bottom w:w="0" w:type="dxa"/>
            <w:right w:w="0" w:type="dxa"/>
          </w:tblCellMar>
        </w:tblPrEx>
        <w:trPr>
          <w:trHeight w:val="417" w:hRule="atLeast"/>
          <w:jc w:val="center"/>
        </w:trPr>
        <w:tc>
          <w:tcPr>
            <w:tcW w:w="454"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N/>
              <w:bidi w:val="0"/>
              <w:adjustRightInd/>
              <w:snapToGrid/>
              <w:spacing w:line="560" w:lineRule="exact"/>
              <w:ind w:firstLine="0" w:firstLineChars="0"/>
              <w:jc w:val="left"/>
              <w:rPr>
                <w:rFonts w:eastAsia="宋体"/>
                <w:b/>
                <w:bCs/>
                <w:sz w:val="18"/>
                <w:szCs w:val="18"/>
              </w:rPr>
            </w:pPr>
          </w:p>
        </w:tc>
        <w:tc>
          <w:tcPr>
            <w:tcW w:w="572"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eastAsia="宋体"/>
                <w:sz w:val="20"/>
                <w:szCs w:val="20"/>
                <w:highlight w:val="none"/>
                <w:lang w:val="en-US" w:eastAsia="zh-CN"/>
              </w:rPr>
            </w:pPr>
            <w:r>
              <w:rPr>
                <w:rFonts w:hint="eastAsia" w:eastAsia="宋体"/>
                <w:sz w:val="20"/>
                <w:szCs w:val="20"/>
                <w:highlight w:val="none"/>
                <w:lang w:val="en-US" w:eastAsia="zh-CN"/>
              </w:rPr>
              <w:t>2</w:t>
            </w:r>
          </w:p>
        </w:tc>
        <w:tc>
          <w:tcPr>
            <w:tcW w:w="3352" w:type="dxa"/>
            <w:tcBorders>
              <w:top w:val="single" w:color="000000" w:sz="4" w:space="0"/>
              <w:left w:val="nil"/>
              <w:bottom w:val="single" w:color="000000"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both"/>
              <w:rPr>
                <w:rFonts w:hint="default" w:eastAsia="宋体"/>
                <w:sz w:val="20"/>
                <w:szCs w:val="20"/>
                <w:highlight w:val="none"/>
                <w:lang w:val="en-US" w:eastAsia="zh-CN"/>
              </w:rPr>
            </w:pPr>
            <w:r>
              <w:rPr>
                <w:rFonts w:hint="eastAsia" w:eastAsia="宋体"/>
                <w:sz w:val="20"/>
                <w:szCs w:val="20"/>
                <w:highlight w:val="none"/>
                <w:lang w:val="en-US" w:eastAsia="zh-CN"/>
              </w:rPr>
              <w:t>油料产量</w:t>
            </w:r>
          </w:p>
        </w:tc>
        <w:tc>
          <w:tcPr>
            <w:tcW w:w="729"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sz w:val="20"/>
                <w:szCs w:val="20"/>
                <w:highlight w:val="none"/>
                <w:lang w:val="en-US" w:eastAsia="zh-CN"/>
              </w:rPr>
              <w:t>万吨</w:t>
            </w:r>
          </w:p>
        </w:tc>
        <w:tc>
          <w:tcPr>
            <w:tcW w:w="925"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4.19</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4.20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4.25</w:t>
            </w:r>
          </w:p>
        </w:tc>
        <w:tc>
          <w:tcPr>
            <w:tcW w:w="93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0.14</w:t>
            </w:r>
            <w:r>
              <w:rPr>
                <w:rFonts w:hint="default" w:ascii="Times New Roman" w:hAnsi="Times New Roman" w:eastAsia="宋体" w:cs="Times New Roman"/>
                <w:sz w:val="20"/>
                <w:szCs w:val="20"/>
                <w:highlight w:val="none"/>
                <w:lang w:val="en-US" w:eastAsia="zh-CN"/>
              </w:rPr>
              <w:t>%</w:t>
            </w:r>
          </w:p>
        </w:tc>
        <w:tc>
          <w:tcPr>
            <w:tcW w:w="707"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eastAsia="宋体"/>
                <w:sz w:val="20"/>
                <w:szCs w:val="20"/>
                <w:highlight w:val="none"/>
              </w:rPr>
            </w:pPr>
            <w:r>
              <w:rPr>
                <w:rFonts w:eastAsia="宋体"/>
                <w:sz w:val="20"/>
                <w:szCs w:val="20"/>
                <w:highlight w:val="none"/>
              </w:rPr>
              <w:t>约束性</w:t>
            </w:r>
          </w:p>
        </w:tc>
      </w:tr>
      <w:tr>
        <w:tblPrEx>
          <w:tblCellMar>
            <w:top w:w="0" w:type="dxa"/>
            <w:left w:w="0" w:type="dxa"/>
            <w:bottom w:w="0" w:type="dxa"/>
            <w:right w:w="0" w:type="dxa"/>
          </w:tblCellMar>
        </w:tblPrEx>
        <w:trPr>
          <w:trHeight w:val="417" w:hRule="atLeast"/>
          <w:jc w:val="center"/>
        </w:trPr>
        <w:tc>
          <w:tcPr>
            <w:tcW w:w="454"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N/>
              <w:bidi w:val="0"/>
              <w:adjustRightInd/>
              <w:snapToGrid/>
              <w:spacing w:line="560" w:lineRule="exact"/>
              <w:ind w:firstLine="0" w:firstLineChars="0"/>
              <w:jc w:val="left"/>
              <w:rPr>
                <w:rFonts w:eastAsia="宋体"/>
                <w:b/>
                <w:bCs/>
                <w:sz w:val="18"/>
                <w:szCs w:val="18"/>
              </w:rPr>
            </w:pPr>
          </w:p>
        </w:tc>
        <w:tc>
          <w:tcPr>
            <w:tcW w:w="572"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eastAsia="宋体"/>
                <w:color w:val="auto"/>
                <w:sz w:val="20"/>
                <w:szCs w:val="20"/>
                <w:highlight w:val="none"/>
                <w:lang w:val="en-US" w:eastAsia="zh-CN"/>
              </w:rPr>
            </w:pPr>
            <w:r>
              <w:rPr>
                <w:rFonts w:hint="eastAsia" w:eastAsia="宋体"/>
                <w:color w:val="auto"/>
                <w:sz w:val="20"/>
                <w:szCs w:val="20"/>
                <w:highlight w:val="none"/>
                <w:lang w:val="en-US" w:eastAsia="zh-CN"/>
              </w:rPr>
              <w:t>3</w:t>
            </w:r>
          </w:p>
        </w:tc>
        <w:tc>
          <w:tcPr>
            <w:tcW w:w="3352" w:type="dxa"/>
            <w:tcBorders>
              <w:top w:val="single" w:color="000000" w:sz="4" w:space="0"/>
              <w:left w:val="nil"/>
              <w:bottom w:val="single" w:color="000000"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both"/>
              <w:rPr>
                <w:rFonts w:eastAsia="宋体"/>
                <w:sz w:val="20"/>
                <w:szCs w:val="20"/>
                <w:highlight w:val="none"/>
              </w:rPr>
            </w:pPr>
            <w:r>
              <w:rPr>
                <w:rFonts w:eastAsia="宋体"/>
                <w:sz w:val="20"/>
                <w:szCs w:val="20"/>
                <w:highlight w:val="none"/>
              </w:rPr>
              <w:t>蔬菜产量</w:t>
            </w:r>
          </w:p>
        </w:tc>
        <w:tc>
          <w:tcPr>
            <w:tcW w:w="729"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万吨</w:t>
            </w:r>
          </w:p>
        </w:tc>
        <w:tc>
          <w:tcPr>
            <w:tcW w:w="925"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95.57</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sz w:val="20"/>
                <w:szCs w:val="20"/>
                <w:highlight w:val="none"/>
                <w:lang w:val="en-US" w:eastAsia="zh-CN"/>
              </w:rPr>
              <w:t>96.50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100.00</w:t>
            </w:r>
          </w:p>
        </w:tc>
        <w:tc>
          <w:tcPr>
            <w:tcW w:w="93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sz w:val="20"/>
                <w:szCs w:val="20"/>
                <w:highlight w:val="none"/>
                <w:lang w:val="en-US" w:eastAsia="zh-CN"/>
              </w:rPr>
              <w:t>0.91%</w:t>
            </w:r>
          </w:p>
        </w:tc>
        <w:tc>
          <w:tcPr>
            <w:tcW w:w="707"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eastAsia="宋体"/>
                <w:sz w:val="20"/>
                <w:szCs w:val="20"/>
                <w:highlight w:val="none"/>
              </w:rPr>
            </w:pPr>
            <w:r>
              <w:rPr>
                <w:rFonts w:hint="eastAsia" w:eastAsia="宋体"/>
                <w:sz w:val="20"/>
                <w:szCs w:val="20"/>
                <w:highlight w:val="none"/>
                <w:lang w:val="en-US" w:eastAsia="zh-CN"/>
              </w:rPr>
              <w:t>预期</w:t>
            </w:r>
            <w:r>
              <w:rPr>
                <w:rFonts w:eastAsia="宋体"/>
                <w:sz w:val="20"/>
                <w:szCs w:val="20"/>
                <w:highlight w:val="none"/>
              </w:rPr>
              <w:t>性</w:t>
            </w:r>
          </w:p>
        </w:tc>
      </w:tr>
      <w:tr>
        <w:tblPrEx>
          <w:tblCellMar>
            <w:top w:w="0" w:type="dxa"/>
            <w:left w:w="0" w:type="dxa"/>
            <w:bottom w:w="0" w:type="dxa"/>
            <w:right w:w="0" w:type="dxa"/>
          </w:tblCellMar>
        </w:tblPrEx>
        <w:trPr>
          <w:trHeight w:val="351" w:hRule="atLeast"/>
          <w:jc w:val="center"/>
        </w:trPr>
        <w:tc>
          <w:tcPr>
            <w:tcW w:w="454"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N/>
              <w:bidi w:val="0"/>
              <w:adjustRightInd/>
              <w:snapToGrid/>
              <w:spacing w:line="560" w:lineRule="exact"/>
              <w:ind w:firstLine="0" w:firstLineChars="0"/>
              <w:jc w:val="left"/>
              <w:rPr>
                <w:rFonts w:eastAsia="宋体"/>
                <w:b/>
                <w:bCs/>
                <w:sz w:val="18"/>
                <w:szCs w:val="18"/>
              </w:rPr>
            </w:pPr>
          </w:p>
        </w:tc>
        <w:tc>
          <w:tcPr>
            <w:tcW w:w="572"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color w:val="auto"/>
                <w:kern w:val="2"/>
                <w:sz w:val="20"/>
                <w:szCs w:val="20"/>
                <w:highlight w:val="none"/>
                <w:lang w:val="en-US" w:eastAsia="zh-CN" w:bidi="ar-SA"/>
              </w:rPr>
            </w:pPr>
            <w:r>
              <w:rPr>
                <w:rFonts w:hint="eastAsia" w:ascii="Times New Roman" w:hAnsi="Times New Roman" w:eastAsia="宋体" w:cs="Times New Roman"/>
                <w:color w:val="auto"/>
                <w:kern w:val="2"/>
                <w:sz w:val="20"/>
                <w:szCs w:val="20"/>
                <w:highlight w:val="none"/>
                <w:lang w:val="en-US" w:eastAsia="zh-CN" w:bidi="ar-SA"/>
              </w:rPr>
              <w:t>4</w:t>
            </w:r>
          </w:p>
        </w:tc>
        <w:tc>
          <w:tcPr>
            <w:tcW w:w="3352" w:type="dxa"/>
            <w:tcBorders>
              <w:top w:val="single" w:color="000000" w:sz="4" w:space="0"/>
              <w:left w:val="nil"/>
              <w:bottom w:val="single" w:color="000000"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both"/>
              <w:rPr>
                <w:rFonts w:hint="eastAsia" w:ascii="Times New Roman" w:hAnsi="Times New Roman" w:eastAsia="宋体" w:cs="Times New Roman"/>
                <w:kern w:val="2"/>
                <w:sz w:val="20"/>
                <w:szCs w:val="20"/>
                <w:highlight w:val="none"/>
                <w:lang w:val="en-US" w:eastAsia="zh-CN" w:bidi="ar-SA"/>
              </w:rPr>
            </w:pPr>
            <w:r>
              <w:rPr>
                <w:rFonts w:hint="eastAsia" w:eastAsia="宋体"/>
                <w:sz w:val="20"/>
                <w:szCs w:val="20"/>
                <w:highlight w:val="none"/>
                <w:lang w:val="en-US" w:eastAsia="zh-CN"/>
              </w:rPr>
              <w:t>瓜</w:t>
            </w:r>
            <w:r>
              <w:rPr>
                <w:rFonts w:hint="eastAsia" w:eastAsia="宋体"/>
                <w:sz w:val="20"/>
                <w:szCs w:val="20"/>
                <w:highlight w:val="none"/>
              </w:rPr>
              <w:t>果产量</w:t>
            </w:r>
          </w:p>
        </w:tc>
        <w:tc>
          <w:tcPr>
            <w:tcW w:w="729"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sz w:val="20"/>
                <w:szCs w:val="20"/>
                <w:highlight w:val="none"/>
              </w:rPr>
              <w:t>万吨</w:t>
            </w:r>
          </w:p>
        </w:tc>
        <w:tc>
          <w:tcPr>
            <w:tcW w:w="925"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sz w:val="20"/>
                <w:szCs w:val="20"/>
                <w:highlight w:val="none"/>
              </w:rPr>
              <w:t>6.00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sz w:val="20"/>
                <w:szCs w:val="20"/>
                <w:highlight w:val="none"/>
              </w:rPr>
              <w:t>6.</w:t>
            </w:r>
            <w:r>
              <w:rPr>
                <w:rFonts w:hint="default" w:ascii="Times New Roman" w:hAnsi="Times New Roman" w:eastAsia="宋体" w:cs="Times New Roman"/>
                <w:sz w:val="20"/>
                <w:szCs w:val="20"/>
                <w:highlight w:val="none"/>
                <w:lang w:val="en-US" w:eastAsia="zh-CN"/>
              </w:rPr>
              <w:t>3</w:t>
            </w:r>
            <w:r>
              <w:rPr>
                <w:rFonts w:hint="default" w:ascii="Times New Roman" w:hAnsi="Times New Roman" w:eastAsia="宋体" w:cs="Times New Roman"/>
                <w:sz w:val="20"/>
                <w:szCs w:val="20"/>
                <w:highlight w:val="none"/>
              </w:rPr>
              <w:t>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sz w:val="20"/>
                <w:szCs w:val="20"/>
                <w:highlight w:val="none"/>
              </w:rPr>
              <w:t>8.</w:t>
            </w:r>
            <w:r>
              <w:rPr>
                <w:rFonts w:hint="default" w:ascii="Times New Roman" w:hAnsi="Times New Roman" w:eastAsia="宋体" w:cs="Times New Roman"/>
                <w:sz w:val="20"/>
                <w:szCs w:val="20"/>
                <w:highlight w:val="none"/>
                <w:lang w:val="en-US" w:eastAsia="zh-CN"/>
              </w:rPr>
              <w:t>5</w:t>
            </w:r>
            <w:r>
              <w:rPr>
                <w:rFonts w:hint="default" w:ascii="Times New Roman" w:hAnsi="Times New Roman" w:eastAsia="宋体" w:cs="Times New Roman"/>
                <w:sz w:val="20"/>
                <w:szCs w:val="20"/>
                <w:highlight w:val="none"/>
              </w:rPr>
              <w:t>0</w:t>
            </w:r>
          </w:p>
        </w:tc>
        <w:tc>
          <w:tcPr>
            <w:tcW w:w="93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sz w:val="20"/>
                <w:szCs w:val="20"/>
                <w:highlight w:val="none"/>
                <w:lang w:val="en-US" w:eastAsia="zh-CN"/>
              </w:rPr>
              <w:t>7.21%</w:t>
            </w:r>
          </w:p>
        </w:tc>
        <w:tc>
          <w:tcPr>
            <w:tcW w:w="707"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ascii="Times New Roman" w:hAnsi="Times New Roman" w:eastAsia="宋体" w:cs="Times New Roman"/>
                <w:kern w:val="2"/>
                <w:sz w:val="20"/>
                <w:szCs w:val="20"/>
                <w:highlight w:val="none"/>
                <w:lang w:val="en-US" w:eastAsia="zh-CN" w:bidi="ar-SA"/>
              </w:rPr>
            </w:pPr>
            <w:r>
              <w:rPr>
                <w:rFonts w:eastAsia="宋体"/>
                <w:sz w:val="20"/>
                <w:szCs w:val="20"/>
                <w:highlight w:val="none"/>
              </w:rPr>
              <w:t>预期性</w:t>
            </w:r>
          </w:p>
        </w:tc>
      </w:tr>
      <w:tr>
        <w:tblPrEx>
          <w:tblCellMar>
            <w:top w:w="0" w:type="dxa"/>
            <w:left w:w="0" w:type="dxa"/>
            <w:bottom w:w="0" w:type="dxa"/>
            <w:right w:w="0" w:type="dxa"/>
          </w:tblCellMar>
        </w:tblPrEx>
        <w:trPr>
          <w:trHeight w:val="351" w:hRule="atLeast"/>
          <w:jc w:val="center"/>
        </w:trPr>
        <w:tc>
          <w:tcPr>
            <w:tcW w:w="454"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N/>
              <w:bidi w:val="0"/>
              <w:adjustRightInd/>
              <w:snapToGrid/>
              <w:spacing w:line="560" w:lineRule="exact"/>
              <w:ind w:firstLine="0" w:firstLineChars="0"/>
              <w:jc w:val="left"/>
              <w:rPr>
                <w:rFonts w:eastAsia="宋体"/>
                <w:b/>
                <w:bCs/>
                <w:sz w:val="18"/>
                <w:szCs w:val="18"/>
              </w:rPr>
            </w:pPr>
          </w:p>
        </w:tc>
        <w:tc>
          <w:tcPr>
            <w:tcW w:w="572"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eastAsia="宋体"/>
                <w:color w:val="auto"/>
                <w:sz w:val="20"/>
                <w:szCs w:val="20"/>
                <w:highlight w:val="none"/>
                <w:lang w:val="en-US" w:eastAsia="zh-CN"/>
              </w:rPr>
            </w:pPr>
            <w:r>
              <w:rPr>
                <w:rFonts w:hint="eastAsia" w:eastAsia="宋体"/>
                <w:color w:val="auto"/>
                <w:sz w:val="20"/>
                <w:szCs w:val="20"/>
                <w:highlight w:val="none"/>
                <w:lang w:val="en-US" w:eastAsia="zh-CN"/>
              </w:rPr>
              <w:t>5</w:t>
            </w:r>
          </w:p>
        </w:tc>
        <w:tc>
          <w:tcPr>
            <w:tcW w:w="3352" w:type="dxa"/>
            <w:tcBorders>
              <w:top w:val="single" w:color="000000" w:sz="4" w:space="0"/>
              <w:left w:val="nil"/>
              <w:bottom w:val="single" w:color="000000"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both"/>
              <w:rPr>
                <w:rFonts w:hint="default" w:eastAsia="宋体"/>
                <w:sz w:val="20"/>
                <w:szCs w:val="20"/>
                <w:highlight w:val="none"/>
                <w:lang w:val="en-US" w:eastAsia="zh-CN"/>
              </w:rPr>
            </w:pPr>
            <w:r>
              <w:rPr>
                <w:rFonts w:hint="eastAsia" w:eastAsia="宋体"/>
                <w:sz w:val="20"/>
                <w:szCs w:val="20"/>
                <w:highlight w:val="none"/>
                <w:lang w:val="en-US" w:eastAsia="zh-CN"/>
              </w:rPr>
              <w:t>中药材产量</w:t>
            </w:r>
          </w:p>
        </w:tc>
        <w:tc>
          <w:tcPr>
            <w:tcW w:w="729"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万吨</w:t>
            </w:r>
          </w:p>
        </w:tc>
        <w:tc>
          <w:tcPr>
            <w:tcW w:w="925"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eastAsia" w:ascii="Times New Roman" w:hAnsi="Times New Roman" w:eastAsia="宋体" w:cs="Times New Roman"/>
                <w:sz w:val="20"/>
                <w:szCs w:val="20"/>
                <w:highlight w:val="none"/>
                <w:lang w:val="en-US" w:eastAsia="zh-CN"/>
              </w:rPr>
            </w:pPr>
            <w:r>
              <w:rPr>
                <w:rFonts w:hint="default" w:ascii="Times New Roman" w:hAnsi="Times New Roman" w:eastAsia="宋体" w:cs="Times New Roman"/>
                <w:sz w:val="20"/>
                <w:szCs w:val="20"/>
                <w:highlight w:val="none"/>
              </w:rPr>
              <w:t>0.6</w:t>
            </w:r>
            <w:r>
              <w:rPr>
                <w:rFonts w:hint="eastAsia" w:eastAsia="宋体" w:cs="Times New Roman"/>
                <w:sz w:val="20"/>
                <w:szCs w:val="20"/>
                <w:highlight w:val="none"/>
                <w:lang w:val="en-US" w:eastAsia="zh-CN"/>
              </w:rPr>
              <w:t>5</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0.80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2.00</w:t>
            </w:r>
          </w:p>
        </w:tc>
        <w:tc>
          <w:tcPr>
            <w:tcW w:w="93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sz w:val="20"/>
                <w:szCs w:val="20"/>
                <w:highlight w:val="none"/>
                <w:lang w:val="en-US" w:eastAsia="zh-CN"/>
              </w:rPr>
              <w:t>2</w:t>
            </w:r>
            <w:r>
              <w:rPr>
                <w:rFonts w:hint="eastAsia" w:eastAsia="宋体" w:cs="Times New Roman"/>
                <w:sz w:val="20"/>
                <w:szCs w:val="20"/>
                <w:highlight w:val="none"/>
                <w:lang w:val="en-US" w:eastAsia="zh-CN"/>
              </w:rPr>
              <w:t>5.20</w:t>
            </w:r>
            <w:r>
              <w:rPr>
                <w:rFonts w:hint="default" w:ascii="Times New Roman" w:hAnsi="Times New Roman" w:eastAsia="宋体" w:cs="Times New Roman"/>
                <w:sz w:val="20"/>
                <w:szCs w:val="20"/>
                <w:highlight w:val="none"/>
                <w:lang w:val="en-US" w:eastAsia="zh-CN"/>
              </w:rPr>
              <w:t>%</w:t>
            </w:r>
          </w:p>
        </w:tc>
        <w:tc>
          <w:tcPr>
            <w:tcW w:w="707"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eastAsia="宋体"/>
                <w:sz w:val="20"/>
                <w:szCs w:val="20"/>
                <w:highlight w:val="none"/>
              </w:rPr>
            </w:pPr>
            <w:r>
              <w:rPr>
                <w:rFonts w:eastAsia="宋体"/>
                <w:sz w:val="20"/>
                <w:szCs w:val="20"/>
                <w:highlight w:val="none"/>
              </w:rPr>
              <w:t>预期性</w:t>
            </w:r>
          </w:p>
        </w:tc>
      </w:tr>
      <w:tr>
        <w:tblPrEx>
          <w:tblCellMar>
            <w:top w:w="0" w:type="dxa"/>
            <w:left w:w="0" w:type="dxa"/>
            <w:bottom w:w="0" w:type="dxa"/>
            <w:right w:w="0" w:type="dxa"/>
          </w:tblCellMar>
        </w:tblPrEx>
        <w:trPr>
          <w:trHeight w:val="351" w:hRule="atLeast"/>
          <w:jc w:val="center"/>
        </w:trPr>
        <w:tc>
          <w:tcPr>
            <w:tcW w:w="454"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N/>
              <w:bidi w:val="0"/>
              <w:adjustRightInd/>
              <w:snapToGrid/>
              <w:spacing w:line="560" w:lineRule="exact"/>
              <w:ind w:firstLine="0" w:firstLineChars="0"/>
              <w:jc w:val="left"/>
              <w:rPr>
                <w:rFonts w:eastAsia="宋体"/>
                <w:b/>
                <w:bCs/>
                <w:sz w:val="18"/>
                <w:szCs w:val="18"/>
              </w:rPr>
            </w:pPr>
          </w:p>
        </w:tc>
        <w:tc>
          <w:tcPr>
            <w:tcW w:w="572"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eastAsia="宋体"/>
                <w:color w:val="auto"/>
                <w:sz w:val="20"/>
                <w:szCs w:val="20"/>
                <w:highlight w:val="none"/>
                <w:lang w:val="en-US" w:eastAsia="zh-CN"/>
              </w:rPr>
            </w:pPr>
            <w:r>
              <w:rPr>
                <w:rFonts w:hint="eastAsia" w:eastAsia="宋体"/>
                <w:color w:val="auto"/>
                <w:sz w:val="20"/>
                <w:szCs w:val="20"/>
                <w:highlight w:val="none"/>
                <w:lang w:val="en-US" w:eastAsia="zh-CN"/>
              </w:rPr>
              <w:t>6</w:t>
            </w:r>
          </w:p>
        </w:tc>
        <w:tc>
          <w:tcPr>
            <w:tcW w:w="3352" w:type="dxa"/>
            <w:tcBorders>
              <w:top w:val="single" w:color="000000" w:sz="4" w:space="0"/>
              <w:left w:val="nil"/>
              <w:bottom w:val="single" w:color="000000" w:sz="4" w:space="0"/>
              <w:right w:val="single" w:color="000000" w:sz="4" w:space="0"/>
            </w:tcBorders>
            <w:noWrap/>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both"/>
              <w:rPr>
                <w:rFonts w:hint="eastAsia" w:eastAsia="宋体"/>
                <w:sz w:val="20"/>
                <w:szCs w:val="20"/>
                <w:highlight w:val="none"/>
                <w:lang w:eastAsia="zh-CN"/>
              </w:rPr>
            </w:pPr>
            <w:r>
              <w:rPr>
                <w:rFonts w:hint="eastAsia" w:eastAsia="宋体"/>
                <w:sz w:val="20"/>
                <w:szCs w:val="20"/>
                <w:highlight w:val="none"/>
              </w:rPr>
              <w:t>肉类</w:t>
            </w:r>
            <w:r>
              <w:rPr>
                <w:rFonts w:eastAsia="宋体"/>
                <w:sz w:val="20"/>
                <w:szCs w:val="20"/>
                <w:highlight w:val="none"/>
              </w:rPr>
              <w:t>产量</w:t>
            </w:r>
          </w:p>
        </w:tc>
        <w:tc>
          <w:tcPr>
            <w:tcW w:w="729"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万吨</w:t>
            </w:r>
          </w:p>
        </w:tc>
        <w:tc>
          <w:tcPr>
            <w:tcW w:w="925"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4.30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4.31</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4.39</w:t>
            </w:r>
          </w:p>
        </w:tc>
        <w:tc>
          <w:tcPr>
            <w:tcW w:w="93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0.42</w:t>
            </w:r>
            <w:r>
              <w:rPr>
                <w:rFonts w:hint="default" w:ascii="Times New Roman" w:hAnsi="Times New Roman" w:eastAsia="宋体" w:cs="Times New Roman"/>
                <w:sz w:val="20"/>
                <w:szCs w:val="20"/>
                <w:highlight w:val="none"/>
                <w:lang w:val="en-US" w:eastAsia="zh-CN"/>
              </w:rPr>
              <w:t>%</w:t>
            </w:r>
          </w:p>
        </w:tc>
        <w:tc>
          <w:tcPr>
            <w:tcW w:w="707"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eastAsia="宋体"/>
                <w:sz w:val="20"/>
                <w:szCs w:val="20"/>
                <w:highlight w:val="none"/>
              </w:rPr>
            </w:pPr>
            <w:r>
              <w:rPr>
                <w:rFonts w:hint="eastAsia" w:eastAsia="宋体"/>
                <w:sz w:val="20"/>
                <w:szCs w:val="20"/>
                <w:highlight w:val="none"/>
                <w:lang w:val="en-US" w:eastAsia="zh-CN"/>
              </w:rPr>
              <w:t>约束</w:t>
            </w:r>
            <w:r>
              <w:rPr>
                <w:rFonts w:eastAsia="宋体"/>
                <w:sz w:val="20"/>
                <w:szCs w:val="20"/>
                <w:highlight w:val="none"/>
              </w:rPr>
              <w:t>性</w:t>
            </w:r>
          </w:p>
        </w:tc>
      </w:tr>
      <w:tr>
        <w:tblPrEx>
          <w:tblCellMar>
            <w:top w:w="0" w:type="dxa"/>
            <w:left w:w="0" w:type="dxa"/>
            <w:bottom w:w="0" w:type="dxa"/>
            <w:right w:w="0" w:type="dxa"/>
          </w:tblCellMar>
        </w:tblPrEx>
        <w:trPr>
          <w:trHeight w:val="351" w:hRule="atLeast"/>
          <w:jc w:val="center"/>
        </w:trPr>
        <w:tc>
          <w:tcPr>
            <w:tcW w:w="454"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N/>
              <w:bidi w:val="0"/>
              <w:adjustRightInd/>
              <w:snapToGrid/>
              <w:spacing w:line="560" w:lineRule="exact"/>
              <w:ind w:firstLine="0" w:firstLineChars="0"/>
              <w:jc w:val="left"/>
              <w:rPr>
                <w:rFonts w:eastAsia="宋体"/>
                <w:b/>
                <w:bCs/>
                <w:sz w:val="18"/>
                <w:szCs w:val="18"/>
              </w:rPr>
            </w:pPr>
          </w:p>
        </w:tc>
        <w:tc>
          <w:tcPr>
            <w:tcW w:w="572"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eastAsia="宋体"/>
                <w:color w:val="auto"/>
                <w:sz w:val="20"/>
                <w:szCs w:val="20"/>
                <w:highlight w:val="none"/>
                <w:lang w:val="en-US" w:eastAsia="zh-CN"/>
              </w:rPr>
            </w:pPr>
            <w:r>
              <w:rPr>
                <w:rFonts w:hint="eastAsia" w:eastAsia="宋体"/>
                <w:color w:val="auto"/>
                <w:sz w:val="20"/>
                <w:szCs w:val="20"/>
                <w:highlight w:val="none"/>
                <w:lang w:val="en-US" w:eastAsia="zh-CN"/>
              </w:rPr>
              <w:t>7</w:t>
            </w:r>
          </w:p>
        </w:tc>
        <w:tc>
          <w:tcPr>
            <w:tcW w:w="3352" w:type="dxa"/>
            <w:tcBorders>
              <w:top w:val="single" w:color="000000" w:sz="4" w:space="0"/>
              <w:left w:val="nil"/>
              <w:bottom w:val="single" w:color="000000"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both"/>
              <w:rPr>
                <w:rFonts w:hint="default" w:eastAsia="宋体"/>
                <w:sz w:val="20"/>
                <w:szCs w:val="20"/>
                <w:highlight w:val="none"/>
                <w:lang w:val="en-US" w:eastAsia="zh-CN"/>
              </w:rPr>
            </w:pPr>
            <w:r>
              <w:rPr>
                <w:rFonts w:hint="eastAsia" w:eastAsia="宋体"/>
                <w:sz w:val="20"/>
                <w:szCs w:val="20"/>
                <w:highlight w:val="none"/>
                <w:lang w:val="en-US" w:eastAsia="zh-CN"/>
              </w:rPr>
              <w:t>禽蛋产量</w:t>
            </w:r>
          </w:p>
        </w:tc>
        <w:tc>
          <w:tcPr>
            <w:tcW w:w="729"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万吨</w:t>
            </w:r>
          </w:p>
        </w:tc>
        <w:tc>
          <w:tcPr>
            <w:tcW w:w="925"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sz w:val="20"/>
                <w:szCs w:val="20"/>
                <w:highlight w:val="none"/>
                <w:lang w:val="en-US" w:eastAsia="zh-CN"/>
              </w:rPr>
              <w:t>2.</w:t>
            </w:r>
            <w:r>
              <w:rPr>
                <w:rFonts w:hint="eastAsia" w:eastAsia="宋体" w:cs="Times New Roman"/>
                <w:sz w:val="20"/>
                <w:szCs w:val="20"/>
                <w:highlight w:val="none"/>
                <w:lang w:val="en-US" w:eastAsia="zh-CN"/>
              </w:rPr>
              <w:t>50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2.50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2.53</w:t>
            </w:r>
          </w:p>
        </w:tc>
        <w:tc>
          <w:tcPr>
            <w:tcW w:w="93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0.24</w:t>
            </w:r>
            <w:r>
              <w:rPr>
                <w:rFonts w:hint="default" w:ascii="Times New Roman" w:hAnsi="Times New Roman" w:eastAsia="宋体" w:cs="Times New Roman"/>
                <w:sz w:val="20"/>
                <w:szCs w:val="20"/>
                <w:highlight w:val="none"/>
                <w:lang w:val="en-US" w:eastAsia="zh-CN"/>
              </w:rPr>
              <w:t>%</w:t>
            </w:r>
          </w:p>
        </w:tc>
        <w:tc>
          <w:tcPr>
            <w:tcW w:w="707"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eastAsia="宋体"/>
                <w:sz w:val="20"/>
                <w:szCs w:val="20"/>
                <w:highlight w:val="none"/>
              </w:rPr>
            </w:pPr>
            <w:r>
              <w:rPr>
                <w:rFonts w:eastAsia="宋体"/>
                <w:sz w:val="20"/>
                <w:szCs w:val="20"/>
                <w:highlight w:val="none"/>
              </w:rPr>
              <w:t>预期性</w:t>
            </w:r>
          </w:p>
        </w:tc>
      </w:tr>
      <w:tr>
        <w:tblPrEx>
          <w:tblCellMar>
            <w:top w:w="0" w:type="dxa"/>
            <w:left w:w="0" w:type="dxa"/>
            <w:bottom w:w="0" w:type="dxa"/>
            <w:right w:w="0" w:type="dxa"/>
          </w:tblCellMar>
        </w:tblPrEx>
        <w:trPr>
          <w:trHeight w:val="351" w:hRule="atLeast"/>
          <w:jc w:val="center"/>
        </w:trPr>
        <w:tc>
          <w:tcPr>
            <w:tcW w:w="454"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N/>
              <w:bidi w:val="0"/>
              <w:adjustRightInd/>
              <w:snapToGrid/>
              <w:spacing w:line="560" w:lineRule="exact"/>
              <w:ind w:firstLine="0" w:firstLineChars="0"/>
              <w:jc w:val="left"/>
              <w:rPr>
                <w:rFonts w:eastAsia="宋体"/>
                <w:b/>
                <w:bCs/>
                <w:sz w:val="18"/>
                <w:szCs w:val="18"/>
              </w:rPr>
            </w:pPr>
          </w:p>
        </w:tc>
        <w:tc>
          <w:tcPr>
            <w:tcW w:w="572" w:type="dxa"/>
            <w:vMerge w:val="restart"/>
            <w:tcBorders>
              <w:top w:val="single" w:color="000000" w:sz="4" w:space="0"/>
              <w:left w:val="nil"/>
              <w:right w:val="single" w:color="000000" w:sz="4" w:space="0"/>
            </w:tcBorders>
            <w:noWrap w:val="0"/>
            <w:tcMar>
              <w:top w:w="15" w:type="dxa"/>
              <w:left w:w="15" w:type="dxa"/>
              <w:bottom w:w="0" w:type="dxa"/>
              <w:right w:w="15" w:type="dxa"/>
            </w:tcMar>
            <w:vAlign w:val="top"/>
          </w:tcPr>
          <w:p>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default" w:ascii="Calibri" w:hAnsi="Calibri" w:eastAsia="宋体" w:cs="Times New Roman"/>
                <w:color w:val="auto"/>
                <w:kern w:val="2"/>
                <w:sz w:val="20"/>
                <w:szCs w:val="20"/>
                <w:lang w:val="en-US" w:eastAsia="zh-CN" w:bidi="ar-SA"/>
              </w:rPr>
            </w:pPr>
            <w:r>
              <w:rPr>
                <w:rFonts w:hint="eastAsia" w:ascii="Calibri" w:hAnsi="Calibri" w:eastAsia="宋体" w:cs="Times New Roman"/>
                <w:color w:val="auto"/>
                <w:kern w:val="2"/>
                <w:sz w:val="20"/>
                <w:szCs w:val="20"/>
                <w:lang w:val="en-US" w:eastAsia="zh-CN" w:bidi="ar-SA"/>
              </w:rPr>
              <w:t>8</w:t>
            </w:r>
          </w:p>
        </w:tc>
        <w:tc>
          <w:tcPr>
            <w:tcW w:w="3352" w:type="dxa"/>
            <w:tcBorders>
              <w:top w:val="single" w:color="000000" w:sz="4" w:space="0"/>
              <w:left w:val="nil"/>
              <w:bottom w:val="single" w:color="000000"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left"/>
              <w:rPr>
                <w:rFonts w:hint="default" w:eastAsia="宋体"/>
                <w:sz w:val="20"/>
                <w:szCs w:val="20"/>
                <w:lang w:val="en-US" w:eastAsia="zh-CN"/>
              </w:rPr>
            </w:pPr>
            <w:r>
              <w:rPr>
                <w:rFonts w:hint="eastAsia" w:eastAsia="宋体"/>
                <w:sz w:val="20"/>
                <w:szCs w:val="20"/>
                <w:lang w:val="en-US" w:eastAsia="zh-CN"/>
              </w:rPr>
              <w:t>水产产量</w:t>
            </w:r>
          </w:p>
        </w:tc>
        <w:tc>
          <w:tcPr>
            <w:tcW w:w="729"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eastAsia" w:ascii="Times New Roman" w:hAnsi="Times New Roman" w:eastAsia="宋体" w:cs="Times New Roman"/>
                <w:sz w:val="20"/>
                <w:szCs w:val="20"/>
                <w:lang w:val="en-US" w:eastAsia="zh-CN"/>
              </w:rPr>
            </w:pPr>
            <w:r>
              <w:rPr>
                <w:rFonts w:hint="eastAsia" w:eastAsia="宋体" w:cs="Times New Roman"/>
                <w:sz w:val="20"/>
                <w:szCs w:val="20"/>
                <w:lang w:val="en-US" w:eastAsia="zh-CN"/>
              </w:rPr>
              <w:t>万吨</w:t>
            </w:r>
          </w:p>
        </w:tc>
        <w:tc>
          <w:tcPr>
            <w:tcW w:w="925"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16.00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17.00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20.00</w:t>
            </w:r>
          </w:p>
        </w:tc>
        <w:tc>
          <w:tcPr>
            <w:tcW w:w="93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4.56%</w:t>
            </w:r>
          </w:p>
        </w:tc>
        <w:tc>
          <w:tcPr>
            <w:tcW w:w="707"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eastAsia" w:eastAsia="宋体"/>
                <w:sz w:val="20"/>
                <w:szCs w:val="20"/>
                <w:lang w:val="en-US" w:eastAsia="zh-CN"/>
              </w:rPr>
            </w:pPr>
            <w:r>
              <w:rPr>
                <w:rFonts w:hint="eastAsia" w:eastAsia="宋体"/>
                <w:sz w:val="20"/>
                <w:szCs w:val="20"/>
                <w:lang w:val="en-US" w:eastAsia="zh-CN"/>
              </w:rPr>
              <w:t>预期性</w:t>
            </w:r>
          </w:p>
        </w:tc>
      </w:tr>
      <w:tr>
        <w:tblPrEx>
          <w:tblCellMar>
            <w:top w:w="0" w:type="dxa"/>
            <w:left w:w="0" w:type="dxa"/>
            <w:bottom w:w="0" w:type="dxa"/>
            <w:right w:w="0" w:type="dxa"/>
          </w:tblCellMar>
        </w:tblPrEx>
        <w:trPr>
          <w:trHeight w:val="351" w:hRule="atLeast"/>
          <w:jc w:val="center"/>
        </w:trPr>
        <w:tc>
          <w:tcPr>
            <w:tcW w:w="454"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N/>
              <w:bidi w:val="0"/>
              <w:adjustRightInd/>
              <w:snapToGrid/>
              <w:spacing w:line="560" w:lineRule="exact"/>
              <w:ind w:firstLine="0" w:firstLineChars="0"/>
              <w:jc w:val="left"/>
              <w:rPr>
                <w:rFonts w:eastAsia="宋体"/>
                <w:b/>
                <w:bCs/>
                <w:sz w:val="18"/>
                <w:szCs w:val="18"/>
              </w:rPr>
            </w:pPr>
          </w:p>
        </w:tc>
        <w:tc>
          <w:tcPr>
            <w:tcW w:w="572" w:type="dxa"/>
            <w:vMerge w:val="continue"/>
            <w:tcBorders>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eastAsia" w:ascii="Calibri" w:hAnsi="Calibri" w:eastAsia="宋体" w:cs="Times New Roman"/>
                <w:color w:val="auto"/>
                <w:kern w:val="2"/>
                <w:sz w:val="20"/>
                <w:szCs w:val="20"/>
                <w:lang w:val="en-US" w:eastAsia="zh-CN" w:bidi="ar-SA"/>
              </w:rPr>
            </w:pPr>
          </w:p>
        </w:tc>
        <w:tc>
          <w:tcPr>
            <w:tcW w:w="3352" w:type="dxa"/>
            <w:tcBorders>
              <w:top w:val="single" w:color="000000" w:sz="4" w:space="0"/>
              <w:left w:val="nil"/>
              <w:bottom w:val="single" w:color="000000"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left"/>
              <w:rPr>
                <w:rFonts w:hint="default" w:eastAsia="宋体"/>
                <w:sz w:val="20"/>
                <w:szCs w:val="20"/>
                <w:lang w:val="en-US" w:eastAsia="zh-CN"/>
              </w:rPr>
            </w:pPr>
            <w:r>
              <w:rPr>
                <w:rFonts w:hint="eastAsia" w:eastAsia="宋体"/>
                <w:sz w:val="20"/>
                <w:szCs w:val="20"/>
                <w:lang w:val="en-US" w:eastAsia="zh-CN"/>
              </w:rPr>
              <w:t>其中：小龙虾产量</w:t>
            </w:r>
          </w:p>
        </w:tc>
        <w:tc>
          <w:tcPr>
            <w:tcW w:w="729"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eastAsia" w:ascii="Times New Roman" w:hAnsi="Times New Roman" w:eastAsia="宋体" w:cs="Times New Roman"/>
                <w:sz w:val="20"/>
                <w:szCs w:val="20"/>
                <w:lang w:val="en-US" w:eastAsia="zh-CN"/>
              </w:rPr>
            </w:pPr>
            <w:r>
              <w:rPr>
                <w:rFonts w:hint="eastAsia" w:eastAsia="宋体" w:cs="Times New Roman"/>
                <w:sz w:val="20"/>
                <w:szCs w:val="20"/>
                <w:lang w:val="en-US" w:eastAsia="zh-CN"/>
              </w:rPr>
              <w:t>万吨</w:t>
            </w:r>
          </w:p>
        </w:tc>
        <w:tc>
          <w:tcPr>
            <w:tcW w:w="925"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11.59</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12.00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13.50</w:t>
            </w:r>
          </w:p>
        </w:tc>
        <w:tc>
          <w:tcPr>
            <w:tcW w:w="93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3.10%</w:t>
            </w:r>
          </w:p>
        </w:tc>
        <w:tc>
          <w:tcPr>
            <w:tcW w:w="707"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eastAsia="宋体"/>
                <w:sz w:val="20"/>
                <w:szCs w:val="20"/>
              </w:rPr>
            </w:pPr>
            <w:r>
              <w:rPr>
                <w:rFonts w:hint="eastAsia" w:eastAsia="宋体"/>
                <w:sz w:val="20"/>
                <w:szCs w:val="20"/>
                <w:lang w:val="en-US" w:eastAsia="zh-CN"/>
              </w:rPr>
              <w:t>预期性</w:t>
            </w:r>
          </w:p>
        </w:tc>
      </w:tr>
      <w:tr>
        <w:tblPrEx>
          <w:tblCellMar>
            <w:top w:w="0" w:type="dxa"/>
            <w:left w:w="0" w:type="dxa"/>
            <w:bottom w:w="0" w:type="dxa"/>
            <w:right w:w="0" w:type="dxa"/>
          </w:tblCellMar>
        </w:tblPrEx>
        <w:trPr>
          <w:trHeight w:val="351" w:hRule="atLeast"/>
          <w:jc w:val="center"/>
        </w:trPr>
        <w:tc>
          <w:tcPr>
            <w:tcW w:w="454"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N/>
              <w:bidi w:val="0"/>
              <w:adjustRightInd/>
              <w:snapToGrid/>
              <w:spacing w:line="560" w:lineRule="exact"/>
              <w:ind w:firstLine="0" w:firstLineChars="0"/>
              <w:jc w:val="left"/>
              <w:rPr>
                <w:rFonts w:eastAsia="宋体"/>
                <w:b/>
                <w:bCs/>
                <w:sz w:val="18"/>
                <w:szCs w:val="18"/>
              </w:rPr>
            </w:pPr>
          </w:p>
        </w:tc>
        <w:tc>
          <w:tcPr>
            <w:tcW w:w="572"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Calibri" w:hAnsi="Calibri" w:eastAsia="宋体" w:cs="Times New Roman"/>
                <w:color w:val="auto"/>
                <w:kern w:val="2"/>
                <w:sz w:val="20"/>
                <w:szCs w:val="20"/>
                <w:lang w:val="en-US" w:eastAsia="zh-CN" w:bidi="ar-SA"/>
              </w:rPr>
            </w:pPr>
            <w:r>
              <w:rPr>
                <w:rFonts w:hint="eastAsia" w:ascii="Calibri" w:hAnsi="Calibri" w:eastAsia="宋体" w:cs="Times New Roman"/>
                <w:color w:val="auto"/>
                <w:kern w:val="2"/>
                <w:sz w:val="20"/>
                <w:szCs w:val="20"/>
                <w:lang w:val="en-US" w:eastAsia="zh-CN" w:bidi="ar-SA"/>
              </w:rPr>
              <w:t>9</w:t>
            </w:r>
          </w:p>
        </w:tc>
        <w:tc>
          <w:tcPr>
            <w:tcW w:w="3352" w:type="dxa"/>
            <w:tcBorders>
              <w:top w:val="single" w:color="000000" w:sz="4" w:space="0"/>
              <w:left w:val="nil"/>
              <w:bottom w:val="single" w:color="000000"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left"/>
              <w:rPr>
                <w:rFonts w:hint="eastAsia" w:ascii="Calibri" w:hAnsi="Calibri" w:eastAsia="宋体" w:cs="Times New Roman"/>
                <w:kern w:val="2"/>
                <w:sz w:val="20"/>
                <w:szCs w:val="20"/>
                <w:lang w:val="en-US" w:eastAsia="zh-CN" w:bidi="ar-SA"/>
              </w:rPr>
            </w:pPr>
            <w:r>
              <w:rPr>
                <w:rFonts w:eastAsia="宋体"/>
                <w:sz w:val="20"/>
                <w:szCs w:val="20"/>
              </w:rPr>
              <w:t>农业科技进步贡献率</w:t>
            </w:r>
          </w:p>
        </w:tc>
        <w:tc>
          <w:tcPr>
            <w:tcW w:w="729"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w:t>
            </w:r>
          </w:p>
        </w:tc>
        <w:tc>
          <w:tcPr>
            <w:tcW w:w="925"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sz w:val="20"/>
                <w:szCs w:val="20"/>
                <w:highlight w:val="none"/>
                <w:lang w:val="en-US" w:eastAsia="zh-CN"/>
              </w:rPr>
              <w:t>62.00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sz w:val="20"/>
                <w:szCs w:val="20"/>
                <w:highlight w:val="none"/>
              </w:rPr>
              <w:t>6</w:t>
            </w:r>
            <w:r>
              <w:rPr>
                <w:rFonts w:hint="default" w:ascii="Times New Roman" w:hAnsi="Times New Roman" w:eastAsia="宋体" w:cs="Times New Roman"/>
                <w:sz w:val="20"/>
                <w:szCs w:val="20"/>
                <w:highlight w:val="none"/>
                <w:lang w:val="en-US" w:eastAsia="zh-CN"/>
              </w:rPr>
              <w:t>2.50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sz w:val="20"/>
                <w:szCs w:val="20"/>
                <w:highlight w:val="none"/>
                <w:lang w:val="en-US" w:eastAsia="zh-CN"/>
              </w:rPr>
              <w:t>64.50</w:t>
            </w:r>
          </w:p>
        </w:tc>
        <w:tc>
          <w:tcPr>
            <w:tcW w:w="93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highlight w:val="none"/>
                <w:lang w:val="en-US" w:eastAsia="zh-CN"/>
              </w:rPr>
              <w:t>[2.5</w:t>
            </w:r>
            <w:r>
              <w:rPr>
                <w:rFonts w:hint="eastAsia" w:eastAsia="宋体" w:cs="Times New Roman"/>
                <w:sz w:val="20"/>
                <w:szCs w:val="20"/>
                <w:highlight w:val="none"/>
                <w:lang w:val="en-US" w:eastAsia="zh-CN"/>
              </w:rPr>
              <w:t>0</w:t>
            </w:r>
            <w:r>
              <w:rPr>
                <w:rFonts w:hint="default" w:ascii="Times New Roman" w:hAnsi="Times New Roman" w:eastAsia="宋体" w:cs="Times New Roman"/>
                <w:sz w:val="20"/>
                <w:szCs w:val="20"/>
                <w:highlight w:val="none"/>
                <w:lang w:val="en-US" w:eastAsia="zh-CN"/>
              </w:rPr>
              <w:t>]</w:t>
            </w:r>
          </w:p>
        </w:tc>
        <w:tc>
          <w:tcPr>
            <w:tcW w:w="707"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ascii="Calibri" w:hAnsi="Calibri" w:eastAsia="宋体" w:cs="Times New Roman"/>
                <w:kern w:val="2"/>
                <w:sz w:val="20"/>
                <w:szCs w:val="20"/>
                <w:lang w:val="en-US" w:eastAsia="zh-CN" w:bidi="ar-SA"/>
              </w:rPr>
            </w:pPr>
            <w:r>
              <w:rPr>
                <w:rFonts w:eastAsia="宋体"/>
                <w:sz w:val="20"/>
                <w:szCs w:val="20"/>
              </w:rPr>
              <w:t>预期性</w:t>
            </w:r>
          </w:p>
        </w:tc>
      </w:tr>
      <w:tr>
        <w:tblPrEx>
          <w:tblCellMar>
            <w:top w:w="0" w:type="dxa"/>
            <w:left w:w="0" w:type="dxa"/>
            <w:bottom w:w="0" w:type="dxa"/>
            <w:right w:w="0" w:type="dxa"/>
          </w:tblCellMar>
        </w:tblPrEx>
        <w:trPr>
          <w:trHeight w:val="351" w:hRule="atLeast"/>
          <w:jc w:val="center"/>
        </w:trPr>
        <w:tc>
          <w:tcPr>
            <w:tcW w:w="454"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N/>
              <w:bidi w:val="0"/>
              <w:adjustRightInd/>
              <w:snapToGrid/>
              <w:spacing w:line="560" w:lineRule="exact"/>
              <w:ind w:firstLine="0" w:firstLineChars="0"/>
              <w:jc w:val="left"/>
              <w:rPr>
                <w:rFonts w:eastAsia="宋体"/>
                <w:b/>
                <w:bCs/>
                <w:sz w:val="18"/>
                <w:szCs w:val="18"/>
              </w:rPr>
            </w:pPr>
          </w:p>
        </w:tc>
        <w:tc>
          <w:tcPr>
            <w:tcW w:w="572"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eastAsia="宋体"/>
                <w:color w:val="auto"/>
                <w:sz w:val="20"/>
                <w:szCs w:val="20"/>
                <w:lang w:val="en-US" w:eastAsia="zh-CN"/>
              </w:rPr>
            </w:pPr>
            <w:r>
              <w:rPr>
                <w:rFonts w:hint="eastAsia" w:eastAsia="宋体"/>
                <w:color w:val="auto"/>
                <w:sz w:val="20"/>
                <w:szCs w:val="20"/>
                <w:lang w:val="en-US" w:eastAsia="zh-CN"/>
              </w:rPr>
              <w:t>10</w:t>
            </w:r>
          </w:p>
        </w:tc>
        <w:tc>
          <w:tcPr>
            <w:tcW w:w="3352" w:type="dxa"/>
            <w:tcBorders>
              <w:top w:val="single" w:color="000000" w:sz="4" w:space="0"/>
              <w:left w:val="nil"/>
              <w:bottom w:val="single" w:color="000000"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both"/>
              <w:rPr>
                <w:rFonts w:hint="default" w:eastAsia="宋体"/>
                <w:sz w:val="20"/>
                <w:szCs w:val="20"/>
                <w:lang w:val="en-US" w:eastAsia="zh-CN"/>
              </w:rPr>
            </w:pPr>
            <w:r>
              <w:rPr>
                <w:rFonts w:hint="eastAsia" w:eastAsia="宋体"/>
                <w:sz w:val="20"/>
                <w:szCs w:val="20"/>
                <w:lang w:val="en-US" w:eastAsia="zh-CN"/>
              </w:rPr>
              <w:t>高标准农田规模</w:t>
            </w:r>
          </w:p>
        </w:tc>
        <w:tc>
          <w:tcPr>
            <w:tcW w:w="729"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万亩</w:t>
            </w:r>
          </w:p>
        </w:tc>
        <w:tc>
          <w:tcPr>
            <w:tcW w:w="925"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70.60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76.80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11</w:t>
            </w:r>
            <w:r>
              <w:rPr>
                <w:rFonts w:hint="eastAsia" w:eastAsia="宋体" w:cs="Times New Roman"/>
                <w:sz w:val="20"/>
                <w:szCs w:val="20"/>
                <w:lang w:val="en-US" w:eastAsia="zh-CN"/>
              </w:rPr>
              <w:t>1</w:t>
            </w:r>
          </w:p>
        </w:tc>
        <w:tc>
          <w:tcPr>
            <w:tcW w:w="93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highlight w:val="none"/>
                <w:lang w:val="en-US" w:eastAsia="zh-CN"/>
              </w:rPr>
              <w:t>[</w:t>
            </w:r>
            <w:r>
              <w:rPr>
                <w:rFonts w:hint="default" w:ascii="Times New Roman" w:hAnsi="Times New Roman" w:eastAsia="宋体" w:cs="Times New Roman"/>
                <w:sz w:val="20"/>
                <w:szCs w:val="20"/>
                <w:lang w:val="en-US" w:eastAsia="zh-CN"/>
              </w:rPr>
              <w:t>≥4</w:t>
            </w:r>
            <w:r>
              <w:rPr>
                <w:rFonts w:hint="eastAsia" w:eastAsia="宋体" w:cs="Times New Roman"/>
                <w:sz w:val="20"/>
                <w:szCs w:val="20"/>
                <w:lang w:val="en-US" w:eastAsia="zh-CN"/>
              </w:rPr>
              <w:t>0</w:t>
            </w:r>
            <w:r>
              <w:rPr>
                <w:rFonts w:hint="default" w:ascii="Times New Roman" w:hAnsi="Times New Roman" w:eastAsia="宋体" w:cs="Times New Roman"/>
                <w:sz w:val="20"/>
                <w:szCs w:val="20"/>
                <w:highlight w:val="none"/>
                <w:lang w:val="en-US" w:eastAsia="zh-CN"/>
              </w:rPr>
              <w:t>]</w:t>
            </w:r>
          </w:p>
        </w:tc>
        <w:tc>
          <w:tcPr>
            <w:tcW w:w="707"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eastAsia" w:eastAsia="宋体"/>
                <w:sz w:val="20"/>
                <w:szCs w:val="20"/>
                <w:lang w:val="en-US" w:eastAsia="zh-CN"/>
              </w:rPr>
            </w:pPr>
            <w:r>
              <w:rPr>
                <w:rFonts w:hint="eastAsia" w:eastAsia="宋体"/>
                <w:b/>
                <w:bCs/>
                <w:sz w:val="20"/>
                <w:szCs w:val="20"/>
                <w:lang w:val="en-US" w:eastAsia="zh-CN"/>
              </w:rPr>
              <w:t>约束性</w:t>
            </w:r>
          </w:p>
        </w:tc>
      </w:tr>
      <w:tr>
        <w:tblPrEx>
          <w:tblCellMar>
            <w:top w:w="0" w:type="dxa"/>
            <w:left w:w="0" w:type="dxa"/>
            <w:bottom w:w="0" w:type="dxa"/>
            <w:right w:w="0" w:type="dxa"/>
          </w:tblCellMar>
        </w:tblPrEx>
        <w:trPr>
          <w:trHeight w:val="351" w:hRule="atLeast"/>
          <w:jc w:val="center"/>
        </w:trPr>
        <w:tc>
          <w:tcPr>
            <w:tcW w:w="454"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N/>
              <w:bidi w:val="0"/>
              <w:adjustRightInd/>
              <w:snapToGrid/>
              <w:spacing w:line="560" w:lineRule="exact"/>
              <w:ind w:firstLine="0" w:firstLineChars="0"/>
              <w:jc w:val="left"/>
              <w:rPr>
                <w:rFonts w:eastAsia="宋体"/>
                <w:b/>
                <w:bCs/>
                <w:sz w:val="18"/>
                <w:szCs w:val="18"/>
              </w:rPr>
            </w:pPr>
          </w:p>
        </w:tc>
        <w:tc>
          <w:tcPr>
            <w:tcW w:w="572"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color w:val="auto"/>
                <w:kern w:val="2"/>
                <w:sz w:val="20"/>
                <w:szCs w:val="20"/>
                <w:lang w:val="en-US" w:eastAsia="zh-CN" w:bidi="ar-SA"/>
              </w:rPr>
            </w:pPr>
            <w:r>
              <w:rPr>
                <w:rFonts w:hint="eastAsia" w:eastAsia="宋体" w:cs="Times New Roman"/>
                <w:color w:val="auto"/>
                <w:sz w:val="20"/>
                <w:szCs w:val="20"/>
                <w:lang w:val="en-US" w:eastAsia="zh-CN"/>
              </w:rPr>
              <w:t>11</w:t>
            </w:r>
          </w:p>
        </w:tc>
        <w:tc>
          <w:tcPr>
            <w:tcW w:w="3352" w:type="dxa"/>
            <w:tcBorders>
              <w:top w:val="single" w:color="000000" w:sz="4" w:space="0"/>
              <w:left w:val="nil"/>
              <w:bottom w:val="single" w:color="000000"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both"/>
              <w:rPr>
                <w:rFonts w:hint="eastAsia" w:ascii="Times New Roman" w:hAnsi="Times New Roman" w:eastAsia="宋体" w:cs="Times New Roman"/>
                <w:kern w:val="2"/>
                <w:sz w:val="20"/>
                <w:szCs w:val="20"/>
                <w:lang w:val="en-US" w:eastAsia="zh-CN" w:bidi="ar-SA"/>
              </w:rPr>
            </w:pPr>
            <w:r>
              <w:rPr>
                <w:rFonts w:ascii="Times New Roman" w:hAnsi="Times New Roman" w:eastAsia="宋体" w:cs="Times New Roman"/>
                <w:sz w:val="20"/>
                <w:szCs w:val="20"/>
              </w:rPr>
              <w:t>主要农作物耕种收综合机械化水平</w:t>
            </w:r>
          </w:p>
        </w:tc>
        <w:tc>
          <w:tcPr>
            <w:tcW w:w="729"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w:t>
            </w:r>
          </w:p>
        </w:tc>
        <w:tc>
          <w:tcPr>
            <w:tcW w:w="925"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84.2</w:t>
            </w:r>
            <w:r>
              <w:rPr>
                <w:rFonts w:hint="default" w:ascii="Times New Roman" w:hAnsi="Times New Roman" w:eastAsia="宋体" w:cs="Times New Roman"/>
                <w:sz w:val="20"/>
                <w:szCs w:val="20"/>
                <w:lang w:val="en-US" w:eastAsia="zh-CN"/>
              </w:rPr>
              <w:t>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85.</w:t>
            </w:r>
            <w:r>
              <w:rPr>
                <w:rFonts w:hint="default" w:ascii="Times New Roman" w:hAnsi="Times New Roman" w:eastAsia="宋体" w:cs="Times New Roman"/>
                <w:sz w:val="20"/>
                <w:szCs w:val="20"/>
                <w:lang w:val="en-US" w:eastAsia="zh-CN"/>
              </w:rPr>
              <w:t>00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86.5</w:t>
            </w:r>
            <w:r>
              <w:rPr>
                <w:rFonts w:hint="default" w:ascii="Times New Roman" w:hAnsi="Times New Roman" w:eastAsia="宋体" w:cs="Times New Roman"/>
                <w:sz w:val="20"/>
                <w:szCs w:val="20"/>
                <w:lang w:val="en-US" w:eastAsia="zh-CN"/>
              </w:rPr>
              <w:t>0</w:t>
            </w:r>
          </w:p>
        </w:tc>
        <w:tc>
          <w:tcPr>
            <w:tcW w:w="93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highlight w:val="none"/>
                <w:lang w:val="en-US" w:eastAsia="zh-CN"/>
              </w:rPr>
              <w:t>[2.30]</w:t>
            </w:r>
          </w:p>
        </w:tc>
        <w:tc>
          <w:tcPr>
            <w:tcW w:w="707"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ascii="Times New Roman" w:hAnsi="Times New Roman" w:eastAsia="宋体" w:cs="Times New Roman"/>
                <w:kern w:val="2"/>
                <w:sz w:val="20"/>
                <w:szCs w:val="20"/>
                <w:lang w:val="en-US" w:eastAsia="zh-CN" w:bidi="ar-SA"/>
              </w:rPr>
            </w:pPr>
            <w:r>
              <w:rPr>
                <w:rFonts w:ascii="Times New Roman" w:hAnsi="Times New Roman" w:eastAsia="宋体" w:cs="Times New Roman"/>
                <w:sz w:val="20"/>
                <w:szCs w:val="20"/>
              </w:rPr>
              <w:t>预期性</w:t>
            </w:r>
          </w:p>
        </w:tc>
      </w:tr>
      <w:tr>
        <w:tblPrEx>
          <w:tblCellMar>
            <w:top w:w="0" w:type="dxa"/>
            <w:left w:w="0" w:type="dxa"/>
            <w:bottom w:w="0" w:type="dxa"/>
            <w:right w:w="0" w:type="dxa"/>
          </w:tblCellMar>
        </w:tblPrEx>
        <w:trPr>
          <w:trHeight w:val="351" w:hRule="atLeast"/>
          <w:jc w:val="center"/>
        </w:trPr>
        <w:tc>
          <w:tcPr>
            <w:tcW w:w="454"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N/>
              <w:bidi w:val="0"/>
              <w:adjustRightInd/>
              <w:snapToGrid/>
              <w:spacing w:line="560" w:lineRule="exact"/>
              <w:ind w:firstLine="0" w:firstLineChars="0"/>
              <w:jc w:val="left"/>
              <w:rPr>
                <w:rFonts w:eastAsia="宋体"/>
                <w:b/>
                <w:bCs/>
                <w:sz w:val="18"/>
                <w:szCs w:val="18"/>
              </w:rPr>
            </w:pPr>
          </w:p>
        </w:tc>
        <w:tc>
          <w:tcPr>
            <w:tcW w:w="572"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Calibri" w:hAnsi="Calibri" w:eastAsia="宋体" w:cs="Times New Roman"/>
                <w:kern w:val="2"/>
                <w:sz w:val="20"/>
                <w:szCs w:val="20"/>
                <w:lang w:val="en-US" w:eastAsia="zh-CN" w:bidi="ar-SA"/>
              </w:rPr>
            </w:pPr>
            <w:r>
              <w:rPr>
                <w:rFonts w:hint="eastAsia" w:eastAsia="宋体" w:cs="Times New Roman"/>
                <w:kern w:val="2"/>
                <w:sz w:val="20"/>
                <w:szCs w:val="20"/>
                <w:lang w:val="en-US" w:eastAsia="zh-CN" w:bidi="ar-SA"/>
              </w:rPr>
              <w:t>12</w:t>
            </w:r>
          </w:p>
        </w:tc>
        <w:tc>
          <w:tcPr>
            <w:tcW w:w="3352" w:type="dxa"/>
            <w:tcBorders>
              <w:top w:val="single" w:color="000000" w:sz="4" w:space="0"/>
              <w:left w:val="nil"/>
              <w:bottom w:val="single" w:color="000000"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left"/>
              <w:rPr>
                <w:rFonts w:hint="eastAsia" w:ascii="Calibri" w:hAnsi="Calibri" w:eastAsia="宋体" w:cs="Times New Roman"/>
                <w:kern w:val="2"/>
                <w:sz w:val="20"/>
                <w:szCs w:val="20"/>
                <w:lang w:val="en-US" w:eastAsia="zh-CN" w:bidi="ar-SA"/>
              </w:rPr>
            </w:pPr>
            <w:r>
              <w:rPr>
                <w:rFonts w:eastAsia="宋体"/>
                <w:sz w:val="20"/>
                <w:szCs w:val="20"/>
              </w:rPr>
              <w:t>畜禽</w:t>
            </w:r>
            <w:r>
              <w:rPr>
                <w:rFonts w:hint="eastAsia" w:eastAsia="宋体"/>
                <w:sz w:val="20"/>
                <w:szCs w:val="20"/>
                <w:lang w:val="en-US" w:eastAsia="zh-CN"/>
              </w:rPr>
              <w:t>粪污综合</w:t>
            </w:r>
            <w:r>
              <w:rPr>
                <w:rFonts w:eastAsia="宋体"/>
                <w:sz w:val="20"/>
                <w:szCs w:val="20"/>
              </w:rPr>
              <w:t>利用率</w:t>
            </w:r>
          </w:p>
        </w:tc>
        <w:tc>
          <w:tcPr>
            <w:tcW w:w="729"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w:t>
            </w:r>
          </w:p>
        </w:tc>
        <w:tc>
          <w:tcPr>
            <w:tcW w:w="925"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90</w:t>
            </w:r>
            <w:r>
              <w:rPr>
                <w:rFonts w:hint="default" w:ascii="Times New Roman" w:hAnsi="Times New Roman" w:eastAsia="宋体" w:cs="Times New Roman"/>
                <w:sz w:val="20"/>
                <w:szCs w:val="20"/>
                <w:lang w:val="en-US" w:eastAsia="zh-CN"/>
              </w:rPr>
              <w:t>.00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93</w:t>
            </w:r>
            <w:r>
              <w:rPr>
                <w:rFonts w:hint="default" w:ascii="Times New Roman" w:hAnsi="Times New Roman" w:eastAsia="宋体" w:cs="Times New Roman"/>
                <w:sz w:val="20"/>
                <w:szCs w:val="20"/>
                <w:lang w:val="en-US" w:eastAsia="zh-CN"/>
              </w:rPr>
              <w:t>.00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95</w:t>
            </w:r>
            <w:r>
              <w:rPr>
                <w:rFonts w:hint="default" w:ascii="Times New Roman" w:hAnsi="Times New Roman" w:eastAsia="宋体" w:cs="Times New Roman"/>
                <w:sz w:val="20"/>
                <w:szCs w:val="20"/>
                <w:lang w:val="en-US" w:eastAsia="zh-CN"/>
              </w:rPr>
              <w:t>.00</w:t>
            </w:r>
          </w:p>
        </w:tc>
        <w:tc>
          <w:tcPr>
            <w:tcW w:w="93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lang w:val="en-US" w:eastAsia="zh-CN"/>
              </w:rPr>
              <w:t>[5.00]</w:t>
            </w:r>
          </w:p>
        </w:tc>
        <w:tc>
          <w:tcPr>
            <w:tcW w:w="707"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ascii="Calibri" w:hAnsi="Calibri" w:eastAsia="宋体" w:cs="Times New Roman"/>
                <w:kern w:val="2"/>
                <w:sz w:val="20"/>
                <w:szCs w:val="20"/>
                <w:lang w:val="en-US" w:eastAsia="zh-CN" w:bidi="ar-SA"/>
              </w:rPr>
            </w:pPr>
            <w:r>
              <w:rPr>
                <w:rFonts w:ascii="Times New Roman" w:hAnsi="Times New Roman" w:eastAsia="宋体" w:cs="Times New Roman"/>
                <w:sz w:val="20"/>
                <w:szCs w:val="20"/>
              </w:rPr>
              <w:t>预期性</w:t>
            </w:r>
          </w:p>
        </w:tc>
      </w:tr>
      <w:tr>
        <w:tblPrEx>
          <w:tblCellMar>
            <w:top w:w="0" w:type="dxa"/>
            <w:left w:w="0" w:type="dxa"/>
            <w:bottom w:w="0" w:type="dxa"/>
            <w:right w:w="0" w:type="dxa"/>
          </w:tblCellMar>
        </w:tblPrEx>
        <w:trPr>
          <w:trHeight w:val="351" w:hRule="atLeast"/>
          <w:jc w:val="center"/>
        </w:trPr>
        <w:tc>
          <w:tcPr>
            <w:tcW w:w="454"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N/>
              <w:bidi w:val="0"/>
              <w:adjustRightInd/>
              <w:snapToGrid/>
              <w:spacing w:line="560" w:lineRule="exact"/>
              <w:ind w:firstLine="0" w:firstLineChars="0"/>
              <w:jc w:val="left"/>
              <w:rPr>
                <w:rFonts w:eastAsia="宋体"/>
                <w:b/>
                <w:bCs/>
                <w:sz w:val="18"/>
                <w:szCs w:val="18"/>
              </w:rPr>
            </w:pPr>
          </w:p>
        </w:tc>
        <w:tc>
          <w:tcPr>
            <w:tcW w:w="572"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Calibri" w:hAnsi="Calibri" w:eastAsia="宋体" w:cs="Times New Roman"/>
                <w:kern w:val="2"/>
                <w:sz w:val="20"/>
                <w:szCs w:val="20"/>
                <w:highlight w:val="none"/>
                <w:lang w:val="en-US" w:eastAsia="zh-CN" w:bidi="ar-SA"/>
              </w:rPr>
            </w:pPr>
            <w:r>
              <w:rPr>
                <w:rFonts w:hint="eastAsia" w:eastAsia="宋体" w:cs="Times New Roman"/>
                <w:kern w:val="2"/>
                <w:sz w:val="20"/>
                <w:szCs w:val="20"/>
                <w:highlight w:val="none"/>
                <w:lang w:val="en-US" w:eastAsia="zh-CN" w:bidi="ar-SA"/>
              </w:rPr>
              <w:t>13</w:t>
            </w:r>
          </w:p>
        </w:tc>
        <w:tc>
          <w:tcPr>
            <w:tcW w:w="3352" w:type="dxa"/>
            <w:tcBorders>
              <w:top w:val="single" w:color="000000" w:sz="4" w:space="0"/>
              <w:left w:val="nil"/>
              <w:bottom w:val="single" w:color="000000"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left"/>
              <w:rPr>
                <w:rFonts w:hint="eastAsia" w:ascii="Calibri" w:hAnsi="Calibri" w:eastAsia="宋体" w:cs="Times New Roman"/>
                <w:kern w:val="2"/>
                <w:sz w:val="20"/>
                <w:szCs w:val="20"/>
                <w:highlight w:val="none"/>
                <w:lang w:val="en-US" w:eastAsia="zh-CN" w:bidi="ar-SA"/>
              </w:rPr>
            </w:pPr>
            <w:r>
              <w:rPr>
                <w:rFonts w:eastAsia="宋体"/>
                <w:sz w:val="20"/>
                <w:szCs w:val="20"/>
                <w:highlight w:val="none"/>
              </w:rPr>
              <w:t>农产品质量安全</w:t>
            </w:r>
            <w:r>
              <w:rPr>
                <w:rFonts w:hint="eastAsia" w:eastAsia="宋体"/>
                <w:sz w:val="20"/>
                <w:szCs w:val="20"/>
                <w:highlight w:val="none"/>
                <w:lang w:val="en-US" w:eastAsia="zh-CN"/>
              </w:rPr>
              <w:t>例行监测</w:t>
            </w:r>
            <w:r>
              <w:rPr>
                <w:rFonts w:eastAsia="宋体"/>
                <w:sz w:val="20"/>
                <w:szCs w:val="20"/>
                <w:highlight w:val="none"/>
              </w:rPr>
              <w:t>合格率</w:t>
            </w:r>
          </w:p>
        </w:tc>
        <w:tc>
          <w:tcPr>
            <w:tcW w:w="729"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sz w:val="20"/>
                <w:szCs w:val="20"/>
                <w:highlight w:val="none"/>
              </w:rPr>
              <w:t>%</w:t>
            </w:r>
          </w:p>
        </w:tc>
        <w:tc>
          <w:tcPr>
            <w:tcW w:w="925"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sz w:val="20"/>
                <w:szCs w:val="20"/>
                <w:highlight w:val="none"/>
              </w:rPr>
              <w:t>98.6</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sz w:val="20"/>
                <w:szCs w:val="20"/>
                <w:highlight w:val="none"/>
              </w:rPr>
              <w:t>99.0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sz w:val="20"/>
                <w:szCs w:val="20"/>
                <w:highlight w:val="none"/>
              </w:rPr>
              <w:t>99.2</w:t>
            </w:r>
          </w:p>
        </w:tc>
        <w:tc>
          <w:tcPr>
            <w:tcW w:w="93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kern w:val="2"/>
                <w:sz w:val="20"/>
                <w:szCs w:val="20"/>
                <w:highlight w:val="none"/>
                <w:lang w:val="en-US" w:eastAsia="zh-CN" w:bidi="ar-SA"/>
              </w:rPr>
              <w:t>0.12%</w:t>
            </w:r>
          </w:p>
        </w:tc>
        <w:tc>
          <w:tcPr>
            <w:tcW w:w="707"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ascii="Calibri" w:hAnsi="Calibri" w:eastAsia="宋体" w:cs="Times New Roman"/>
                <w:kern w:val="2"/>
                <w:sz w:val="20"/>
                <w:szCs w:val="20"/>
                <w:highlight w:val="none"/>
                <w:lang w:val="en-US" w:eastAsia="zh-CN" w:bidi="ar-SA"/>
              </w:rPr>
            </w:pPr>
            <w:r>
              <w:rPr>
                <w:rFonts w:hint="eastAsia" w:eastAsia="宋体"/>
                <w:b/>
                <w:bCs/>
                <w:sz w:val="20"/>
                <w:szCs w:val="20"/>
                <w:highlight w:val="none"/>
                <w:lang w:val="en-US" w:eastAsia="zh-CN"/>
              </w:rPr>
              <w:t>约束</w:t>
            </w:r>
            <w:r>
              <w:rPr>
                <w:rFonts w:eastAsia="宋体"/>
                <w:b/>
                <w:bCs/>
                <w:sz w:val="20"/>
                <w:szCs w:val="20"/>
                <w:highlight w:val="none"/>
              </w:rPr>
              <w:t>性</w:t>
            </w:r>
          </w:p>
        </w:tc>
      </w:tr>
      <w:tr>
        <w:tblPrEx>
          <w:tblCellMar>
            <w:top w:w="0" w:type="dxa"/>
            <w:left w:w="0" w:type="dxa"/>
            <w:bottom w:w="0" w:type="dxa"/>
            <w:right w:w="0" w:type="dxa"/>
          </w:tblCellMar>
        </w:tblPrEx>
        <w:trPr>
          <w:trHeight w:val="351" w:hRule="atLeast"/>
          <w:jc w:val="center"/>
        </w:trPr>
        <w:tc>
          <w:tcPr>
            <w:tcW w:w="454"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N/>
              <w:bidi w:val="0"/>
              <w:adjustRightInd/>
              <w:snapToGrid/>
              <w:spacing w:line="560" w:lineRule="exact"/>
              <w:ind w:firstLine="0" w:firstLineChars="0"/>
              <w:jc w:val="left"/>
              <w:rPr>
                <w:rFonts w:eastAsia="宋体"/>
                <w:b/>
                <w:bCs/>
                <w:sz w:val="18"/>
                <w:szCs w:val="18"/>
              </w:rPr>
            </w:pPr>
          </w:p>
        </w:tc>
        <w:tc>
          <w:tcPr>
            <w:tcW w:w="572"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eastAsia="宋体"/>
                <w:color w:val="auto"/>
                <w:sz w:val="20"/>
                <w:szCs w:val="20"/>
                <w:highlight w:val="none"/>
                <w:lang w:val="en-US" w:eastAsia="zh-CN"/>
              </w:rPr>
            </w:pPr>
            <w:r>
              <w:rPr>
                <w:rFonts w:hint="eastAsia" w:eastAsia="宋体"/>
                <w:color w:val="auto"/>
                <w:sz w:val="20"/>
                <w:szCs w:val="20"/>
                <w:highlight w:val="none"/>
                <w:lang w:val="en-US" w:eastAsia="zh-CN"/>
              </w:rPr>
              <w:t>14</w:t>
            </w:r>
          </w:p>
        </w:tc>
        <w:tc>
          <w:tcPr>
            <w:tcW w:w="3352" w:type="dxa"/>
            <w:tcBorders>
              <w:top w:val="single" w:color="000000" w:sz="4" w:space="0"/>
              <w:left w:val="nil"/>
              <w:bottom w:val="single" w:color="000000"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both"/>
              <w:rPr>
                <w:rFonts w:hint="default" w:eastAsia="宋体"/>
                <w:sz w:val="20"/>
                <w:szCs w:val="20"/>
                <w:highlight w:val="none"/>
                <w:lang w:val="en-US" w:eastAsia="zh-CN"/>
              </w:rPr>
            </w:pPr>
            <w:r>
              <w:rPr>
                <w:rFonts w:hint="eastAsia" w:eastAsia="宋体"/>
                <w:sz w:val="20"/>
                <w:szCs w:val="20"/>
                <w:highlight w:val="none"/>
                <w:lang w:val="en-US" w:eastAsia="zh-CN"/>
              </w:rPr>
              <w:t>农产品加工业与农业总产值之比</w:t>
            </w:r>
          </w:p>
        </w:tc>
        <w:tc>
          <w:tcPr>
            <w:tcW w:w="729" w:type="dxa"/>
            <w:tcBorders>
              <w:top w:val="single" w:color="000000" w:sz="4" w:space="0"/>
              <w:left w:val="nil"/>
              <w:bottom w:val="single" w:color="000000"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eastAsia="zh-CN"/>
              </w:rPr>
            </w:pPr>
            <w:r>
              <w:rPr>
                <w:rFonts w:hint="default" w:ascii="Times New Roman" w:hAnsi="Times New Roman" w:eastAsia="宋体" w:cs="Times New Roman"/>
                <w:sz w:val="20"/>
                <w:szCs w:val="20"/>
                <w:highlight w:val="none"/>
                <w:lang w:eastAsia="zh-CN"/>
              </w:rPr>
              <w:t>——</w:t>
            </w:r>
          </w:p>
        </w:tc>
        <w:tc>
          <w:tcPr>
            <w:tcW w:w="925"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sz w:val="20"/>
                <w:szCs w:val="20"/>
                <w:highlight w:val="none"/>
                <w:lang w:val="en-US" w:eastAsia="zh-CN"/>
              </w:rPr>
              <w:t>2.18</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sz w:val="20"/>
                <w:szCs w:val="20"/>
                <w:highlight w:val="none"/>
                <w:lang w:val="en-US" w:eastAsia="zh-CN"/>
              </w:rPr>
              <w:t>2.20</w:t>
            </w:r>
          </w:p>
        </w:tc>
        <w:tc>
          <w:tcPr>
            <w:tcW w:w="876"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sz w:val="20"/>
                <w:szCs w:val="20"/>
                <w:highlight w:val="none"/>
                <w:lang w:val="en-US" w:eastAsia="zh-CN"/>
              </w:rPr>
              <w:t>3.</w:t>
            </w:r>
            <w:r>
              <w:rPr>
                <w:rFonts w:hint="eastAsia" w:eastAsia="宋体" w:cs="Times New Roman"/>
                <w:sz w:val="20"/>
                <w:szCs w:val="20"/>
                <w:highlight w:val="none"/>
                <w:lang w:val="en-US" w:eastAsia="zh-CN"/>
              </w:rPr>
              <w:t>00</w:t>
            </w:r>
          </w:p>
        </w:tc>
        <w:tc>
          <w:tcPr>
            <w:tcW w:w="934"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6.59%</w:t>
            </w:r>
          </w:p>
        </w:tc>
        <w:tc>
          <w:tcPr>
            <w:tcW w:w="707"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eastAsia="宋体"/>
                <w:sz w:val="20"/>
                <w:szCs w:val="20"/>
                <w:highlight w:val="none"/>
              </w:rPr>
            </w:pPr>
            <w:r>
              <w:rPr>
                <w:rFonts w:ascii="Times New Roman" w:hAnsi="Times New Roman" w:eastAsia="宋体" w:cs="Times New Roman"/>
                <w:sz w:val="20"/>
                <w:szCs w:val="20"/>
                <w:highlight w:val="none"/>
              </w:rPr>
              <w:t>预期性</w:t>
            </w:r>
          </w:p>
        </w:tc>
      </w:tr>
      <w:tr>
        <w:tblPrEx>
          <w:tblCellMar>
            <w:top w:w="0" w:type="dxa"/>
            <w:left w:w="0" w:type="dxa"/>
            <w:bottom w:w="0" w:type="dxa"/>
            <w:right w:w="0" w:type="dxa"/>
          </w:tblCellMar>
        </w:tblPrEx>
        <w:trPr>
          <w:trHeight w:val="404" w:hRule="atLeast"/>
          <w:jc w:val="center"/>
        </w:trPr>
        <w:tc>
          <w:tcPr>
            <w:tcW w:w="454" w:type="dxa"/>
            <w:vMerge w:val="restart"/>
            <w:tcBorders>
              <w:top w:val="single" w:color="auto" w:sz="4" w:space="0"/>
              <w:left w:val="single" w:color="000000" w:sz="4" w:space="0"/>
              <w:bottom w:val="single" w:color="auto" w:sz="4" w:space="0"/>
              <w:right w:val="single" w:color="000000" w:sz="4" w:space="0"/>
            </w:tcBorders>
            <w:noWrap w:val="0"/>
            <w:vAlign w:val="top"/>
          </w:tcPr>
          <w:p>
            <w:pPr>
              <w:keepNext w:val="0"/>
              <w:keepLines w:val="0"/>
              <w:pageBreakBefore w:val="0"/>
              <w:widowControl/>
              <w:kinsoku/>
              <w:wordWrap/>
              <w:overflowPunct/>
              <w:topLinePunct w:val="0"/>
              <w:autoSpaceDN/>
              <w:bidi w:val="0"/>
              <w:adjustRightInd/>
              <w:snapToGrid/>
              <w:spacing w:line="240" w:lineRule="auto"/>
              <w:ind w:firstLine="0" w:firstLineChars="0"/>
              <w:jc w:val="center"/>
              <w:rPr>
                <w:rFonts w:hint="eastAsia" w:eastAsia="宋体"/>
                <w:b/>
                <w:bCs/>
                <w:sz w:val="18"/>
                <w:szCs w:val="18"/>
                <w:lang w:val="en-US" w:eastAsia="zh-CN"/>
              </w:rPr>
            </w:pP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eastAsia="宋体"/>
                <w:b/>
                <w:bCs/>
                <w:sz w:val="18"/>
                <w:szCs w:val="18"/>
                <w:lang w:val="en-US" w:eastAsia="zh-CN"/>
              </w:rPr>
            </w:pPr>
            <w:r>
              <w:rPr>
                <w:rFonts w:hint="eastAsia" w:eastAsia="宋体"/>
                <w:b/>
                <w:bCs/>
                <w:sz w:val="18"/>
                <w:szCs w:val="18"/>
                <w:lang w:val="en-US" w:eastAsia="zh-CN"/>
              </w:rPr>
              <w:t>乡村宜居宜业</w:t>
            </w:r>
          </w:p>
        </w:tc>
        <w:tc>
          <w:tcPr>
            <w:tcW w:w="572" w:type="dxa"/>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eastAsia="宋体" w:cs="Times New Roman"/>
                <w:color w:val="C00000"/>
                <w:kern w:val="2"/>
                <w:sz w:val="20"/>
                <w:szCs w:val="20"/>
                <w:highlight w:val="none"/>
                <w:lang w:val="en-US" w:eastAsia="zh-CN" w:bidi="ar-SA"/>
              </w:rPr>
            </w:pPr>
            <w:r>
              <w:rPr>
                <w:rFonts w:hint="eastAsia" w:eastAsia="宋体" w:cs="Times New Roman"/>
                <w:color w:val="auto"/>
                <w:kern w:val="2"/>
                <w:sz w:val="20"/>
                <w:szCs w:val="20"/>
                <w:highlight w:val="none"/>
                <w:lang w:val="en-US" w:eastAsia="zh-CN" w:bidi="ar-SA"/>
              </w:rPr>
              <w:t>15</w:t>
            </w:r>
          </w:p>
        </w:tc>
        <w:tc>
          <w:tcPr>
            <w:tcW w:w="3352" w:type="dxa"/>
            <w:tcBorders>
              <w:top w:val="single" w:color="auto" w:sz="4" w:space="0"/>
              <w:left w:val="nil"/>
              <w:bottom w:val="single" w:color="auto"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left"/>
              <w:rPr>
                <w:rFonts w:hint="default" w:eastAsia="宋体" w:cs="Times New Roman"/>
                <w:color w:val="C00000"/>
                <w:kern w:val="2"/>
                <w:sz w:val="20"/>
                <w:szCs w:val="20"/>
                <w:highlight w:val="none"/>
                <w:lang w:val="en-US" w:eastAsia="zh-CN" w:bidi="ar-SA"/>
              </w:rPr>
            </w:pPr>
            <w:r>
              <w:rPr>
                <w:rFonts w:eastAsia="宋体"/>
                <w:sz w:val="20"/>
                <w:szCs w:val="20"/>
              </w:rPr>
              <w:t>农村自来水覆盖率</w:t>
            </w:r>
          </w:p>
        </w:tc>
        <w:tc>
          <w:tcPr>
            <w:tcW w:w="729" w:type="dxa"/>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color w:val="C00000"/>
                <w:kern w:val="2"/>
                <w:sz w:val="20"/>
                <w:szCs w:val="20"/>
                <w:highlight w:val="none"/>
                <w:lang w:val="en-US" w:eastAsia="zh-CN" w:bidi="ar-SA"/>
              </w:rPr>
            </w:pPr>
            <w:r>
              <w:rPr>
                <w:rFonts w:hint="default" w:ascii="Times New Roman" w:hAnsi="Times New Roman" w:eastAsia="宋体" w:cs="Times New Roman"/>
                <w:sz w:val="20"/>
                <w:szCs w:val="20"/>
              </w:rPr>
              <w:t>%</w:t>
            </w:r>
          </w:p>
        </w:tc>
        <w:tc>
          <w:tcPr>
            <w:tcW w:w="925"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color w:val="C00000"/>
                <w:kern w:val="2"/>
                <w:sz w:val="20"/>
                <w:szCs w:val="20"/>
                <w:highlight w:val="none"/>
                <w:lang w:val="en-US" w:eastAsia="zh-CN" w:bidi="ar-SA"/>
              </w:rPr>
            </w:pPr>
            <w:r>
              <w:rPr>
                <w:rFonts w:hint="default" w:ascii="Times New Roman" w:hAnsi="Times New Roman" w:eastAsia="宋体" w:cs="Times New Roman"/>
                <w:sz w:val="20"/>
                <w:szCs w:val="20"/>
              </w:rPr>
              <w:t>99</w:t>
            </w:r>
          </w:p>
        </w:tc>
        <w:tc>
          <w:tcPr>
            <w:tcW w:w="876"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color w:val="C00000"/>
                <w:kern w:val="2"/>
                <w:sz w:val="20"/>
                <w:szCs w:val="20"/>
                <w:highlight w:val="none"/>
                <w:lang w:val="en-US" w:eastAsia="zh-CN" w:bidi="ar-SA"/>
              </w:rPr>
            </w:pPr>
            <w:r>
              <w:rPr>
                <w:rFonts w:hint="default" w:ascii="Times New Roman" w:hAnsi="Times New Roman" w:eastAsia="宋体" w:cs="Times New Roman"/>
                <w:sz w:val="20"/>
                <w:szCs w:val="20"/>
              </w:rPr>
              <w:t>99</w:t>
            </w:r>
          </w:p>
        </w:tc>
        <w:tc>
          <w:tcPr>
            <w:tcW w:w="876"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color w:val="C00000"/>
                <w:kern w:val="2"/>
                <w:sz w:val="20"/>
                <w:szCs w:val="20"/>
                <w:highlight w:val="none"/>
                <w:lang w:val="en-US" w:eastAsia="zh-CN" w:bidi="ar-SA"/>
              </w:rPr>
            </w:pPr>
            <w:r>
              <w:rPr>
                <w:rFonts w:hint="default" w:ascii="Times New Roman" w:hAnsi="Times New Roman" w:eastAsia="宋体" w:cs="Times New Roman"/>
                <w:sz w:val="20"/>
                <w:szCs w:val="20"/>
              </w:rPr>
              <w:t>100</w:t>
            </w:r>
          </w:p>
        </w:tc>
        <w:tc>
          <w:tcPr>
            <w:tcW w:w="934"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color w:val="C00000"/>
                <w:kern w:val="2"/>
                <w:sz w:val="20"/>
                <w:szCs w:val="20"/>
                <w:highlight w:val="none"/>
                <w:lang w:val="en-US" w:eastAsia="zh-CN" w:bidi="ar-SA"/>
              </w:rPr>
            </w:pPr>
            <w:r>
              <w:rPr>
                <w:rFonts w:hint="default" w:ascii="Times New Roman" w:hAnsi="Times New Roman" w:eastAsia="宋体" w:cs="Times New Roman"/>
                <w:sz w:val="20"/>
                <w:szCs w:val="20"/>
                <w:highlight w:val="none"/>
                <w:lang w:val="en-US" w:eastAsia="zh-CN"/>
              </w:rPr>
              <w:t>[1.00]</w:t>
            </w:r>
          </w:p>
        </w:tc>
        <w:tc>
          <w:tcPr>
            <w:tcW w:w="707"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eastAsia" w:eastAsia="宋体" w:cs="Times New Roman"/>
                <w:color w:val="C00000"/>
                <w:kern w:val="2"/>
                <w:sz w:val="20"/>
                <w:szCs w:val="20"/>
                <w:highlight w:val="none"/>
                <w:lang w:val="en-US" w:eastAsia="zh-CN" w:bidi="ar-SA"/>
              </w:rPr>
            </w:pPr>
            <w:r>
              <w:rPr>
                <w:rFonts w:eastAsia="宋体"/>
                <w:sz w:val="20"/>
                <w:szCs w:val="20"/>
              </w:rPr>
              <w:t>预期性</w:t>
            </w:r>
          </w:p>
        </w:tc>
      </w:tr>
      <w:tr>
        <w:tblPrEx>
          <w:tblCellMar>
            <w:top w:w="0" w:type="dxa"/>
            <w:left w:w="0" w:type="dxa"/>
            <w:bottom w:w="0" w:type="dxa"/>
            <w:right w:w="0" w:type="dxa"/>
          </w:tblCellMar>
        </w:tblPrEx>
        <w:trPr>
          <w:trHeight w:val="404" w:hRule="atLeast"/>
          <w:jc w:val="center"/>
        </w:trPr>
        <w:tc>
          <w:tcPr>
            <w:tcW w:w="454"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eastAsia="宋体"/>
                <w:b/>
                <w:bCs/>
                <w:sz w:val="18"/>
                <w:szCs w:val="18"/>
                <w:lang w:val="en-US" w:eastAsia="zh-CN"/>
              </w:rPr>
            </w:pPr>
          </w:p>
        </w:tc>
        <w:tc>
          <w:tcPr>
            <w:tcW w:w="572" w:type="dxa"/>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Calibri" w:hAnsi="Calibri" w:eastAsia="宋体" w:cs="Times New Roman"/>
                <w:kern w:val="2"/>
                <w:sz w:val="20"/>
                <w:szCs w:val="20"/>
                <w:lang w:val="en-US" w:eastAsia="zh-CN" w:bidi="ar-SA"/>
              </w:rPr>
            </w:pPr>
            <w:r>
              <w:rPr>
                <w:rFonts w:hint="eastAsia" w:eastAsia="宋体"/>
                <w:sz w:val="20"/>
                <w:szCs w:val="20"/>
                <w:lang w:val="en-US" w:eastAsia="zh-CN"/>
              </w:rPr>
              <w:t>16</w:t>
            </w:r>
          </w:p>
        </w:tc>
        <w:tc>
          <w:tcPr>
            <w:tcW w:w="3352" w:type="dxa"/>
            <w:tcBorders>
              <w:top w:val="single" w:color="auto" w:sz="4" w:space="0"/>
              <w:left w:val="nil"/>
              <w:bottom w:val="single" w:color="auto"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left"/>
              <w:rPr>
                <w:rFonts w:hint="eastAsia" w:ascii="Calibri" w:hAnsi="Calibri" w:eastAsia="宋体" w:cs="Times New Roman"/>
                <w:kern w:val="2"/>
                <w:sz w:val="20"/>
                <w:szCs w:val="20"/>
                <w:lang w:val="en-US" w:eastAsia="zh-CN" w:bidi="ar-SA"/>
              </w:rPr>
            </w:pPr>
            <w:r>
              <w:rPr>
                <w:rFonts w:eastAsia="宋体"/>
                <w:sz w:val="20"/>
                <w:szCs w:val="20"/>
              </w:rPr>
              <w:t>农村卫生厕所普及率</w:t>
            </w:r>
          </w:p>
        </w:tc>
        <w:tc>
          <w:tcPr>
            <w:tcW w:w="729" w:type="dxa"/>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sz w:val="20"/>
                <w:szCs w:val="20"/>
                <w:highlight w:val="none"/>
              </w:rPr>
              <w:t>%</w:t>
            </w:r>
          </w:p>
        </w:tc>
        <w:tc>
          <w:tcPr>
            <w:tcW w:w="925"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widowControl/>
              <w:kinsoku/>
              <w:wordWrap/>
              <w:overflowPunct/>
              <w:topLinePunct w:val="0"/>
              <w:autoSpaceDN/>
              <w:bidi w:val="0"/>
              <w:adjustRightInd/>
              <w:snapToGrid/>
              <w:spacing w:line="240" w:lineRule="auto"/>
              <w:ind w:firstLine="0" w:firstLineChars="0"/>
              <w:jc w:val="center"/>
              <w:textAlignment w:val="bottom"/>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color w:val="000000"/>
                <w:kern w:val="0"/>
                <w:sz w:val="20"/>
                <w:szCs w:val="20"/>
                <w:highlight w:val="none"/>
              </w:rPr>
              <w:t>74.2</w:t>
            </w:r>
          </w:p>
        </w:tc>
        <w:tc>
          <w:tcPr>
            <w:tcW w:w="876"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widowControl/>
              <w:kinsoku/>
              <w:wordWrap/>
              <w:overflowPunct/>
              <w:topLinePunct w:val="0"/>
              <w:autoSpaceDN/>
              <w:bidi w:val="0"/>
              <w:adjustRightInd/>
              <w:snapToGrid/>
              <w:spacing w:line="240" w:lineRule="auto"/>
              <w:ind w:firstLine="0" w:firstLineChars="0"/>
              <w:jc w:val="center"/>
              <w:textAlignment w:val="bottom"/>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color w:val="000000"/>
                <w:kern w:val="0"/>
                <w:sz w:val="20"/>
                <w:szCs w:val="20"/>
                <w:highlight w:val="none"/>
              </w:rPr>
              <w:t>86.5</w:t>
            </w:r>
          </w:p>
        </w:tc>
        <w:tc>
          <w:tcPr>
            <w:tcW w:w="876"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widowControl/>
              <w:kinsoku/>
              <w:wordWrap/>
              <w:overflowPunct/>
              <w:topLinePunct w:val="0"/>
              <w:autoSpaceDN/>
              <w:bidi w:val="0"/>
              <w:adjustRightInd/>
              <w:snapToGrid/>
              <w:spacing w:line="240" w:lineRule="auto"/>
              <w:ind w:firstLine="0" w:firstLineChars="0"/>
              <w:jc w:val="center"/>
              <w:textAlignment w:val="bottom"/>
              <w:rPr>
                <w:rFonts w:hint="default" w:ascii="Times New Roman" w:hAnsi="Times New Roman" w:eastAsia="宋体" w:cs="Times New Roman"/>
                <w:kern w:val="2"/>
                <w:sz w:val="20"/>
                <w:szCs w:val="20"/>
                <w:highlight w:val="none"/>
                <w:lang w:val="en-US" w:eastAsia="zh-CN" w:bidi="ar-SA"/>
              </w:rPr>
            </w:pPr>
            <w:r>
              <w:rPr>
                <w:rFonts w:hint="eastAsia" w:eastAsia="宋体" w:cs="Times New Roman"/>
                <w:kern w:val="2"/>
                <w:sz w:val="20"/>
                <w:szCs w:val="20"/>
                <w:highlight w:val="none"/>
                <w:lang w:val="en-US" w:eastAsia="zh-CN" w:bidi="ar-SA"/>
              </w:rPr>
              <w:t>100</w:t>
            </w:r>
          </w:p>
        </w:tc>
        <w:tc>
          <w:tcPr>
            <w:tcW w:w="934"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sz w:val="20"/>
                <w:szCs w:val="20"/>
                <w:highlight w:val="none"/>
                <w:lang w:val="en-US" w:eastAsia="zh-CN"/>
              </w:rPr>
              <w:t>[</w:t>
            </w:r>
            <w:r>
              <w:rPr>
                <w:rFonts w:hint="eastAsia" w:eastAsia="宋体" w:cs="Times New Roman"/>
                <w:sz w:val="20"/>
                <w:szCs w:val="20"/>
                <w:highlight w:val="none"/>
                <w:lang w:val="en-US" w:eastAsia="zh-CN"/>
              </w:rPr>
              <w:t>25.80</w:t>
            </w:r>
            <w:r>
              <w:rPr>
                <w:rFonts w:hint="default" w:ascii="Times New Roman" w:hAnsi="Times New Roman" w:eastAsia="宋体" w:cs="Times New Roman"/>
                <w:sz w:val="20"/>
                <w:szCs w:val="20"/>
                <w:highlight w:val="none"/>
                <w:lang w:val="en-US" w:eastAsia="zh-CN"/>
              </w:rPr>
              <w:t>]</w:t>
            </w:r>
          </w:p>
        </w:tc>
        <w:tc>
          <w:tcPr>
            <w:tcW w:w="707"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eastAsia" w:ascii="Calibri" w:hAnsi="Calibri" w:eastAsia="宋体" w:cs="Times New Roman"/>
                <w:kern w:val="2"/>
                <w:sz w:val="20"/>
                <w:szCs w:val="20"/>
                <w:lang w:val="en-US" w:eastAsia="zh-CN" w:bidi="ar-SA"/>
              </w:rPr>
            </w:pPr>
            <w:r>
              <w:rPr>
                <w:rFonts w:eastAsia="宋体"/>
                <w:sz w:val="20"/>
                <w:szCs w:val="20"/>
              </w:rPr>
              <w:t>预期性</w:t>
            </w:r>
          </w:p>
        </w:tc>
      </w:tr>
      <w:tr>
        <w:tblPrEx>
          <w:tblCellMar>
            <w:top w:w="0" w:type="dxa"/>
            <w:left w:w="0" w:type="dxa"/>
            <w:bottom w:w="0" w:type="dxa"/>
            <w:right w:w="0" w:type="dxa"/>
          </w:tblCellMar>
        </w:tblPrEx>
        <w:trPr>
          <w:trHeight w:val="361" w:hRule="atLeast"/>
          <w:jc w:val="center"/>
        </w:trPr>
        <w:tc>
          <w:tcPr>
            <w:tcW w:w="454"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eastAsia="宋体"/>
                <w:b/>
                <w:bCs/>
                <w:sz w:val="18"/>
                <w:szCs w:val="18"/>
                <w:lang w:val="en-US" w:eastAsia="zh-CN"/>
              </w:rPr>
            </w:pPr>
          </w:p>
        </w:tc>
        <w:tc>
          <w:tcPr>
            <w:tcW w:w="572" w:type="dxa"/>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Calibri" w:hAnsi="Calibri" w:eastAsia="宋体" w:cs="Times New Roman"/>
                <w:color w:val="auto"/>
                <w:kern w:val="2"/>
                <w:sz w:val="20"/>
                <w:szCs w:val="20"/>
                <w:lang w:val="en-US" w:eastAsia="zh-CN" w:bidi="ar-SA"/>
              </w:rPr>
            </w:pPr>
            <w:r>
              <w:rPr>
                <w:rFonts w:hint="eastAsia" w:eastAsia="宋体" w:cs="Times New Roman"/>
                <w:color w:val="auto"/>
                <w:kern w:val="2"/>
                <w:sz w:val="20"/>
                <w:szCs w:val="20"/>
                <w:highlight w:val="none"/>
                <w:lang w:val="en-US" w:eastAsia="zh-CN" w:bidi="ar-SA"/>
              </w:rPr>
              <w:t>17</w:t>
            </w:r>
          </w:p>
        </w:tc>
        <w:tc>
          <w:tcPr>
            <w:tcW w:w="3352" w:type="dxa"/>
            <w:tcBorders>
              <w:top w:val="single" w:color="auto" w:sz="4" w:space="0"/>
              <w:left w:val="nil"/>
              <w:bottom w:val="single" w:color="auto"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both"/>
              <w:rPr>
                <w:rFonts w:hint="eastAsia" w:ascii="Calibri" w:hAnsi="Calibri" w:eastAsia="宋体" w:cs="Times New Roman"/>
                <w:color w:val="auto"/>
                <w:kern w:val="2"/>
                <w:sz w:val="20"/>
                <w:szCs w:val="20"/>
                <w:lang w:val="en-US" w:eastAsia="zh-CN" w:bidi="ar-SA"/>
              </w:rPr>
            </w:pPr>
            <w:r>
              <w:rPr>
                <w:rFonts w:hint="eastAsia" w:eastAsia="宋体" w:cs="Times New Roman"/>
                <w:color w:val="auto"/>
                <w:kern w:val="2"/>
                <w:sz w:val="20"/>
                <w:szCs w:val="20"/>
                <w:highlight w:val="none"/>
                <w:lang w:val="en-US" w:eastAsia="zh-CN" w:bidi="ar-SA"/>
              </w:rPr>
              <w:t>农村生活污水处理率</w:t>
            </w:r>
          </w:p>
        </w:tc>
        <w:tc>
          <w:tcPr>
            <w:tcW w:w="729" w:type="dxa"/>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highlight w:val="none"/>
                <w:lang w:val="en-US" w:eastAsia="zh-CN" w:bidi="ar-SA"/>
              </w:rPr>
              <w:t>%</w:t>
            </w:r>
          </w:p>
        </w:tc>
        <w:tc>
          <w:tcPr>
            <w:tcW w:w="925"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highlight w:val="none"/>
                <w:lang w:val="en-US" w:eastAsia="zh-CN" w:bidi="ar-SA"/>
              </w:rPr>
              <w:t>30.00</w:t>
            </w:r>
          </w:p>
        </w:tc>
        <w:tc>
          <w:tcPr>
            <w:tcW w:w="876"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highlight w:val="none"/>
                <w:lang w:val="en-US" w:eastAsia="zh-CN" w:bidi="ar-SA"/>
              </w:rPr>
              <w:t>32.00</w:t>
            </w:r>
          </w:p>
        </w:tc>
        <w:tc>
          <w:tcPr>
            <w:tcW w:w="876"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highlight w:val="none"/>
                <w:lang w:val="en-US" w:eastAsia="zh-CN" w:bidi="ar-SA"/>
              </w:rPr>
              <w:t>40.00</w:t>
            </w:r>
          </w:p>
        </w:tc>
        <w:tc>
          <w:tcPr>
            <w:tcW w:w="934"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highlight w:val="none"/>
                <w:lang w:val="en-US" w:eastAsia="zh-CN" w:bidi="ar-SA"/>
              </w:rPr>
              <w:t>[</w:t>
            </w:r>
            <w:r>
              <w:rPr>
                <w:rFonts w:hint="eastAsia" w:eastAsia="宋体" w:cs="Times New Roman"/>
                <w:color w:val="auto"/>
                <w:kern w:val="2"/>
                <w:sz w:val="20"/>
                <w:szCs w:val="20"/>
                <w:highlight w:val="none"/>
                <w:lang w:val="en-US" w:eastAsia="zh-CN" w:bidi="ar-SA"/>
              </w:rPr>
              <w:t>1</w:t>
            </w:r>
            <w:r>
              <w:rPr>
                <w:rFonts w:hint="default" w:ascii="Times New Roman" w:hAnsi="Times New Roman" w:eastAsia="宋体" w:cs="Times New Roman"/>
                <w:color w:val="auto"/>
                <w:kern w:val="2"/>
                <w:sz w:val="20"/>
                <w:szCs w:val="20"/>
                <w:highlight w:val="none"/>
                <w:lang w:val="en-US" w:eastAsia="zh-CN" w:bidi="ar-SA"/>
              </w:rPr>
              <w:t>0.00]</w:t>
            </w:r>
          </w:p>
        </w:tc>
        <w:tc>
          <w:tcPr>
            <w:tcW w:w="707"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eastAsia" w:ascii="Calibri" w:hAnsi="Calibri" w:eastAsia="宋体" w:cs="Times New Roman"/>
                <w:color w:val="auto"/>
                <w:kern w:val="2"/>
                <w:sz w:val="20"/>
                <w:szCs w:val="20"/>
                <w:lang w:val="en-US" w:eastAsia="zh-CN" w:bidi="ar-SA"/>
              </w:rPr>
            </w:pPr>
            <w:r>
              <w:rPr>
                <w:rFonts w:hint="eastAsia" w:eastAsia="宋体" w:cs="Times New Roman"/>
                <w:color w:val="auto"/>
                <w:kern w:val="2"/>
                <w:sz w:val="20"/>
                <w:szCs w:val="20"/>
                <w:highlight w:val="none"/>
                <w:lang w:val="en-US" w:eastAsia="zh-CN" w:bidi="ar-SA"/>
              </w:rPr>
              <w:t>预期性</w:t>
            </w:r>
          </w:p>
        </w:tc>
      </w:tr>
      <w:tr>
        <w:tblPrEx>
          <w:tblCellMar>
            <w:top w:w="0" w:type="dxa"/>
            <w:left w:w="0" w:type="dxa"/>
            <w:bottom w:w="0" w:type="dxa"/>
            <w:right w:w="0" w:type="dxa"/>
          </w:tblCellMar>
        </w:tblPrEx>
        <w:trPr>
          <w:trHeight w:val="318" w:hRule="atLeast"/>
          <w:jc w:val="center"/>
        </w:trPr>
        <w:tc>
          <w:tcPr>
            <w:tcW w:w="454" w:type="dxa"/>
            <w:vMerge w:val="restart"/>
            <w:tcBorders>
              <w:top w:val="single" w:color="auto" w:sz="4" w:space="0"/>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eastAsia="宋体"/>
                <w:b/>
                <w:bCs/>
                <w:sz w:val="24"/>
                <w:szCs w:val="24"/>
                <w:lang w:val="en-US" w:eastAsia="zh-CN"/>
              </w:rPr>
            </w:pPr>
            <w:r>
              <w:rPr>
                <w:rFonts w:hint="eastAsia" w:eastAsia="宋体" w:cs="Times New Roman"/>
                <w:b/>
                <w:bCs/>
                <w:sz w:val="18"/>
                <w:szCs w:val="18"/>
                <w:lang w:val="en-US" w:eastAsia="zh-CN"/>
              </w:rPr>
              <w:t>农民富裕富足</w:t>
            </w:r>
          </w:p>
        </w:tc>
        <w:tc>
          <w:tcPr>
            <w:tcW w:w="572" w:type="dxa"/>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eastAsia" w:eastAsia="宋体" w:cs="Times New Roman"/>
                <w:kern w:val="2"/>
                <w:sz w:val="20"/>
                <w:szCs w:val="20"/>
                <w:lang w:val="en-US" w:eastAsia="zh-CN" w:bidi="ar-SA"/>
              </w:rPr>
              <w:t>18</w:t>
            </w:r>
          </w:p>
        </w:tc>
        <w:tc>
          <w:tcPr>
            <w:tcW w:w="3352" w:type="dxa"/>
            <w:tcBorders>
              <w:top w:val="single" w:color="auto" w:sz="4" w:space="0"/>
              <w:left w:val="nil"/>
              <w:bottom w:val="single" w:color="auto"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left"/>
              <w:rPr>
                <w:rFonts w:ascii="Times New Roman" w:hAnsi="Times New Roman" w:eastAsia="宋体" w:cs="Times New Roman"/>
                <w:kern w:val="2"/>
                <w:sz w:val="20"/>
                <w:szCs w:val="20"/>
                <w:lang w:val="en-US" w:eastAsia="zh-CN" w:bidi="ar-SA"/>
              </w:rPr>
            </w:pPr>
            <w:r>
              <w:rPr>
                <w:rFonts w:hint="eastAsia" w:eastAsia="宋体"/>
                <w:sz w:val="20"/>
                <w:szCs w:val="20"/>
                <w:lang w:val="en-US" w:eastAsia="zh-CN"/>
              </w:rPr>
              <w:t>农村居民</w:t>
            </w:r>
            <w:r>
              <w:rPr>
                <w:rFonts w:eastAsia="宋体"/>
                <w:sz w:val="20"/>
                <w:szCs w:val="20"/>
              </w:rPr>
              <w:t>人均可支配收入</w:t>
            </w:r>
          </w:p>
        </w:tc>
        <w:tc>
          <w:tcPr>
            <w:tcW w:w="729" w:type="dxa"/>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元</w:t>
            </w:r>
          </w:p>
        </w:tc>
        <w:tc>
          <w:tcPr>
            <w:tcW w:w="925"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highlight w:val="none"/>
              </w:rPr>
              <w:t>1</w:t>
            </w:r>
            <w:r>
              <w:rPr>
                <w:rFonts w:hint="default" w:ascii="Times New Roman" w:hAnsi="Times New Roman" w:eastAsia="宋体" w:cs="Times New Roman"/>
                <w:sz w:val="20"/>
                <w:szCs w:val="20"/>
                <w:highlight w:val="none"/>
                <w:lang w:val="en-US" w:eastAsia="zh-CN"/>
              </w:rPr>
              <w:t>8948</w:t>
            </w:r>
          </w:p>
        </w:tc>
        <w:tc>
          <w:tcPr>
            <w:tcW w:w="876"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highlight w:val="none"/>
                <w:lang w:val="en-US" w:eastAsia="zh-CN"/>
              </w:rPr>
              <w:t>19650</w:t>
            </w:r>
          </w:p>
        </w:tc>
        <w:tc>
          <w:tcPr>
            <w:tcW w:w="876"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highlight w:val="none"/>
                <w:lang w:val="en-US" w:eastAsia="zh-CN"/>
              </w:rPr>
              <w:t>27000</w:t>
            </w:r>
          </w:p>
        </w:tc>
        <w:tc>
          <w:tcPr>
            <w:tcW w:w="934"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highlight w:val="none"/>
                <w:lang w:val="en-US" w:eastAsia="zh-CN"/>
              </w:rPr>
              <w:t>7.34%</w:t>
            </w:r>
          </w:p>
        </w:tc>
        <w:tc>
          <w:tcPr>
            <w:tcW w:w="707"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ascii="Times New Roman" w:hAnsi="Times New Roman" w:eastAsia="宋体" w:cs="Times New Roman"/>
                <w:kern w:val="2"/>
                <w:sz w:val="20"/>
                <w:szCs w:val="20"/>
                <w:lang w:val="en-US" w:eastAsia="zh-CN" w:bidi="ar-SA"/>
              </w:rPr>
            </w:pPr>
            <w:r>
              <w:rPr>
                <w:rFonts w:eastAsia="宋体"/>
                <w:sz w:val="20"/>
                <w:szCs w:val="20"/>
              </w:rPr>
              <w:t>预期性</w:t>
            </w:r>
          </w:p>
        </w:tc>
      </w:tr>
      <w:tr>
        <w:tblPrEx>
          <w:tblCellMar>
            <w:top w:w="0" w:type="dxa"/>
            <w:left w:w="0" w:type="dxa"/>
            <w:bottom w:w="0" w:type="dxa"/>
            <w:right w:w="0" w:type="dxa"/>
          </w:tblCellMar>
        </w:tblPrEx>
        <w:trPr>
          <w:trHeight w:val="351" w:hRule="atLeast"/>
          <w:jc w:val="center"/>
        </w:trPr>
        <w:tc>
          <w:tcPr>
            <w:tcW w:w="454" w:type="dxa"/>
            <w:vMerge w:val="continue"/>
            <w:tcBorders>
              <w:left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eastAsia="宋体"/>
                <w:b/>
                <w:bCs/>
                <w:sz w:val="18"/>
                <w:szCs w:val="18"/>
              </w:rPr>
            </w:pPr>
          </w:p>
        </w:tc>
        <w:tc>
          <w:tcPr>
            <w:tcW w:w="572" w:type="dxa"/>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eastAsia" w:eastAsia="宋体" w:cs="Times New Roman"/>
                <w:kern w:val="2"/>
                <w:sz w:val="20"/>
                <w:szCs w:val="20"/>
                <w:lang w:val="en-US" w:eastAsia="zh-CN" w:bidi="ar-SA"/>
              </w:rPr>
              <w:t>19</w:t>
            </w:r>
          </w:p>
        </w:tc>
        <w:tc>
          <w:tcPr>
            <w:tcW w:w="3352" w:type="dxa"/>
            <w:tcBorders>
              <w:top w:val="single" w:color="auto" w:sz="4" w:space="0"/>
              <w:left w:val="nil"/>
              <w:bottom w:val="single" w:color="auto"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left"/>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kern w:val="2"/>
                <w:sz w:val="20"/>
                <w:szCs w:val="20"/>
                <w:lang w:val="en-US" w:eastAsia="zh-CN" w:bidi="ar-SA"/>
              </w:rPr>
              <w:t>农村居民基本养老保险参保率</w:t>
            </w:r>
          </w:p>
        </w:tc>
        <w:tc>
          <w:tcPr>
            <w:tcW w:w="729" w:type="dxa"/>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kern w:val="2"/>
                <w:sz w:val="20"/>
                <w:szCs w:val="20"/>
                <w:lang w:val="en-US" w:eastAsia="zh-CN" w:bidi="ar-SA"/>
              </w:rPr>
              <w:t>%</w:t>
            </w:r>
          </w:p>
        </w:tc>
        <w:tc>
          <w:tcPr>
            <w:tcW w:w="925"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kern w:val="2"/>
                <w:sz w:val="20"/>
                <w:szCs w:val="20"/>
                <w:lang w:val="en-US" w:eastAsia="zh-CN" w:bidi="ar-SA"/>
              </w:rPr>
              <w:t>——</w:t>
            </w:r>
          </w:p>
        </w:tc>
        <w:tc>
          <w:tcPr>
            <w:tcW w:w="876"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kern w:val="2"/>
                <w:sz w:val="20"/>
                <w:szCs w:val="20"/>
                <w:lang w:val="en-US" w:eastAsia="zh-CN" w:bidi="ar-SA"/>
              </w:rPr>
              <w:t>96.50</w:t>
            </w:r>
          </w:p>
        </w:tc>
        <w:tc>
          <w:tcPr>
            <w:tcW w:w="876"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kern w:val="2"/>
                <w:sz w:val="20"/>
                <w:szCs w:val="20"/>
                <w:lang w:val="en-US" w:eastAsia="zh-CN" w:bidi="ar-SA"/>
              </w:rPr>
              <w:t>98.00</w:t>
            </w:r>
          </w:p>
        </w:tc>
        <w:tc>
          <w:tcPr>
            <w:tcW w:w="934"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highlight w:val="none"/>
                <w:lang w:val="en-US" w:eastAsia="zh-CN"/>
              </w:rPr>
              <w:t>[1.</w:t>
            </w:r>
            <w:r>
              <w:rPr>
                <w:rFonts w:hint="eastAsia" w:ascii="Times New Roman" w:hAnsi="Times New Roman" w:eastAsia="宋体" w:cs="Times New Roman"/>
                <w:sz w:val="20"/>
                <w:szCs w:val="20"/>
                <w:highlight w:val="none"/>
                <w:lang w:val="en-US" w:eastAsia="zh-CN"/>
              </w:rPr>
              <w:t>5</w:t>
            </w:r>
            <w:r>
              <w:rPr>
                <w:rFonts w:hint="default" w:ascii="Times New Roman" w:hAnsi="Times New Roman" w:eastAsia="宋体" w:cs="Times New Roman"/>
                <w:sz w:val="20"/>
                <w:szCs w:val="20"/>
                <w:highlight w:val="none"/>
                <w:lang w:val="en-US" w:eastAsia="zh-CN"/>
              </w:rPr>
              <w:t>0]</w:t>
            </w:r>
          </w:p>
        </w:tc>
        <w:tc>
          <w:tcPr>
            <w:tcW w:w="707"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ascii="Times New Roman" w:hAnsi="Times New Roman" w:eastAsia="宋体" w:cs="Times New Roman"/>
                <w:kern w:val="2"/>
                <w:sz w:val="20"/>
                <w:szCs w:val="20"/>
                <w:lang w:val="en-US" w:eastAsia="zh-CN" w:bidi="ar-SA"/>
              </w:rPr>
            </w:pPr>
            <w:r>
              <w:rPr>
                <w:rFonts w:eastAsia="宋体"/>
                <w:sz w:val="20"/>
                <w:szCs w:val="20"/>
              </w:rPr>
              <w:t>预期性</w:t>
            </w:r>
          </w:p>
        </w:tc>
      </w:tr>
      <w:tr>
        <w:tblPrEx>
          <w:tblCellMar>
            <w:top w:w="0" w:type="dxa"/>
            <w:left w:w="0" w:type="dxa"/>
            <w:bottom w:w="0" w:type="dxa"/>
            <w:right w:w="0" w:type="dxa"/>
          </w:tblCellMar>
        </w:tblPrEx>
        <w:trPr>
          <w:trHeight w:val="351" w:hRule="atLeast"/>
          <w:jc w:val="center"/>
        </w:trPr>
        <w:tc>
          <w:tcPr>
            <w:tcW w:w="454" w:type="dxa"/>
            <w:vMerge w:val="continue"/>
            <w:tcBorders>
              <w:left w:val="single" w:color="000000" w:sz="4" w:space="0"/>
              <w:bottom w:val="single" w:color="auto" w:sz="4" w:space="0"/>
              <w:right w:val="single" w:color="000000" w:sz="4" w:space="0"/>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eastAsia="宋体"/>
                <w:b/>
                <w:bCs/>
                <w:sz w:val="24"/>
                <w:szCs w:val="24"/>
              </w:rPr>
            </w:pPr>
          </w:p>
        </w:tc>
        <w:tc>
          <w:tcPr>
            <w:tcW w:w="572" w:type="dxa"/>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kern w:val="2"/>
                <w:sz w:val="20"/>
                <w:szCs w:val="20"/>
                <w:lang w:val="en-US" w:eastAsia="zh-CN" w:bidi="ar-SA"/>
              </w:rPr>
              <w:t>2</w:t>
            </w:r>
            <w:r>
              <w:rPr>
                <w:rFonts w:hint="eastAsia" w:eastAsia="宋体" w:cs="Times New Roman"/>
                <w:kern w:val="2"/>
                <w:sz w:val="20"/>
                <w:szCs w:val="20"/>
                <w:lang w:val="en-US" w:eastAsia="zh-CN" w:bidi="ar-SA"/>
              </w:rPr>
              <w:t>0</w:t>
            </w:r>
          </w:p>
        </w:tc>
        <w:tc>
          <w:tcPr>
            <w:tcW w:w="3352" w:type="dxa"/>
            <w:tcBorders>
              <w:top w:val="single" w:color="auto" w:sz="4" w:space="0"/>
              <w:left w:val="nil"/>
              <w:bottom w:val="single" w:color="auto" w:sz="4" w:space="0"/>
              <w:right w:val="single" w:color="000000" w:sz="4" w:space="0"/>
            </w:tcBorders>
            <w:noWrap w:val="0"/>
            <w:tcMar>
              <w:top w:w="17" w:type="dxa"/>
              <w:left w:w="57" w:type="dxa"/>
              <w:bottom w:w="0" w:type="dxa"/>
              <w:right w:w="57" w:type="dxa"/>
            </w:tcMar>
            <w:vAlign w:val="top"/>
          </w:tcPr>
          <w:p>
            <w:pPr>
              <w:keepNext w:val="0"/>
              <w:keepLines w:val="0"/>
              <w:pageBreakBefore w:val="0"/>
              <w:kinsoku/>
              <w:wordWrap/>
              <w:overflowPunct/>
              <w:topLinePunct w:val="0"/>
              <w:autoSpaceDN/>
              <w:bidi w:val="0"/>
              <w:adjustRightInd/>
              <w:snapToGrid/>
              <w:spacing w:line="240" w:lineRule="auto"/>
              <w:ind w:left="0" w:leftChars="0" w:firstLine="0" w:firstLineChars="0"/>
              <w:jc w:val="left"/>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kern w:val="2"/>
                <w:sz w:val="20"/>
                <w:szCs w:val="20"/>
                <w:lang w:val="en-US" w:eastAsia="zh-CN" w:bidi="ar-SA"/>
              </w:rPr>
              <w:t>农村居民教育文化娱乐消费支出占比</w:t>
            </w:r>
          </w:p>
        </w:tc>
        <w:tc>
          <w:tcPr>
            <w:tcW w:w="729" w:type="dxa"/>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kern w:val="2"/>
                <w:sz w:val="20"/>
                <w:szCs w:val="20"/>
                <w:lang w:val="en-US" w:eastAsia="zh-CN" w:bidi="ar-SA"/>
              </w:rPr>
              <w:t>%</w:t>
            </w:r>
          </w:p>
        </w:tc>
        <w:tc>
          <w:tcPr>
            <w:tcW w:w="925"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kern w:val="2"/>
                <w:sz w:val="20"/>
                <w:szCs w:val="20"/>
                <w:lang w:val="en-US" w:eastAsia="zh-CN" w:bidi="ar-SA"/>
              </w:rPr>
              <w:t>13.50</w:t>
            </w:r>
          </w:p>
        </w:tc>
        <w:tc>
          <w:tcPr>
            <w:tcW w:w="876"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kern w:val="2"/>
                <w:sz w:val="20"/>
                <w:szCs w:val="20"/>
                <w:lang w:val="en-US" w:eastAsia="zh-CN" w:bidi="ar-SA"/>
              </w:rPr>
              <w:t>13.60</w:t>
            </w:r>
          </w:p>
        </w:tc>
        <w:tc>
          <w:tcPr>
            <w:tcW w:w="876"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eastAsia" w:ascii="Times New Roman" w:hAnsi="Times New Roman" w:eastAsia="宋体" w:cs="Times New Roman"/>
                <w:kern w:val="2"/>
                <w:sz w:val="20"/>
                <w:szCs w:val="20"/>
                <w:lang w:val="en-US" w:eastAsia="zh-CN" w:bidi="ar-SA"/>
              </w:rPr>
              <w:t>15.50</w:t>
            </w:r>
          </w:p>
        </w:tc>
        <w:tc>
          <w:tcPr>
            <w:tcW w:w="934"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hint="default" w:ascii="Times New Roman" w:hAnsi="Times New Roman" w:eastAsia="宋体" w:cs="Times New Roman"/>
                <w:kern w:val="2"/>
                <w:sz w:val="20"/>
                <w:szCs w:val="20"/>
                <w:lang w:val="en-US" w:eastAsia="zh-CN" w:bidi="ar-SA"/>
              </w:rPr>
            </w:pPr>
            <w:r>
              <w:rPr>
                <w:rFonts w:hint="eastAsia" w:eastAsia="宋体" w:cs="Times New Roman"/>
                <w:sz w:val="20"/>
                <w:szCs w:val="20"/>
                <w:highlight w:val="none"/>
                <w:lang w:val="en-US" w:eastAsia="zh-CN"/>
              </w:rPr>
              <w:t>2.80</w:t>
            </w:r>
            <w:r>
              <w:rPr>
                <w:rFonts w:hint="default" w:ascii="Times New Roman" w:hAnsi="Times New Roman" w:eastAsia="宋体" w:cs="Times New Roman"/>
                <w:sz w:val="20"/>
                <w:szCs w:val="20"/>
                <w:highlight w:val="none"/>
                <w:lang w:val="en-US" w:eastAsia="zh-CN"/>
              </w:rPr>
              <w:t>%</w:t>
            </w:r>
          </w:p>
        </w:tc>
        <w:tc>
          <w:tcPr>
            <w:tcW w:w="707" w:type="dxa"/>
            <w:tcBorders>
              <w:top w:val="single" w:color="auto" w:sz="4" w:space="0"/>
              <w:left w:val="nil"/>
              <w:bottom w:val="single" w:color="auto" w:sz="4" w:space="0"/>
              <w:right w:val="single" w:color="000000" w:sz="4" w:space="0"/>
            </w:tcBorders>
            <w:noWrap/>
            <w:tcMar>
              <w:top w:w="15" w:type="dxa"/>
              <w:left w:w="15" w:type="dxa"/>
              <w:bottom w:w="0" w:type="dxa"/>
              <w:right w:w="15" w:type="dxa"/>
            </w:tcMar>
            <w:vAlign w:val="top"/>
          </w:tcPr>
          <w:p>
            <w:pPr>
              <w:keepNext w:val="0"/>
              <w:keepLines w:val="0"/>
              <w:pageBreakBefore w:val="0"/>
              <w:kinsoku/>
              <w:wordWrap/>
              <w:overflowPunct/>
              <w:topLinePunct w:val="0"/>
              <w:autoSpaceDN/>
              <w:bidi w:val="0"/>
              <w:adjustRightInd/>
              <w:snapToGrid/>
              <w:spacing w:line="240" w:lineRule="auto"/>
              <w:ind w:firstLine="0" w:firstLineChars="0"/>
              <w:jc w:val="center"/>
              <w:rPr>
                <w:rFonts w:ascii="Times New Roman" w:hAnsi="Times New Roman" w:eastAsia="宋体" w:cs="Times New Roman"/>
                <w:kern w:val="2"/>
                <w:sz w:val="20"/>
                <w:szCs w:val="20"/>
                <w:lang w:val="en-US" w:eastAsia="zh-CN" w:bidi="ar-SA"/>
              </w:rPr>
            </w:pPr>
            <w:r>
              <w:rPr>
                <w:rFonts w:eastAsia="宋体"/>
                <w:sz w:val="20"/>
                <w:szCs w:val="20"/>
              </w:rPr>
              <w:t>预期性</w:t>
            </w:r>
          </w:p>
        </w:tc>
      </w:tr>
    </w:tbl>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注：</w:t>
      </w:r>
      <w:r>
        <w:rPr>
          <w:rFonts w:hint="default" w:ascii="Times New Roman" w:hAnsi="Times New Roman" w:eastAsia="宋体" w:cs="Times New Roman"/>
          <w:sz w:val="18"/>
          <w:szCs w:val="18"/>
          <w:highlight w:val="none"/>
          <w:lang w:val="en-US" w:eastAsia="zh-CN"/>
        </w:rPr>
        <w:t>1.</w:t>
      </w:r>
      <w:r>
        <w:rPr>
          <w:rFonts w:hint="eastAsia" w:ascii="宋体" w:hAnsi="宋体" w:eastAsia="宋体" w:cs="宋体"/>
          <w:sz w:val="18"/>
          <w:szCs w:val="18"/>
          <w:highlight w:val="none"/>
          <w:lang w:val="en-US" w:eastAsia="zh-CN"/>
        </w:rPr>
        <w:t>带[ ] 为累计数</w:t>
      </w:r>
    </w:p>
    <w:p>
      <w:pPr>
        <w:pStyle w:val="2"/>
        <w:keepNext w:val="0"/>
        <w:keepLines w:val="0"/>
        <w:pageBreakBefore w:val="0"/>
        <w:widowControl w:val="0"/>
        <w:kinsoku/>
        <w:wordWrap/>
        <w:overflowPunct/>
        <w:topLinePunct w:val="0"/>
        <w:autoSpaceDE/>
        <w:autoSpaceDN/>
        <w:bidi w:val="0"/>
        <w:adjustRightInd/>
        <w:snapToGrid/>
        <w:spacing w:after="0" w:line="300" w:lineRule="exact"/>
        <w:ind w:left="179" w:leftChars="56" w:firstLine="180" w:firstLineChars="100"/>
        <w:textAlignment w:val="auto"/>
        <w:rPr>
          <w:rFonts w:hint="eastAsia" w:ascii="宋体" w:hAnsi="宋体" w:eastAsia="宋体" w:cs="宋体"/>
          <w:sz w:val="18"/>
          <w:szCs w:val="18"/>
          <w:highlight w:val="none"/>
          <w:lang w:val="en-US" w:eastAsia="zh-CN"/>
        </w:rPr>
      </w:pPr>
      <w:r>
        <w:rPr>
          <w:rFonts w:hint="default" w:ascii="Times New Roman" w:hAnsi="Times New Roman" w:eastAsia="宋体" w:cs="Times New Roman"/>
          <w:sz w:val="18"/>
          <w:szCs w:val="18"/>
          <w:highlight w:val="none"/>
          <w:lang w:val="en-US" w:eastAsia="zh-CN"/>
        </w:rPr>
        <w:t>2.</w:t>
      </w:r>
      <w:r>
        <w:rPr>
          <w:rFonts w:hint="eastAsia" w:ascii="宋体" w:hAnsi="宋体" w:eastAsia="宋体" w:cs="宋体"/>
          <w:sz w:val="18"/>
          <w:szCs w:val="18"/>
          <w:highlight w:val="none"/>
          <w:lang w:val="en-US" w:eastAsia="zh-CN"/>
        </w:rPr>
        <w:t>上表中指标设定主要依据潜江市农业农村发展实际，参照国家部委涉农文件、湖北省乡村振兴规划、</w:t>
      </w:r>
    </w:p>
    <w:p>
      <w:pPr>
        <w:pStyle w:val="2"/>
        <w:keepNext w:val="0"/>
        <w:keepLines w:val="0"/>
        <w:pageBreakBefore w:val="0"/>
        <w:widowControl w:val="0"/>
        <w:kinsoku/>
        <w:wordWrap/>
        <w:overflowPunct/>
        <w:topLinePunct w:val="0"/>
        <w:autoSpaceDE/>
        <w:autoSpaceDN/>
        <w:bidi w:val="0"/>
        <w:adjustRightInd/>
        <w:snapToGrid/>
        <w:spacing w:after="0" w:line="300" w:lineRule="exact"/>
        <w:ind w:left="179" w:leftChars="56" w:firstLine="360" w:firstLineChars="20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推进湖北省农业农村现代化“十四五”规划以及潜江市国民经济和社会发展“十四五”规划纲要。</w:t>
      </w:r>
      <w:bookmarkStart w:id="87" w:name="_Toc2268"/>
      <w:bookmarkStart w:id="88" w:name="_Toc21772"/>
    </w:p>
    <w:p>
      <w:pPr>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before="0" w:after="220" w:afterLines="50"/>
        <w:ind w:left="0" w:leftChars="0" w:firstLine="0" w:firstLineChars="0"/>
        <w:jc w:val="center"/>
        <w:textAlignment w:val="auto"/>
        <w:rPr>
          <w:rFonts w:hint="eastAsia" w:ascii="楷体" w:hAnsi="楷体" w:eastAsia="楷体" w:cs="楷体"/>
          <w:b/>
          <w:bCs/>
          <w:smallCaps w:val="0"/>
          <w:sz w:val="32"/>
          <w:szCs w:val="32"/>
          <w:highlight w:val="none"/>
          <w:lang w:val="en-US" w:eastAsia="zh-CN"/>
        </w:rPr>
      </w:pPr>
      <w:bookmarkStart w:id="89" w:name="_Toc10260"/>
      <w:r>
        <w:rPr>
          <w:rFonts w:hint="eastAsia" w:cs="Times New Roman"/>
          <w:highlight w:val="none"/>
          <w:lang w:val="en-US" w:eastAsia="zh-CN"/>
        </w:rPr>
        <w:t>第三章 巩固拓展脱贫攻坚成果，加快与乡村振兴有效衔接</w:t>
      </w:r>
      <w:bookmarkEnd w:id="89"/>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560" w:lineRule="exact"/>
        <w:ind w:leftChars="0" w:firstLine="640" w:firstLineChars="200"/>
        <w:jc w:val="left"/>
        <w:textAlignment w:val="auto"/>
        <w:outlineLvl w:val="9"/>
        <w:rPr>
          <w:rFonts w:hint="eastAsia" w:ascii="Times New Roman" w:hAnsi="Times New Roman" w:eastAsia="仿宋_GB2312" w:cs="Times New Roman"/>
          <w:b w:val="0"/>
          <w:smallCaps w:val="0"/>
          <w:kern w:val="2"/>
          <w:sz w:val="32"/>
          <w:szCs w:val="24"/>
          <w:highlight w:val="none"/>
          <w:lang w:val="en-US" w:eastAsia="zh-CN" w:bidi="ar-SA"/>
        </w:rPr>
      </w:pPr>
      <w:r>
        <w:rPr>
          <w:rFonts w:hint="eastAsia" w:ascii="Times New Roman" w:hAnsi="Times New Roman" w:eastAsia="仿宋_GB2312" w:cs="Times New Roman"/>
          <w:b w:val="0"/>
          <w:smallCaps w:val="0"/>
          <w:kern w:val="2"/>
          <w:sz w:val="32"/>
          <w:szCs w:val="24"/>
          <w:highlight w:val="none"/>
          <w:lang w:val="en-US" w:eastAsia="zh-CN" w:bidi="ar-SA"/>
        </w:rPr>
        <w:t>建立农村低收入人口帮扶机制，保持财政投入力度总体稳定。健全农村社会保障和救助制度。健全完善脱贫不稳定户和边缘易致贫户返贫致贫监测帮扶机制，持续抓好产业扶贫</w:t>
      </w:r>
      <w:r>
        <w:rPr>
          <w:rFonts w:hint="eastAsia" w:ascii="Times New Roman" w:hAnsi="Times New Roman" w:cs="Times New Roman"/>
          <w:b w:val="0"/>
          <w:smallCaps w:val="0"/>
          <w:kern w:val="2"/>
          <w:sz w:val="32"/>
          <w:szCs w:val="24"/>
          <w:highlight w:val="none"/>
          <w:lang w:val="en-US" w:eastAsia="zh-CN" w:bidi="ar-SA"/>
        </w:rPr>
        <w:t>和</w:t>
      </w:r>
      <w:r>
        <w:rPr>
          <w:rFonts w:hint="eastAsia" w:ascii="Times New Roman" w:hAnsi="Times New Roman" w:eastAsia="仿宋_GB2312" w:cs="Times New Roman"/>
          <w:b w:val="0"/>
          <w:smallCaps w:val="0"/>
          <w:kern w:val="2"/>
          <w:sz w:val="32"/>
          <w:szCs w:val="24"/>
          <w:highlight w:val="none"/>
          <w:lang w:val="en-US" w:eastAsia="zh-CN" w:bidi="ar-SA"/>
        </w:rPr>
        <w:t>就业扶贫等后续帮扶。运用脱贫攻坚成功经验推动乡村振兴，稳步推进</w:t>
      </w:r>
      <w:r>
        <w:rPr>
          <w:rFonts w:hint="eastAsia" w:ascii="Times New Roman" w:hAnsi="Times New Roman" w:cs="Times New Roman"/>
          <w:b w:val="0"/>
          <w:smallCaps w:val="0"/>
          <w:kern w:val="2"/>
          <w:sz w:val="32"/>
          <w:szCs w:val="24"/>
          <w:highlight w:val="none"/>
          <w:lang w:val="en-US" w:eastAsia="zh-CN" w:bidi="ar-SA"/>
        </w:rPr>
        <w:t>全市</w:t>
      </w:r>
      <w:r>
        <w:rPr>
          <w:rFonts w:hint="eastAsia" w:ascii="Times New Roman" w:hAnsi="Times New Roman" w:eastAsia="仿宋_GB2312" w:cs="Times New Roman"/>
          <w:b w:val="0"/>
          <w:smallCaps w:val="0"/>
          <w:kern w:val="2"/>
          <w:sz w:val="32"/>
          <w:szCs w:val="24"/>
          <w:highlight w:val="none"/>
          <w:lang w:val="en-US" w:eastAsia="zh-CN" w:bidi="ar-SA"/>
        </w:rPr>
        <w:t>脱贫攻坚与乡村振兴在规划、政策、产业、组织和人才等方面</w:t>
      </w:r>
      <w:r>
        <w:rPr>
          <w:rFonts w:hint="eastAsia" w:ascii="Times New Roman" w:hAnsi="Times New Roman" w:cs="Times New Roman"/>
          <w:b w:val="0"/>
          <w:smallCaps w:val="0"/>
          <w:kern w:val="2"/>
          <w:sz w:val="32"/>
          <w:szCs w:val="24"/>
          <w:highlight w:val="none"/>
          <w:lang w:val="en-US" w:eastAsia="zh-CN" w:bidi="ar-SA"/>
        </w:rPr>
        <w:t>的</w:t>
      </w:r>
      <w:r>
        <w:rPr>
          <w:rFonts w:hint="eastAsia" w:ascii="Times New Roman" w:hAnsi="Times New Roman" w:eastAsia="仿宋_GB2312" w:cs="Times New Roman"/>
          <w:b w:val="0"/>
          <w:smallCaps w:val="0"/>
          <w:kern w:val="2"/>
          <w:sz w:val="32"/>
          <w:szCs w:val="24"/>
          <w:highlight w:val="none"/>
          <w:lang w:val="en-US" w:eastAsia="zh-CN" w:bidi="ar-SA"/>
        </w:rPr>
        <w:t>有效衔接。</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jc w:val="center"/>
        <w:textAlignment w:val="auto"/>
        <w:outlineLvl w:val="1"/>
        <w:rPr>
          <w:rFonts w:hint="eastAsia" w:ascii="楷体" w:hAnsi="楷体" w:eastAsia="楷体" w:cs="楷体"/>
          <w:b/>
          <w:bCs/>
          <w:smallCaps w:val="0"/>
          <w:sz w:val="32"/>
          <w:szCs w:val="32"/>
          <w:highlight w:val="none"/>
          <w:lang w:val="en-US" w:eastAsia="zh-CN"/>
        </w:rPr>
      </w:pPr>
      <w:bookmarkStart w:id="90" w:name="_Toc15342"/>
      <w:bookmarkStart w:id="91" w:name="_Toc27872"/>
      <w:bookmarkStart w:id="92" w:name="_Toc26249"/>
      <w:r>
        <w:rPr>
          <w:rFonts w:hint="eastAsia" w:ascii="楷体" w:hAnsi="楷体" w:eastAsia="楷体" w:cs="楷体"/>
          <w:b/>
          <w:bCs/>
          <w:smallCaps w:val="0"/>
          <w:sz w:val="32"/>
          <w:szCs w:val="32"/>
          <w:highlight w:val="none"/>
          <w:lang w:val="en-US" w:eastAsia="zh-CN"/>
        </w:rPr>
        <w:t xml:space="preserve">第一节 </w:t>
      </w:r>
      <w:bookmarkEnd w:id="90"/>
      <w:bookmarkEnd w:id="91"/>
      <w:r>
        <w:rPr>
          <w:rFonts w:hint="eastAsia" w:ascii="楷体" w:hAnsi="楷体" w:eastAsia="楷体" w:cs="楷体"/>
          <w:b/>
          <w:bCs/>
          <w:smallCaps w:val="0"/>
          <w:sz w:val="32"/>
          <w:szCs w:val="32"/>
          <w:highlight w:val="none"/>
          <w:lang w:val="en-US" w:eastAsia="zh-CN"/>
        </w:rPr>
        <w:t>健全防止返贫动态监测和帮扶机制</w:t>
      </w:r>
      <w:bookmarkEnd w:id="92"/>
    </w:p>
    <w:p>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eastAsia="仿宋_GB2312"/>
          <w:lang w:eastAsia="zh-CN"/>
        </w:rPr>
      </w:pPr>
      <w:r>
        <w:rPr>
          <w:rFonts w:hint="eastAsia" w:ascii="Times New Roman" w:hAnsi="Times New Roman" w:cs="Times New Roman"/>
          <w:highlight w:val="none"/>
        </w:rPr>
        <w:t>对脱贫不稳定户、边缘易致贫户，以及因病因灾因意外事故等刚性支出较大或收入大幅缩减</w:t>
      </w:r>
      <w:r>
        <w:rPr>
          <w:rFonts w:hint="eastAsia" w:cs="Times New Roman"/>
          <w:highlight w:val="none"/>
          <w:lang w:eastAsia="zh-CN"/>
        </w:rPr>
        <w:t>，</w:t>
      </w:r>
      <w:r>
        <w:rPr>
          <w:rFonts w:hint="eastAsia" w:ascii="Times New Roman" w:hAnsi="Times New Roman" w:cs="Times New Roman"/>
          <w:highlight w:val="none"/>
        </w:rPr>
        <w:t>导致基本生活出现严重困难户</w:t>
      </w:r>
      <w:r>
        <w:rPr>
          <w:rFonts w:hint="eastAsia" w:cs="Times New Roman"/>
          <w:highlight w:val="none"/>
          <w:lang w:eastAsia="zh-CN"/>
        </w:rPr>
        <w:t>，</w:t>
      </w:r>
      <w:r>
        <w:rPr>
          <w:rFonts w:hint="eastAsia" w:ascii="Times New Roman" w:hAnsi="Times New Roman" w:cs="Times New Roman"/>
          <w:highlight w:val="none"/>
        </w:rPr>
        <w:t>实行分层分类帮扶。对有劳动能力的农村低收入人口，坚持开发式帮扶，开展脱贫人口特色种养培训和职业技能培训，帮助其提高内生发展能力实现稳定就业。健全农村社会保障和救助制度，对丧失劳动能力且无法通过产业就业获得稳定收入的特困对象，按规定纳入农村低保或特困人员救助供养范围，及时给予救助。持续开展“政府+保险”防贫模式，遵循规范稳妥的原则，坚持“农户自愿、政府补贴、社会资助、市场调节”的思路，织牢防贫保障安全网。消除致贫返贫风险点，守住不发生规模性返贫底线</w:t>
      </w:r>
      <w:r>
        <w:rPr>
          <w:rFonts w:hint="eastAsia" w:cs="Times New Roman"/>
          <w:highlight w:val="none"/>
          <w:lang w:eastAsia="zh-CN"/>
        </w:rPr>
        <w:t>。</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ind w:leftChars="0"/>
        <w:jc w:val="center"/>
        <w:textAlignment w:val="auto"/>
        <w:outlineLvl w:val="1"/>
        <w:rPr>
          <w:rFonts w:hint="default"/>
          <w:lang w:val="en-US"/>
        </w:rPr>
      </w:pPr>
      <w:bookmarkStart w:id="93" w:name="_Toc5590"/>
      <w:bookmarkStart w:id="94" w:name="_Toc4877"/>
      <w:bookmarkStart w:id="95" w:name="_Toc31453"/>
      <w:r>
        <w:rPr>
          <w:rFonts w:hint="eastAsia" w:ascii="楷体" w:hAnsi="楷体" w:eastAsia="楷体" w:cs="楷体"/>
          <w:b/>
          <w:bCs/>
          <w:smallCaps w:val="0"/>
          <w:sz w:val="32"/>
          <w:szCs w:val="32"/>
          <w:lang w:val="en-US" w:eastAsia="zh-CN"/>
        </w:rPr>
        <w:t>第二节 接续推进乡村全面振兴</w:t>
      </w:r>
      <w:bookmarkEnd w:id="93"/>
      <w:bookmarkEnd w:id="94"/>
    </w:p>
    <w:p>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楷体" w:hAnsi="楷体" w:eastAsia="楷体" w:cs="楷体"/>
          <w:b/>
          <w:bCs/>
          <w:smallCaps w:val="0"/>
          <w:sz w:val="32"/>
          <w:szCs w:val="32"/>
          <w:lang w:val="en-US" w:eastAsia="zh-CN"/>
        </w:rPr>
      </w:pPr>
      <w:r>
        <w:rPr>
          <w:rFonts w:hint="eastAsia" w:ascii="Times New Roman" w:hAnsi="Times New Roman" w:eastAsia="仿宋_GB2312" w:cs="Times New Roman"/>
          <w:b w:val="0"/>
          <w:smallCaps w:val="0"/>
          <w:kern w:val="2"/>
          <w:sz w:val="32"/>
          <w:szCs w:val="24"/>
          <w:highlight w:val="none"/>
          <w:lang w:val="en-US" w:eastAsia="zh-CN" w:bidi="ar-SA"/>
        </w:rPr>
        <w:t>实施特色产业发展提升行动，进一步优化“南红北绿”产业格局，做大做强潜江</w:t>
      </w:r>
      <w:r>
        <w:rPr>
          <w:rFonts w:hint="eastAsia" w:cs="Times New Roman"/>
          <w:b w:val="0"/>
          <w:smallCaps w:val="0"/>
          <w:kern w:val="2"/>
          <w:sz w:val="32"/>
          <w:szCs w:val="24"/>
          <w:highlight w:val="none"/>
          <w:lang w:val="en-US" w:eastAsia="zh-CN" w:bidi="ar-SA"/>
        </w:rPr>
        <w:t>龙虾</w:t>
      </w:r>
      <w:r>
        <w:rPr>
          <w:rFonts w:hint="eastAsia" w:ascii="Times New Roman" w:hAnsi="Times New Roman" w:eastAsia="仿宋_GB2312" w:cs="Times New Roman"/>
          <w:b w:val="0"/>
          <w:smallCaps w:val="0"/>
          <w:kern w:val="2"/>
          <w:sz w:val="32"/>
          <w:szCs w:val="24"/>
          <w:highlight w:val="none"/>
          <w:lang w:val="en-US" w:eastAsia="zh-CN" w:bidi="ar-SA"/>
        </w:rPr>
        <w:t>、</w:t>
      </w:r>
      <w:r>
        <w:rPr>
          <w:rFonts w:hint="eastAsia" w:cs="Times New Roman"/>
          <w:b w:val="0"/>
          <w:smallCaps w:val="0"/>
          <w:kern w:val="2"/>
          <w:sz w:val="32"/>
          <w:szCs w:val="24"/>
          <w:highlight w:val="none"/>
          <w:lang w:val="en-US" w:eastAsia="zh-CN" w:bidi="ar-SA"/>
        </w:rPr>
        <w:t>潜江虾稻、</w:t>
      </w:r>
      <w:r>
        <w:rPr>
          <w:rFonts w:hint="eastAsia" w:ascii="Times New Roman" w:hAnsi="Times New Roman" w:eastAsia="仿宋_GB2312" w:cs="Times New Roman"/>
          <w:b w:val="0"/>
          <w:smallCaps w:val="0"/>
          <w:kern w:val="2"/>
          <w:sz w:val="32"/>
          <w:szCs w:val="24"/>
          <w:highlight w:val="none"/>
          <w:lang w:val="en-US" w:eastAsia="zh-CN" w:bidi="ar-SA"/>
        </w:rPr>
        <w:t>潜江半夏</w:t>
      </w:r>
      <w:r>
        <w:rPr>
          <w:rFonts w:hint="eastAsia" w:cs="Times New Roman"/>
          <w:b w:val="0"/>
          <w:smallCaps w:val="0"/>
          <w:kern w:val="2"/>
          <w:sz w:val="32"/>
          <w:szCs w:val="24"/>
          <w:highlight w:val="none"/>
          <w:lang w:val="en-US" w:eastAsia="zh-CN" w:bidi="ar-SA"/>
        </w:rPr>
        <w:t>和</w:t>
      </w:r>
      <w:r>
        <w:rPr>
          <w:rFonts w:hint="eastAsia" w:ascii="Times New Roman" w:hAnsi="Times New Roman" w:eastAsia="仿宋_GB2312" w:cs="Times New Roman"/>
          <w:b w:val="0"/>
          <w:smallCaps w:val="0"/>
          <w:kern w:val="2"/>
          <w:sz w:val="32"/>
          <w:szCs w:val="24"/>
          <w:highlight w:val="none"/>
          <w:lang w:val="en-US" w:eastAsia="zh-CN" w:bidi="ar-SA"/>
        </w:rPr>
        <w:t>潜江大豆</w:t>
      </w:r>
      <w:r>
        <w:rPr>
          <w:rFonts w:hint="eastAsia" w:cs="Times New Roman"/>
          <w:b w:val="0"/>
          <w:smallCaps w:val="0"/>
          <w:kern w:val="2"/>
          <w:sz w:val="32"/>
          <w:szCs w:val="24"/>
          <w:highlight w:val="none"/>
          <w:lang w:val="en-US" w:eastAsia="zh-CN" w:bidi="ar-SA"/>
        </w:rPr>
        <w:t>等主导</w:t>
      </w:r>
      <w:r>
        <w:rPr>
          <w:rFonts w:hint="eastAsia" w:ascii="Times New Roman" w:hAnsi="Times New Roman" w:eastAsia="仿宋_GB2312" w:cs="Times New Roman"/>
          <w:b w:val="0"/>
          <w:smallCaps w:val="0"/>
          <w:kern w:val="2"/>
          <w:sz w:val="32"/>
          <w:szCs w:val="24"/>
          <w:highlight w:val="none"/>
          <w:lang w:val="en-US" w:eastAsia="zh-CN" w:bidi="ar-SA"/>
        </w:rPr>
        <w:t>产业，聚力打造特色产业集群，推动西片特色产业聚集区高质量发展。实施消费帮扶提升行动，强化产销对接，拓展农产品销售渠道。实施农村人口就业提升行动，持续做好有组织劳务输出工作，统筹用好乡村公益性岗位，对符合条件的就业困难人员开展就业援助，在农业农村基础设施建设领域推广以工代赈方式，吸引更多脱贫人口和低收入人口就地就近就业。实施乡村建设行动，把农村地区作为补短板、稳投资、扩内需的重点，推进农村公共基础设施建设往村覆盖、向户延伸。持续开展驻村帮扶行动，工作重心转向巩固拓展脱贫攻坚成果和乡村振兴，围绕建强村党组织、推进强村富民、提升治理水平、为民办事服务等开展帮扶。持续向脱贫村、党组织软弱涣散村、能够率先实现振兴的重点村选派第一书记和工作队。</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ind w:leftChars="0"/>
        <w:jc w:val="center"/>
        <w:textAlignment w:val="auto"/>
        <w:outlineLvl w:val="1"/>
        <w:rPr>
          <w:rFonts w:hint="default" w:ascii="楷体" w:hAnsi="楷体" w:eastAsia="楷体" w:cs="楷体"/>
          <w:b/>
          <w:bCs/>
          <w:smallCaps w:val="0"/>
          <w:sz w:val="32"/>
          <w:szCs w:val="32"/>
          <w:highlight w:val="none"/>
          <w:lang w:val="en-US" w:eastAsia="zh-CN"/>
        </w:rPr>
      </w:pPr>
      <w:bookmarkStart w:id="96" w:name="_Toc28743"/>
      <w:r>
        <w:rPr>
          <w:rFonts w:hint="eastAsia" w:ascii="楷体" w:hAnsi="楷体" w:eastAsia="楷体" w:cs="楷体"/>
          <w:b/>
          <w:bCs/>
          <w:smallCaps w:val="0"/>
          <w:sz w:val="32"/>
          <w:szCs w:val="32"/>
          <w:highlight w:val="none"/>
          <w:lang w:val="en-US" w:eastAsia="zh-CN"/>
        </w:rPr>
        <w:t xml:space="preserve">第三节 </w:t>
      </w:r>
      <w:bookmarkEnd w:id="95"/>
      <w:r>
        <w:rPr>
          <w:rFonts w:hint="eastAsia" w:ascii="楷体" w:hAnsi="楷体" w:eastAsia="楷体" w:cs="楷体"/>
          <w:b/>
          <w:bCs/>
          <w:smallCaps w:val="0"/>
          <w:sz w:val="32"/>
          <w:szCs w:val="32"/>
          <w:highlight w:val="none"/>
          <w:lang w:val="en-US" w:eastAsia="zh-CN"/>
        </w:rPr>
        <w:t>强化党对乡村振兴工作的领导</w:t>
      </w:r>
      <w:bookmarkEnd w:id="96"/>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楷体" w:hAnsi="楷体" w:eastAsia="楷体" w:cs="楷体"/>
          <w:b/>
          <w:bCs/>
          <w:smallCaps w:val="0"/>
          <w:sz w:val="32"/>
          <w:szCs w:val="32"/>
          <w:lang w:val="en-US" w:eastAsia="zh-CN"/>
        </w:rPr>
      </w:pPr>
      <w:r>
        <w:rPr>
          <w:rFonts w:hint="eastAsia" w:ascii="Times New Roman" w:hAnsi="Times New Roman" w:eastAsia="仿宋_GB2312" w:cs="Times New Roman"/>
          <w:b w:val="0"/>
          <w:smallCaps w:val="0"/>
          <w:kern w:val="2"/>
          <w:sz w:val="32"/>
          <w:szCs w:val="24"/>
          <w:highlight w:val="none"/>
          <w:lang w:val="en-US" w:eastAsia="zh-CN" w:bidi="ar-SA"/>
        </w:rPr>
        <w:t>坚持中央统筹、省负总责、市县乡抓落实的工作机制和党政一把手负总责的工作责任制，实行“三级书记”抓巩固拓展脱贫攻坚成果和乡村振兴。充分发挥各级党委农村工作（实施乡村振兴战略）领导小组作用，构建责任明晰、各负其责、执行有力的乡村振兴领导体制。做好巩固拓展脱贫攻坚成果同全面推进乡村振兴工作力量、组织保障、制度建设、规划实施、项目建设、要素保障等方面的有机结合。统筹推进各级乡村振兴工作机构设置，平稳有序调整优化机构职能，将工作重心转到巩固拓展脱贫攻坚成果和乡村振兴上来。</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ind w:leftChars="0"/>
        <w:jc w:val="center"/>
        <w:textAlignment w:val="auto"/>
        <w:outlineLvl w:val="1"/>
        <w:rPr>
          <w:rFonts w:hint="default"/>
          <w:highlight w:val="none"/>
          <w:lang w:val="en-US"/>
        </w:rPr>
      </w:pPr>
      <w:bookmarkStart w:id="97" w:name="_Toc8442"/>
      <w:r>
        <w:rPr>
          <w:rFonts w:hint="eastAsia" w:ascii="楷体" w:hAnsi="楷体" w:eastAsia="楷体" w:cs="楷体"/>
          <w:b/>
          <w:bCs/>
          <w:smallCaps w:val="0"/>
          <w:sz w:val="32"/>
          <w:szCs w:val="32"/>
          <w:highlight w:val="none"/>
          <w:lang w:val="en-US" w:eastAsia="zh-CN"/>
        </w:rPr>
        <w:t>第四节 加快城乡融合发展步伐</w:t>
      </w:r>
      <w:bookmarkEnd w:id="97"/>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楷体" w:hAnsi="楷体" w:eastAsia="楷体" w:cs="楷体"/>
          <w:sz w:val="32"/>
          <w:highlight w:val="none"/>
          <w:lang w:val="en-US" w:eastAsia="zh-CN"/>
        </w:rPr>
      </w:pPr>
      <w:r>
        <w:rPr>
          <w:rFonts w:hint="eastAsia" w:ascii="楷体" w:hAnsi="楷体" w:eastAsia="楷体" w:cs="楷体"/>
          <w:sz w:val="32"/>
          <w:highlight w:val="none"/>
          <w:lang w:val="en-US" w:eastAsia="zh-CN"/>
        </w:rPr>
        <w:t>一、推进城乡人力要素双向流动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Times New Roman"/>
          <w:b w:val="0"/>
          <w:smallCaps w:val="0"/>
          <w:kern w:val="2"/>
          <w:sz w:val="32"/>
          <w:szCs w:val="24"/>
          <w:highlight w:val="none"/>
          <w:lang w:val="en-US" w:eastAsia="zh-CN" w:bidi="ar-SA"/>
        </w:rPr>
      </w:pPr>
      <w:r>
        <w:rPr>
          <w:rFonts w:hint="eastAsia" w:ascii="Times New Roman" w:hAnsi="Times New Roman" w:eastAsia="仿宋_GB2312" w:cs="Times New Roman"/>
          <w:b w:val="0"/>
          <w:smallCaps w:val="0"/>
          <w:kern w:val="2"/>
          <w:sz w:val="32"/>
          <w:szCs w:val="24"/>
          <w:highlight w:val="none"/>
          <w:lang w:val="en-US" w:eastAsia="zh-CN" w:bidi="ar-SA"/>
        </w:rPr>
        <w:t>加快农业转移人口落户城镇。完善财政转移支付和城镇新增建设用地规模与农业转移人口市民化挂钩政策。全面取消城市落户限制，确保外地与本地农业转移人口进城落户标准一视同仁。依法保护进城落户农民农村土地承包权、宅基地使用权</w:t>
      </w:r>
      <w:r>
        <w:rPr>
          <w:rFonts w:hint="eastAsia" w:cs="Times New Roman"/>
          <w:b w:val="0"/>
          <w:smallCaps w:val="0"/>
          <w:kern w:val="2"/>
          <w:sz w:val="32"/>
          <w:szCs w:val="24"/>
          <w:highlight w:val="none"/>
          <w:lang w:val="en-US" w:eastAsia="zh-CN" w:bidi="ar-SA"/>
        </w:rPr>
        <w:t>和</w:t>
      </w:r>
      <w:r>
        <w:rPr>
          <w:rFonts w:hint="eastAsia" w:ascii="Times New Roman" w:hAnsi="Times New Roman" w:eastAsia="仿宋_GB2312" w:cs="Times New Roman"/>
          <w:b w:val="0"/>
          <w:smallCaps w:val="0"/>
          <w:kern w:val="2"/>
          <w:sz w:val="32"/>
          <w:szCs w:val="24"/>
          <w:highlight w:val="none"/>
          <w:lang w:val="en-US" w:eastAsia="zh-CN" w:bidi="ar-SA"/>
        </w:rPr>
        <w:t>集体收益分配权，建立健全进城落户农民自愿有偿退出土地承包权、宅基地使用权</w:t>
      </w:r>
      <w:r>
        <w:rPr>
          <w:rFonts w:hint="eastAsia" w:cs="Times New Roman"/>
          <w:b w:val="0"/>
          <w:smallCaps w:val="0"/>
          <w:kern w:val="2"/>
          <w:sz w:val="32"/>
          <w:szCs w:val="24"/>
          <w:highlight w:val="none"/>
          <w:lang w:val="en-US" w:eastAsia="zh-CN" w:bidi="ar-SA"/>
        </w:rPr>
        <w:t>和</w:t>
      </w:r>
      <w:r>
        <w:rPr>
          <w:rFonts w:hint="eastAsia" w:ascii="Times New Roman" w:hAnsi="Times New Roman" w:eastAsia="仿宋_GB2312" w:cs="Times New Roman"/>
          <w:b w:val="0"/>
          <w:smallCaps w:val="0"/>
          <w:kern w:val="2"/>
          <w:sz w:val="32"/>
          <w:szCs w:val="24"/>
          <w:highlight w:val="none"/>
          <w:lang w:val="en-US" w:eastAsia="zh-CN" w:bidi="ar-SA"/>
        </w:rPr>
        <w:t>集体收益分配权的具体办法。全面落实国家、省、市支持农业转移人口市民化的财政政策，强化政府的主体责任。引导周边农村人口向城镇和油田区域集聚，提升西城区现有基础设施利用效率。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cs="Times New Roman"/>
          <w:highlight w:val="yellow"/>
        </w:rPr>
      </w:pPr>
      <w:r>
        <w:rPr>
          <w:rFonts w:hint="eastAsia" w:cs="Times New Roman"/>
          <w:b w:val="0"/>
          <w:smallCaps w:val="0"/>
          <w:kern w:val="2"/>
          <w:sz w:val="32"/>
          <w:szCs w:val="24"/>
          <w:highlight w:val="none"/>
          <w:lang w:val="en-US" w:eastAsia="zh-CN" w:bidi="ar-SA"/>
        </w:rPr>
        <w:t>制定财政、金融和社会保障等激励政策，实施市民下乡、能人回乡、企业兴乡，吸引各类人才返乡入乡创业。鼓励潜江籍普通高校和职业院校毕业生、外出农民工及经商人员回乡创业兴业。推进大学生村官与选调生工作衔接，鼓励引导高校毕业生到村任职、扎根基层、发挥作用。建立城乡人才合作交流机制，探索通过岗编适度分离等多种方式，推进城市教科文卫体等工作人员定期服务乡村。</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楷体" w:hAnsi="楷体" w:eastAsia="楷体" w:cs="楷体"/>
          <w:sz w:val="32"/>
          <w:highlight w:val="none"/>
          <w:lang w:val="en-US" w:eastAsia="zh-CN"/>
        </w:rPr>
      </w:pPr>
      <w:r>
        <w:rPr>
          <w:rFonts w:hint="eastAsia" w:ascii="楷体" w:hAnsi="楷体" w:eastAsia="楷体" w:cs="楷体"/>
          <w:sz w:val="32"/>
          <w:highlight w:val="none"/>
          <w:lang w:val="en-US" w:eastAsia="zh-CN"/>
        </w:rPr>
        <w:t>二、强化农业农村发展用地保障</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cs="Times New Roman"/>
          <w:kern w:val="2"/>
          <w:sz w:val="32"/>
          <w:szCs w:val="24"/>
          <w:lang w:val="en-US" w:eastAsia="zh-CN" w:bidi="ar"/>
        </w:rPr>
      </w:pPr>
      <w:r>
        <w:rPr>
          <w:rFonts w:hint="eastAsia" w:cs="Times New Roman"/>
          <w:kern w:val="2"/>
          <w:sz w:val="32"/>
          <w:szCs w:val="24"/>
          <w:lang w:val="en-US" w:eastAsia="zh-CN" w:bidi="ar"/>
        </w:rPr>
        <w:t>聚焦耕地碎片化、空间布局无序化、资源利用低效化、生态质量退化等问题，以农业、生态、城镇和产业四大空间集中集聚发展为路径，以城乡融合发展为总体目标，充分利用土地整治和城乡建设用地增减挂钩政策，大力推进高石碑镇全域国土综合整治省级试点和龙湾镇全域国土综合整治市级试点项目。积极开展全域土地综合整治试点项目申报，扩大全市全域土地综合整治试点范围。按照山水林田湖草系统综合治理理念，推进整治区低效林地和园地整理、农田基础设施建设和现有耕地提质改造，新增耕地面积。统筹整治区农房住宅建设、产业发展、公共服务和基础设施等各类建设用地整理，推进农村宅基地、工业废弃地及其他低效闲置建设用地整理。全面优化乡村建设用地结构布局，合理盘活农村存量建设用地，腾挪空间用于支持乡村融合发展和乡村振兴。</w:t>
      </w:r>
    </w:p>
    <w:p>
      <w:pPr>
        <w:keepNext w:val="0"/>
        <w:keepLines w:val="0"/>
        <w:pageBreakBefore w:val="0"/>
        <w:widowControl/>
        <w:suppressLineNumbers w:val="0"/>
        <w:kinsoku/>
        <w:wordWrap/>
        <w:overflowPunct/>
        <w:topLinePunct w:val="0"/>
        <w:autoSpaceDE/>
        <w:autoSpaceDN/>
        <w:bidi w:val="0"/>
        <w:adjustRightInd/>
        <w:snapToGrid/>
        <w:ind w:left="0" w:leftChars="0" w:firstLine="640" w:firstLineChars="200"/>
        <w:jc w:val="both"/>
        <w:textAlignment w:val="auto"/>
        <w:rPr>
          <w:rFonts w:hint="eastAsia" w:ascii="楷体" w:hAnsi="楷体" w:eastAsia="楷体" w:cs="楷体"/>
          <w:sz w:val="32"/>
          <w:highlight w:val="yellow"/>
          <w:lang w:val="en-US" w:eastAsia="zh-CN"/>
        </w:rPr>
      </w:pPr>
      <w:r>
        <w:rPr>
          <w:rFonts w:hint="eastAsia" w:cs="Times New Roman"/>
          <w:kern w:val="2"/>
          <w:sz w:val="32"/>
          <w:szCs w:val="24"/>
          <w:lang w:val="en-US" w:eastAsia="zh-CN" w:bidi="ar"/>
        </w:rPr>
        <w:t>严格落实国家、省市关于支持农村新产业新业态融合发展及新型城镇化发展用地的相关政策和要求。坚持工业向园区集中，引导二三产业向园区及重点镇、街道聚集，支持利用村镇本地资源开展农产品分拣、初加工、发展休闲观光旅游必需的配套设施建设，在不占用永久基本农田和生态保护红线、不突破国土空间规划建设用地指标等约束条件、不破坏自然环境和历史风貌的条件下，可在村庄建设边界外就近布局。鼓励对依法登记的宅基地等农村建设用地进行合理利用，发展乡村民宿、农产品初加工和电子商务等农村产业。</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rPr>
          <w:rFonts w:hint="default" w:ascii="楷体" w:hAnsi="楷体" w:eastAsia="楷体" w:cs="楷体"/>
          <w:sz w:val="32"/>
          <w:highlight w:val="none"/>
          <w:lang w:val="en-US" w:eastAsia="zh-CN"/>
        </w:rPr>
      </w:pPr>
      <w:r>
        <w:rPr>
          <w:rFonts w:hint="eastAsia" w:ascii="楷体" w:hAnsi="楷体" w:eastAsia="楷体" w:cs="楷体"/>
          <w:sz w:val="32"/>
          <w:highlight w:val="none"/>
          <w:lang w:val="en-US" w:eastAsia="zh-CN"/>
        </w:rPr>
        <w:t>三、强化乡村振兴资金投入保障</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ascii="Times New Roman" w:hAnsi="Times New Roman" w:eastAsia="仿宋_GB2312" w:cs="Times New Roman"/>
          <w:kern w:val="2"/>
          <w:sz w:val="32"/>
          <w:szCs w:val="24"/>
          <w:lang w:val="en-US" w:eastAsia="zh-CN" w:bidi="ar-SA"/>
        </w:rPr>
      </w:pPr>
      <w:r>
        <w:rPr>
          <w:rFonts w:hint="eastAsia" w:cs="Times New Roman"/>
          <w:kern w:val="2"/>
          <w:sz w:val="32"/>
          <w:szCs w:val="24"/>
          <w:lang w:val="en-US" w:eastAsia="zh-CN" w:bidi="ar-SA"/>
        </w:rPr>
        <w:t>紧抓中央政策导向，争取重大项目扶持。加大市级支持力度，持续深入推进涉农资金统筹整合，优化资金支出结构，重点用于农村基础设施、公共服务设施建设。</w:t>
      </w:r>
      <w:r>
        <w:rPr>
          <w:rFonts w:hint="eastAsia" w:cs="Times New Roman"/>
          <w:kern w:val="2"/>
          <w:sz w:val="32"/>
          <w:szCs w:val="24"/>
          <w:highlight w:val="none"/>
          <w:lang w:val="en-US" w:eastAsia="zh-CN" w:bidi="ar-SA"/>
        </w:rPr>
        <w:t>统筹推进全域土地综合整治与乡村振兴项目有机衔接，用好用活新增建设用地和新增耕地“两个指标”。</w:t>
      </w:r>
      <w:r>
        <w:rPr>
          <w:rFonts w:hint="eastAsia" w:cs="Times New Roman"/>
          <w:kern w:val="2"/>
          <w:sz w:val="32"/>
          <w:szCs w:val="24"/>
          <w:lang w:val="en-US" w:eastAsia="zh-CN" w:bidi="ar-SA"/>
        </w:rPr>
        <w:t>积极探索镇级存量资产资源整合打包为国家开发银行贷款抵押物的路径，确保贷款资金根据需要提取。</w:t>
      </w:r>
      <w:r>
        <w:rPr>
          <w:rFonts w:ascii="Times New Roman" w:hAnsi="Times New Roman" w:eastAsia="仿宋_GB2312" w:cs="Times New Roman"/>
          <w:kern w:val="2"/>
          <w:sz w:val="32"/>
          <w:szCs w:val="24"/>
          <w:lang w:val="en-US" w:eastAsia="zh-CN" w:bidi="ar-SA"/>
        </w:rPr>
        <w:t>支持以市场化方式设立乡村振兴基金，撬动金融资本、社会力量</w:t>
      </w:r>
      <w:r>
        <w:rPr>
          <w:rFonts w:hint="eastAsia" w:cs="Times New Roman"/>
          <w:kern w:val="2"/>
          <w:sz w:val="32"/>
          <w:szCs w:val="24"/>
          <w:lang w:val="en-US" w:eastAsia="zh-CN" w:bidi="ar-SA"/>
        </w:rPr>
        <w:t>广泛</w:t>
      </w:r>
      <w:r>
        <w:rPr>
          <w:rFonts w:ascii="Times New Roman" w:hAnsi="Times New Roman" w:eastAsia="仿宋_GB2312" w:cs="Times New Roman"/>
          <w:kern w:val="2"/>
          <w:sz w:val="32"/>
          <w:szCs w:val="24"/>
          <w:lang w:val="en-US" w:eastAsia="zh-CN" w:bidi="ar-SA"/>
        </w:rPr>
        <w:t>参与。持续深化农村金融改革。运用支农支小再贷款、再贴现等政策工具，实施最优惠的存款准备金率。稳妥规范开展农民合作社内部信用合作试点。大力开展农户小额信用贷款、保单质押贷款、农机具和大棚设施抵押贷款业务。鼓励开发专属金融产品支持新型农业经营主体和农村新产业新业态，增加首贷、信用贷。加大对农业农村基础设施投融资的中长期信贷支持。</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ascii="Times New Roman" w:hAnsi="Times New Roman" w:eastAsia="仿宋_GB2312" w:cs="Times New Roman"/>
          <w:kern w:val="2"/>
          <w:sz w:val="32"/>
          <w:szCs w:val="24"/>
          <w:lang w:val="en-US" w:eastAsia="zh-CN" w:bidi="ar-SA"/>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kern w:val="2"/>
          <w:sz w:val="32"/>
          <w:szCs w:val="24"/>
          <w:lang w:val="en-US" w:eastAsia="zh-CN" w:bidi="ar-SA"/>
        </w:rPr>
      </w:pPr>
    </w:p>
    <w:p>
      <w:pPr>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br w:type="page"/>
      </w:r>
    </w:p>
    <w:p>
      <w:pPr>
        <w:pStyle w:val="4"/>
        <w:ind w:left="0" w:leftChars="0" w:firstLine="0" w:firstLineChars="0"/>
        <w:jc w:val="center"/>
        <w:rPr>
          <w:rFonts w:hint="eastAsia"/>
          <w:highlight w:val="none"/>
          <w:lang w:val="en-US" w:eastAsia="zh-CN"/>
        </w:rPr>
      </w:pPr>
      <w:bookmarkStart w:id="98" w:name="_Toc9131"/>
      <w:r>
        <w:rPr>
          <w:rFonts w:hint="eastAsia" w:ascii="Times New Roman" w:hAnsi="Times New Roman" w:cs="Times New Roman"/>
          <w:highlight w:val="none"/>
          <w:lang w:val="en-US" w:eastAsia="zh-CN"/>
        </w:rPr>
        <w:t>第</w:t>
      </w:r>
      <w:r>
        <w:rPr>
          <w:rFonts w:hint="eastAsia" w:cs="Times New Roman"/>
          <w:highlight w:val="none"/>
          <w:lang w:val="en-US" w:eastAsia="zh-CN"/>
        </w:rPr>
        <w:t>四</w:t>
      </w:r>
      <w:r>
        <w:rPr>
          <w:rFonts w:hint="eastAsia" w:ascii="Times New Roman" w:hAnsi="Times New Roman" w:cs="Times New Roman"/>
          <w:highlight w:val="none"/>
          <w:lang w:val="en-US" w:eastAsia="zh-CN"/>
        </w:rPr>
        <w:t>章 推进农业提质增效，加快建设现代农业强市</w:t>
      </w:r>
      <w:bookmarkEnd w:id="87"/>
      <w:bookmarkEnd w:id="88"/>
      <w:bookmarkEnd w:id="98"/>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深化农业供给侧结构性改革，坚持科技兴农、质量兴农、品牌强农，调优农业空间布局、优化种养结构，推动品种培优、品质提升、品牌打造和标准化生产</w:t>
      </w:r>
      <w:r>
        <w:rPr>
          <w:rFonts w:hint="eastAsia"/>
          <w:highlight w:val="none"/>
          <w:lang w:val="en-US" w:eastAsia="zh-CN"/>
        </w:rPr>
        <w:t>，打造全省乃至全国具有竞争优势的特色农业产业集群。建设一批农业现代化示范区、农业产业强镇、“一村一品”“一镇一业”农业特色专业村镇，促进紧缺和绿色优质农产品生产，推动农业生产由增产导向向增产提质并举转化，不断提高农业质量效益和竞争力，加快农业现代化进程。</w:t>
      </w:r>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60" w:lineRule="exact"/>
        <w:ind w:left="0" w:leftChars="0" w:firstLine="0" w:firstLineChars="0"/>
        <w:jc w:val="center"/>
        <w:textAlignment w:val="auto"/>
        <w:outlineLvl w:val="1"/>
        <w:rPr>
          <w:rFonts w:hint="default" w:ascii="楷体" w:hAnsi="楷体" w:eastAsia="楷体" w:cs="楷体"/>
          <w:b/>
          <w:bCs/>
          <w:smallCaps w:val="0"/>
          <w:sz w:val="32"/>
          <w:szCs w:val="32"/>
          <w:highlight w:val="none"/>
          <w:lang w:val="en-US" w:eastAsia="zh-CN"/>
        </w:rPr>
      </w:pPr>
      <w:bookmarkStart w:id="99" w:name="_Toc11946"/>
      <w:bookmarkStart w:id="100" w:name="_Toc21359"/>
      <w:bookmarkStart w:id="101" w:name="_Toc3499"/>
      <w:r>
        <w:rPr>
          <w:rFonts w:hint="eastAsia" w:ascii="楷体" w:hAnsi="楷体" w:eastAsia="楷体" w:cs="楷体"/>
          <w:b/>
          <w:bCs/>
          <w:smallCaps w:val="0"/>
          <w:sz w:val="32"/>
          <w:szCs w:val="32"/>
          <w:highlight w:val="none"/>
          <w:lang w:val="en-US" w:eastAsia="zh-CN"/>
        </w:rPr>
        <w:t xml:space="preserve">第一节 </w:t>
      </w:r>
      <w:bookmarkEnd w:id="99"/>
      <w:r>
        <w:rPr>
          <w:rFonts w:hint="eastAsia" w:ascii="楷体" w:hAnsi="楷体" w:eastAsia="楷体" w:cs="楷体"/>
          <w:b/>
          <w:bCs/>
          <w:smallCaps w:val="0"/>
          <w:sz w:val="32"/>
          <w:szCs w:val="32"/>
          <w:highlight w:val="none"/>
          <w:lang w:val="en-US" w:eastAsia="zh-CN"/>
        </w:rPr>
        <w:t>构建“一带二区五园”空间布局</w:t>
      </w:r>
      <w:bookmarkEnd w:id="100"/>
    </w:p>
    <w:p>
      <w:pPr>
        <w:keepNext w:val="0"/>
        <w:keepLines w:val="0"/>
        <w:pageBreakBefore w:val="0"/>
        <w:widowControl w:val="0"/>
        <w:kinsoku/>
        <w:wordWrap/>
        <w:overflowPunct/>
        <w:topLinePunct w:val="0"/>
        <w:autoSpaceDE/>
        <w:autoSpaceDN/>
        <w:bidi w:val="0"/>
        <w:adjustRightInd/>
        <w:snapToGrid/>
        <w:ind w:left="0" w:leftChars="0" w:firstLine="640" w:firstLineChars="200"/>
        <w:jc w:val="both"/>
        <w:textAlignment w:val="auto"/>
        <w:rPr>
          <w:rFonts w:hint="default"/>
          <w:b w:val="0"/>
          <w:bCs w:val="0"/>
          <w:lang w:val="en-US" w:eastAsia="zh-CN"/>
        </w:rPr>
      </w:pPr>
      <w:r>
        <w:rPr>
          <w:rFonts w:hint="eastAsia"/>
          <w:lang w:val="en-US" w:eastAsia="zh-CN"/>
        </w:rPr>
        <w:t>深化农业供给侧结构性改革，优化农业主体功能和空间布局，规范农业发展空间秩序，构建科学适度有序的农业空间布局体系。形成与资源环境承载力相匹配、生产生活生态相协调的农业发展空间格局。</w:t>
      </w:r>
      <w:r>
        <w:rPr>
          <w:rFonts w:hint="eastAsia"/>
          <w:b w:val="0"/>
          <w:bCs w:val="0"/>
          <w:lang w:val="en-US" w:eastAsia="zh-CN"/>
        </w:rPr>
        <w:t>到2025年，全面打造</w:t>
      </w:r>
      <w:r>
        <w:rPr>
          <w:rFonts w:hint="eastAsia"/>
          <w:b/>
          <w:bCs/>
          <w:highlight w:val="none"/>
          <w:lang w:val="en-US" w:eastAsia="zh-CN"/>
        </w:rPr>
        <w:t>“一带引领、二区协同，五园驱动”</w:t>
      </w:r>
      <w:r>
        <w:rPr>
          <w:rFonts w:hint="eastAsia"/>
          <w:b w:val="0"/>
          <w:bCs w:val="0"/>
          <w:lang w:val="en-US" w:eastAsia="zh-CN"/>
        </w:rPr>
        <w:t>的</w:t>
      </w:r>
      <w:r>
        <w:rPr>
          <w:rFonts w:hint="eastAsia"/>
          <w:b/>
          <w:bCs/>
          <w:lang w:val="en-US" w:eastAsia="zh-CN"/>
        </w:rPr>
        <w:t>“一带二区五园”</w:t>
      </w:r>
      <w:r>
        <w:rPr>
          <w:rFonts w:hint="eastAsia"/>
          <w:b w:val="0"/>
          <w:bCs w:val="0"/>
          <w:lang w:val="en-US" w:eastAsia="zh-CN"/>
        </w:rPr>
        <w:t>现代乡村产业发展空间布局，形成以产兴城、以城带产、产城融合、城乡一体的发展格局，努力构建城乡繁荣发展、产业兴旺发达、生态环境优美的融合共生局面，为全省产城融合发展提供重要的示范带动作用。</w:t>
      </w:r>
    </w:p>
    <w:p>
      <w:pPr>
        <w:pStyle w:val="2"/>
        <w:rPr>
          <w:rFonts w:hint="eastAsia"/>
          <w:b w:val="0"/>
          <w:bCs w:val="0"/>
          <w:lang w:val="en-US" w:eastAsia="zh-CN"/>
        </w:rPr>
      </w:pPr>
    </w:p>
    <w:p>
      <w:pPr>
        <w:rPr>
          <w:rFonts w:hint="eastAsia"/>
          <w:b w:val="0"/>
          <w:bCs w:val="0"/>
          <w:lang w:val="en-US" w:eastAsia="zh-CN"/>
        </w:rPr>
      </w:pPr>
    </w:p>
    <w:p>
      <w:pPr>
        <w:pStyle w:val="2"/>
        <w:rPr>
          <w:rFonts w:hint="eastAsia"/>
          <w:b w:val="0"/>
          <w:bCs w:val="0"/>
          <w:lang w:val="en-US" w:eastAsia="zh-CN"/>
        </w:rPr>
      </w:pPr>
    </w:p>
    <w:p>
      <w:pPr>
        <w:rPr>
          <w:rFonts w:hint="eastAsia"/>
          <w:lang w:val="en-US" w:eastAsia="zh-CN"/>
        </w:rPr>
      </w:pPr>
    </w:p>
    <w:p>
      <w:pPr>
        <w:pStyle w:val="2"/>
        <w:rPr>
          <w:rFonts w:hint="eastAsia"/>
          <w:b/>
          <w:bCs/>
          <w:lang w:val="en-US" w:eastAsia="zh-CN"/>
        </w:rPr>
      </w:pPr>
      <w:r>
        <w:rPr>
          <w:rFonts w:hint="eastAsia"/>
          <w:b/>
          <w:bCs/>
          <w:lang w:val="en-US" w:eastAsia="zh-CN"/>
        </w:rPr>
        <w:drawing>
          <wp:anchor distT="0" distB="0" distL="114300" distR="114300" simplePos="0" relativeHeight="251661312" behindDoc="1" locked="0" layoutInCell="1" allowOverlap="1">
            <wp:simplePos x="0" y="0"/>
            <wp:positionH relativeFrom="column">
              <wp:posOffset>-47625</wp:posOffset>
            </wp:positionH>
            <wp:positionV relativeFrom="paragraph">
              <wp:posOffset>106680</wp:posOffset>
            </wp:positionV>
            <wp:extent cx="5258435" cy="4236720"/>
            <wp:effectExtent l="0" t="0" r="14605" b="0"/>
            <wp:wrapNone/>
            <wp:docPr id="7" name="图片 7" descr="空间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空间布局图"/>
                    <pic:cNvPicPr>
                      <a:picLocks noChangeAspect="1"/>
                    </pic:cNvPicPr>
                  </pic:nvPicPr>
                  <pic:blipFill>
                    <a:blip r:embed="rId13"/>
                    <a:stretch>
                      <a:fillRect/>
                    </a:stretch>
                  </pic:blipFill>
                  <pic:spPr>
                    <a:xfrm>
                      <a:off x="0" y="0"/>
                      <a:ext cx="5258435" cy="4236720"/>
                    </a:xfrm>
                    <a:prstGeom prst="rect">
                      <a:avLst/>
                    </a:prstGeom>
                  </pic:spPr>
                </pic:pic>
              </a:graphicData>
            </a:graphic>
          </wp:anchor>
        </w:drawing>
      </w:r>
    </w:p>
    <w:p>
      <w:pPr>
        <w:rPr>
          <w:rFonts w:hint="eastAsia"/>
          <w:b/>
          <w:bCs/>
          <w:lang w:val="en-US" w:eastAsia="zh-CN"/>
        </w:rPr>
      </w:pPr>
    </w:p>
    <w:p>
      <w:pPr>
        <w:pStyle w:val="2"/>
        <w:rPr>
          <w:rFonts w:hint="eastAsia"/>
          <w:b/>
          <w:bCs/>
          <w:lang w:val="en-US" w:eastAsia="zh-CN"/>
        </w:rPr>
      </w:pPr>
    </w:p>
    <w:p>
      <w:pPr>
        <w:rPr>
          <w:rFonts w:hint="eastAsia"/>
          <w:b/>
          <w:bCs/>
          <w:lang w:val="en-US" w:eastAsia="zh-CN"/>
        </w:rPr>
      </w:pPr>
    </w:p>
    <w:p>
      <w:pPr>
        <w:pStyle w:val="2"/>
        <w:rPr>
          <w:rFonts w:hint="eastAsia"/>
          <w:b/>
          <w:bCs/>
          <w:lang w:val="en-US" w:eastAsia="zh-CN"/>
        </w:rPr>
      </w:pPr>
    </w:p>
    <w:p>
      <w:pPr>
        <w:rPr>
          <w:rFonts w:hint="eastAsia"/>
          <w:lang w:val="en-US" w:eastAsia="zh-CN"/>
        </w:rPr>
      </w:pPr>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60" w:lineRule="exact"/>
        <w:ind w:left="0" w:leftChars="0" w:firstLine="0" w:firstLineChars="0"/>
        <w:jc w:val="both"/>
        <w:textAlignment w:val="auto"/>
        <w:outlineLvl w:val="9"/>
        <w:rPr>
          <w:rFonts w:hint="eastAsia" w:ascii="楷体" w:hAnsi="楷体" w:eastAsia="楷体" w:cs="楷体"/>
          <w:b/>
          <w:bCs/>
          <w:smallCaps w:val="0"/>
          <w:sz w:val="32"/>
          <w:szCs w:val="32"/>
          <w:highlight w:val="none"/>
          <w:lang w:val="en-US" w:eastAsia="zh-CN"/>
        </w:rPr>
      </w:pPr>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60" w:lineRule="exact"/>
        <w:ind w:left="0" w:leftChars="0" w:firstLine="0" w:firstLineChars="0"/>
        <w:jc w:val="center"/>
        <w:textAlignment w:val="auto"/>
        <w:outlineLvl w:val="9"/>
        <w:rPr>
          <w:rFonts w:hint="eastAsia" w:ascii="楷体" w:hAnsi="楷体" w:eastAsia="楷体" w:cs="楷体"/>
          <w:b/>
          <w:bCs/>
          <w:smallCaps w:val="0"/>
          <w:sz w:val="32"/>
          <w:szCs w:val="32"/>
          <w:highlight w:val="none"/>
          <w:lang w:val="en-US" w:eastAsia="zh-CN"/>
        </w:rPr>
      </w:pPr>
    </w:p>
    <w:p>
      <w:pPr>
        <w:rPr>
          <w:rFonts w:hint="eastAsia" w:ascii="楷体" w:hAnsi="楷体" w:eastAsia="楷体" w:cs="楷体"/>
          <w:b/>
          <w:bCs/>
          <w:smallCaps w:val="0"/>
          <w:sz w:val="32"/>
          <w:szCs w:val="32"/>
          <w:highlight w:val="none"/>
          <w:lang w:val="en-US" w:eastAsia="zh-CN"/>
        </w:rPr>
      </w:pPr>
    </w:p>
    <w:bookmarkEnd w:id="101"/>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lang w:val="en-US" w:eastAsia="zh-CN"/>
        </w:rPr>
      </w:pPr>
      <w:r>
        <w:rPr>
          <w:rFonts w:hint="default" w:ascii="Times New Roman" w:hAnsi="Times New Roman" w:cs="Times New Roman"/>
          <w:sz w:val="28"/>
          <w:szCs w:val="22"/>
          <w:highlight w:val="none"/>
          <w:lang w:val="en-US" w:eastAsia="zh-CN"/>
        </w:rPr>
        <w:t>图</w:t>
      </w:r>
      <w:r>
        <w:rPr>
          <w:rFonts w:hint="eastAsia" w:cs="Times New Roman"/>
          <w:sz w:val="28"/>
          <w:szCs w:val="22"/>
          <w:highlight w:val="none"/>
          <w:lang w:val="en-US" w:eastAsia="zh-CN"/>
        </w:rPr>
        <w:t>3</w:t>
      </w:r>
      <w:r>
        <w:rPr>
          <w:rFonts w:hint="default" w:ascii="Times New Roman" w:hAnsi="Times New Roman" w:cs="Times New Roman"/>
          <w:sz w:val="28"/>
          <w:szCs w:val="22"/>
          <w:highlight w:val="none"/>
          <w:lang w:val="en-US" w:eastAsia="zh-CN"/>
        </w:rPr>
        <w:t>-</w:t>
      </w:r>
      <w:r>
        <w:rPr>
          <w:rFonts w:hint="eastAsia" w:cs="Times New Roman"/>
          <w:sz w:val="28"/>
          <w:szCs w:val="22"/>
          <w:highlight w:val="none"/>
          <w:lang w:val="en-US" w:eastAsia="zh-CN"/>
        </w:rPr>
        <w:t>1</w:t>
      </w:r>
      <w:r>
        <w:rPr>
          <w:rFonts w:hint="eastAsia"/>
          <w:sz w:val="28"/>
          <w:szCs w:val="22"/>
          <w:highlight w:val="none"/>
          <w:lang w:val="en-US" w:eastAsia="zh-CN"/>
        </w:rPr>
        <w:t>潜江市农业总体空间布局图</w:t>
      </w:r>
    </w:p>
    <w:p>
      <w:pPr>
        <w:keepNext w:val="0"/>
        <w:keepLines w:val="0"/>
        <w:pageBreakBefore w:val="0"/>
        <w:widowControl w:val="0"/>
        <w:kinsoku/>
        <w:wordWrap/>
        <w:overflowPunct/>
        <w:topLinePunct w:val="0"/>
        <w:autoSpaceDE/>
        <w:autoSpaceDN/>
        <w:bidi w:val="0"/>
        <w:adjustRightInd/>
        <w:snapToGrid/>
        <w:spacing w:line="200" w:lineRule="exact"/>
        <w:textAlignment w:val="auto"/>
        <w:outlineLvl w:val="9"/>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b/>
          <w:bCs/>
          <w:lang w:val="en-US" w:eastAsia="zh-CN"/>
        </w:rPr>
        <w:t>1.“一带”：</w:t>
      </w:r>
      <w:r>
        <w:rPr>
          <w:rFonts w:hint="eastAsia"/>
          <w:lang w:val="en-US" w:eastAsia="zh-CN"/>
        </w:rPr>
        <w:t>以G318潜江段沿线为主线，以特色鲜明的农产品优势区、景区、园区和沿河流域等区域为核心，以全域土地综合整治、小城镇建设、美丽乡村建设和产业园提升工程等为抓手，引入乡村旅游、休闲农业、康养体验和农耕文化等载体，统筹推动基础设施建设与沿线景观整体提升，串点成面、一线穿珠、连片成带打造</w:t>
      </w:r>
      <w:r>
        <w:rPr>
          <w:rFonts w:hint="eastAsia"/>
          <w:b/>
          <w:bCs/>
          <w:lang w:val="en-US" w:eastAsia="zh-CN"/>
        </w:rPr>
        <w:t>潜江G318乡村振兴示范带</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lang w:val="en-US" w:eastAsia="zh-CN"/>
        </w:rPr>
      </w:pPr>
      <w:r>
        <w:rPr>
          <w:rFonts w:hint="eastAsia"/>
          <w:b/>
          <w:bCs/>
          <w:lang w:val="en-US" w:eastAsia="zh-CN"/>
        </w:rPr>
        <w:t>2.“二区”：</w:t>
      </w:r>
      <w:r>
        <w:rPr>
          <w:rFonts w:hint="eastAsia"/>
          <w:lang w:val="en-US" w:eastAsia="zh-CN"/>
        </w:rPr>
        <w:t>依据潜江自然资源条件、农业发展基础和经济社会发展水平，深化“南红北绿”区域布局，建设</w:t>
      </w:r>
      <w:r>
        <w:rPr>
          <w:rFonts w:hint="eastAsia"/>
          <w:b/>
          <w:bCs/>
          <w:lang w:val="en-US" w:eastAsia="zh-CN"/>
        </w:rPr>
        <w:t>传统优势农业发展区</w:t>
      </w:r>
      <w:r>
        <w:rPr>
          <w:rFonts w:hint="eastAsia"/>
          <w:b w:val="0"/>
          <w:bCs w:val="0"/>
          <w:lang w:val="en-US" w:eastAsia="zh-CN"/>
        </w:rPr>
        <w:t>和</w:t>
      </w:r>
      <w:r>
        <w:rPr>
          <w:rFonts w:hint="eastAsia"/>
          <w:b/>
          <w:bCs/>
          <w:lang w:val="en-US" w:eastAsia="zh-CN"/>
        </w:rPr>
        <w:t>现代精品农业发展区</w:t>
      </w:r>
      <w:r>
        <w:rPr>
          <w:rFonts w:hint="eastAsia"/>
          <w:lang w:val="en-US" w:eastAsia="zh-CN"/>
        </w:rPr>
        <w:t xml:space="preserve">，提升粮食等主要农产品综合供给能力，大力发展紧缺和绿色优质农产品生产，不断提升农业质量效益和竞争力，促进潜江南北区域与城乡之间协调发展。                                                                                                                                                                                                                                                                                                                                                                                                                                                                                                                                                                                                                                                                                                                                                                                                                                                                                                                                                                         </w:t>
      </w:r>
    </w:p>
    <w:p>
      <w:pPr>
        <w:outlineLvl w:val="9"/>
        <w:rPr>
          <w:rFonts w:hint="eastAsia"/>
          <w:b/>
          <w:bCs/>
          <w:highlight w:val="none"/>
          <w:lang w:val="en-US" w:eastAsia="zh-CN"/>
        </w:rPr>
      </w:pPr>
      <w:r>
        <w:rPr>
          <w:rFonts w:hint="eastAsia"/>
          <w:b/>
          <w:bCs/>
          <w:color w:val="auto"/>
          <w:highlight w:val="none"/>
          <w:lang w:val="en-US" w:eastAsia="zh-CN"/>
        </w:rPr>
        <w:t>——传统优势农业发展区。</w:t>
      </w:r>
      <w:r>
        <w:rPr>
          <w:rFonts w:hint="eastAsia"/>
          <w:b w:val="0"/>
          <w:bCs w:val="0"/>
          <w:color w:val="auto"/>
          <w:highlight w:val="none"/>
          <w:lang w:val="en-US" w:eastAsia="zh-CN"/>
        </w:rPr>
        <w:t>以</w:t>
      </w:r>
      <w:r>
        <w:rPr>
          <w:rFonts w:hint="eastAsia"/>
          <w:color w:val="auto"/>
          <w:highlight w:val="none"/>
          <w:lang w:val="en-US" w:eastAsia="zh-CN"/>
        </w:rPr>
        <w:t>境内G318以南和东荆河以西为核心区域，辐射周边优势种植和养殖区域，以粮食稳产保供为基础，重点发展潜江龙虾和潜江虾稻等主导产业。着力建设特色大基地、强化科技大支撑、培育市场大龙头、推动产业大融合、发展旅游大田园。围绕打造“全国农业全产业链典型县”“全国全产业链价值超千亿的重点链”，持续推进传统优势农业发展区主导产业做大做强，统筹推进产业基础高级化、产业链现代化，建设农业现代化示范区，将传统优势农业发展区打造成为全国乡村产业振兴样板区。</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highlight w:val="none"/>
          <w:lang w:val="en-US" w:eastAsia="zh-CN"/>
        </w:rPr>
      </w:pPr>
      <w:r>
        <w:rPr>
          <w:rFonts w:hint="eastAsia"/>
          <w:b/>
          <w:bCs/>
          <w:highlight w:val="none"/>
          <w:lang w:val="en-US" w:eastAsia="zh-CN"/>
        </w:rPr>
        <w:drawing>
          <wp:anchor distT="0" distB="0" distL="114300" distR="114300" simplePos="0" relativeHeight="251660288" behindDoc="1" locked="0" layoutInCell="1" allowOverlap="1">
            <wp:simplePos x="0" y="0"/>
            <wp:positionH relativeFrom="column">
              <wp:posOffset>-148590</wp:posOffset>
            </wp:positionH>
            <wp:positionV relativeFrom="paragraph">
              <wp:posOffset>55880</wp:posOffset>
            </wp:positionV>
            <wp:extent cx="5472430" cy="4314190"/>
            <wp:effectExtent l="0" t="0" r="13970" b="10160"/>
            <wp:wrapNone/>
            <wp:docPr id="3" name="图片 3" descr="传统优势农业发展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传统优势农业发展区"/>
                    <pic:cNvPicPr>
                      <a:picLocks noChangeAspect="1"/>
                    </pic:cNvPicPr>
                  </pic:nvPicPr>
                  <pic:blipFill>
                    <a:blip r:embed="rId14"/>
                    <a:stretch>
                      <a:fillRect/>
                    </a:stretch>
                  </pic:blipFill>
                  <pic:spPr>
                    <a:xfrm>
                      <a:off x="0" y="0"/>
                      <a:ext cx="5472430" cy="43141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highlight w:val="none"/>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highlight w:val="none"/>
          <w:lang w:val="en-US" w:eastAsia="zh-CN"/>
        </w:rPr>
      </w:pPr>
    </w:p>
    <w:p>
      <w:pPr>
        <w:bidi w:val="0"/>
        <w:spacing w:line="360" w:lineRule="auto"/>
        <w:ind w:left="0" w:leftChars="0" w:firstLine="0" w:firstLineChars="0"/>
        <w:jc w:val="center"/>
        <w:outlineLvl w:val="9"/>
        <w:rPr>
          <w:rFonts w:hint="eastAsia"/>
          <w:b/>
          <w:bCs/>
          <w:highlight w:val="none"/>
          <w:lang w:val="en-US" w:eastAsia="zh-CN"/>
        </w:rPr>
      </w:pPr>
      <w:r>
        <w:rPr>
          <w:rFonts w:hint="default" w:ascii="Times New Roman" w:hAnsi="Times New Roman" w:cs="Times New Roman"/>
          <w:sz w:val="28"/>
          <w:szCs w:val="22"/>
          <w:highlight w:val="none"/>
          <w:lang w:val="en-US" w:eastAsia="zh-CN"/>
        </w:rPr>
        <w:t>图</w:t>
      </w:r>
      <w:r>
        <w:rPr>
          <w:rFonts w:hint="eastAsia" w:ascii="Times New Roman" w:hAnsi="Times New Roman" w:cs="Times New Roman"/>
          <w:sz w:val="28"/>
          <w:szCs w:val="22"/>
          <w:highlight w:val="none"/>
          <w:lang w:val="en-US" w:eastAsia="zh-CN"/>
        </w:rPr>
        <w:t>3</w:t>
      </w:r>
      <w:r>
        <w:rPr>
          <w:rFonts w:hint="default" w:ascii="Times New Roman" w:hAnsi="Times New Roman" w:cs="Times New Roman"/>
          <w:sz w:val="28"/>
          <w:szCs w:val="22"/>
          <w:highlight w:val="none"/>
          <w:lang w:val="en-US" w:eastAsia="zh-CN"/>
        </w:rPr>
        <w:t>-</w:t>
      </w:r>
      <w:r>
        <w:rPr>
          <w:rFonts w:hint="eastAsia" w:ascii="Times New Roman" w:hAnsi="Times New Roman" w:cs="Times New Roman"/>
          <w:sz w:val="28"/>
          <w:szCs w:val="22"/>
          <w:highlight w:val="none"/>
          <w:lang w:val="en-US" w:eastAsia="zh-CN"/>
        </w:rPr>
        <w:t>2潜江</w:t>
      </w:r>
      <w:r>
        <w:rPr>
          <w:rFonts w:hint="eastAsia" w:cs="Times New Roman"/>
          <w:sz w:val="28"/>
          <w:szCs w:val="22"/>
          <w:highlight w:val="none"/>
          <w:lang w:val="en-US" w:eastAsia="zh-CN"/>
        </w:rPr>
        <w:t>传统</w:t>
      </w:r>
      <w:r>
        <w:rPr>
          <w:rFonts w:hint="eastAsia" w:ascii="Times New Roman" w:hAnsi="Times New Roman" w:cs="Times New Roman"/>
          <w:sz w:val="28"/>
          <w:szCs w:val="22"/>
          <w:highlight w:val="none"/>
          <w:lang w:val="en-US" w:eastAsia="zh-CN"/>
        </w:rPr>
        <w:t>优势农业</w:t>
      </w:r>
      <w:r>
        <w:rPr>
          <w:rFonts w:hint="eastAsia" w:cs="Times New Roman"/>
          <w:sz w:val="28"/>
          <w:szCs w:val="22"/>
          <w:highlight w:val="none"/>
          <w:lang w:val="en-US" w:eastAsia="zh-CN"/>
        </w:rPr>
        <w:t>发展区</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highlight w:val="none"/>
          <w:lang w:val="en-US" w:eastAsia="zh-CN"/>
        </w:rPr>
      </w:pPr>
      <w:r>
        <w:rPr>
          <w:rFonts w:hint="eastAsia"/>
          <w:b/>
          <w:bCs/>
          <w:highlight w:val="none"/>
          <w:lang w:val="en-US" w:eastAsia="zh-CN"/>
        </w:rPr>
        <w:t>——现代精品农业发展区。</w:t>
      </w:r>
      <w:r>
        <w:rPr>
          <w:rFonts w:hint="eastAsia"/>
          <w:highlight w:val="none"/>
          <w:lang w:val="en-US" w:eastAsia="zh-CN"/>
        </w:rPr>
        <w:t>以潜江东北部地区为核心区域，以汉江河滩、东荆河滩、境内水域和重要交通干线周边区域为重点，大力发展潜江蔬果、道地药材（潜江半夏、潜江菊花）、特色水产（黄鳝、黄颡鱼、鲈鱼）等特色农产品，推广“农牧结合循环型”“渔牧结合型”和“综合利用型”等多种生态养殖模式。推进特色农业现代化发展，打造沿江、沿湖、沿河和沿路的特色农业发展聚集区，形成宜业、宜景、宜游的现代特色农业发展格局。</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9"/>
        <w:rPr>
          <w:rFonts w:hint="eastAsia"/>
          <w:b/>
          <w:bCs/>
          <w:highlight w:val="none"/>
          <w:lang w:val="en-US" w:eastAsia="zh-CN"/>
        </w:rPr>
      </w:pPr>
      <w:r>
        <w:rPr>
          <w:rFonts w:hint="eastAsia"/>
          <w:b/>
          <w:bCs/>
          <w:highlight w:val="none"/>
          <w:lang w:val="en-US" w:eastAsia="zh-CN"/>
        </w:rPr>
        <w:drawing>
          <wp:anchor distT="0" distB="0" distL="114300" distR="114300" simplePos="0" relativeHeight="251662336" behindDoc="1" locked="0" layoutInCell="1" allowOverlap="1">
            <wp:simplePos x="0" y="0"/>
            <wp:positionH relativeFrom="column">
              <wp:posOffset>-72390</wp:posOffset>
            </wp:positionH>
            <wp:positionV relativeFrom="paragraph">
              <wp:posOffset>26670</wp:posOffset>
            </wp:positionV>
            <wp:extent cx="5335270" cy="5140960"/>
            <wp:effectExtent l="0" t="0" r="17780" b="2540"/>
            <wp:wrapNone/>
            <wp:docPr id="9" name="图片 9" descr="现代特色农业发展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现代特色农业发展区"/>
                    <pic:cNvPicPr>
                      <a:picLocks noChangeAspect="1"/>
                    </pic:cNvPicPr>
                  </pic:nvPicPr>
                  <pic:blipFill>
                    <a:blip r:embed="rId15"/>
                    <a:stretch>
                      <a:fillRect/>
                    </a:stretch>
                  </pic:blipFill>
                  <pic:spPr>
                    <a:xfrm>
                      <a:off x="0" y="0"/>
                      <a:ext cx="5335270" cy="514096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9"/>
        <w:rPr>
          <w:rFonts w:hint="eastAsia"/>
          <w:b/>
          <w:bCs/>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9"/>
        <w:rPr>
          <w:rFonts w:hint="eastAsia"/>
          <w:b/>
          <w:bCs/>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9"/>
        <w:rPr>
          <w:rFonts w:hint="eastAsia"/>
          <w:b/>
          <w:bCs/>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9"/>
        <w:rPr>
          <w:rFonts w:hint="eastAsia"/>
          <w:b/>
          <w:bCs/>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9"/>
        <w:rPr>
          <w:rFonts w:hint="eastAsia"/>
          <w:b/>
          <w:bCs/>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9"/>
        <w:rPr>
          <w:rFonts w:hint="eastAsia"/>
          <w:b/>
          <w:bCs/>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9"/>
        <w:rPr>
          <w:rFonts w:hint="eastAsia"/>
          <w:b/>
          <w:bCs/>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9"/>
        <w:rPr>
          <w:rFonts w:hint="eastAsia"/>
          <w:b/>
          <w:bCs/>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9"/>
        <w:rPr>
          <w:rFonts w:hint="eastAsia"/>
          <w:b/>
          <w:bCs/>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b/>
          <w:bCs/>
          <w:highlight w:val="none"/>
          <w:lang w:val="en-US" w:eastAsia="zh-CN"/>
        </w:rPr>
      </w:pPr>
    </w:p>
    <w:p>
      <w:pPr>
        <w:pStyle w:val="2"/>
        <w:rPr>
          <w:rFonts w:hint="eastAsia"/>
          <w:b/>
          <w:bCs/>
          <w:highlight w:val="none"/>
          <w:lang w:val="en-US" w:eastAsia="zh-CN"/>
        </w:rPr>
      </w:pPr>
    </w:p>
    <w:p>
      <w:pPr>
        <w:bidi w:val="0"/>
        <w:spacing w:line="240" w:lineRule="auto"/>
        <w:ind w:left="0" w:leftChars="0" w:firstLine="0" w:firstLineChars="0"/>
        <w:jc w:val="both"/>
        <w:outlineLvl w:val="9"/>
        <w:rPr>
          <w:rFonts w:hint="default" w:ascii="Times New Roman" w:hAnsi="Times New Roman" w:cs="Times New Roman"/>
          <w:sz w:val="28"/>
          <w:szCs w:val="22"/>
          <w:highlight w:val="none"/>
          <w:lang w:val="en-US" w:eastAsia="zh-CN"/>
        </w:rPr>
      </w:pPr>
    </w:p>
    <w:p>
      <w:pPr>
        <w:pStyle w:val="2"/>
        <w:rPr>
          <w:rFonts w:hint="default"/>
          <w:lang w:val="en-US" w:eastAsia="zh-CN"/>
        </w:rPr>
      </w:pPr>
    </w:p>
    <w:p>
      <w:pPr>
        <w:rPr>
          <w:rFonts w:hint="default"/>
          <w:lang w:val="en-US" w:eastAsia="zh-CN"/>
        </w:rPr>
      </w:pPr>
    </w:p>
    <w:p>
      <w:pPr>
        <w:bidi w:val="0"/>
        <w:spacing w:line="240" w:lineRule="auto"/>
        <w:ind w:left="0" w:leftChars="0" w:firstLine="0" w:firstLineChars="0"/>
        <w:jc w:val="center"/>
        <w:outlineLvl w:val="9"/>
        <w:rPr>
          <w:rFonts w:hint="eastAsia"/>
          <w:lang w:val="en-US" w:eastAsia="zh-CN"/>
        </w:rPr>
      </w:pPr>
      <w:r>
        <w:rPr>
          <w:rFonts w:hint="default" w:ascii="Times New Roman" w:hAnsi="Times New Roman" w:cs="Times New Roman"/>
          <w:sz w:val="28"/>
          <w:szCs w:val="22"/>
          <w:highlight w:val="none"/>
          <w:lang w:val="en-US" w:eastAsia="zh-CN"/>
        </w:rPr>
        <w:t>图</w:t>
      </w:r>
      <w:r>
        <w:rPr>
          <w:rFonts w:hint="eastAsia" w:ascii="Times New Roman" w:hAnsi="Times New Roman" w:cs="Times New Roman"/>
          <w:sz w:val="28"/>
          <w:szCs w:val="22"/>
          <w:highlight w:val="none"/>
          <w:lang w:val="en-US" w:eastAsia="zh-CN"/>
        </w:rPr>
        <w:t>3</w:t>
      </w:r>
      <w:r>
        <w:rPr>
          <w:rFonts w:hint="default" w:ascii="Times New Roman" w:hAnsi="Times New Roman" w:cs="Times New Roman"/>
          <w:sz w:val="28"/>
          <w:szCs w:val="22"/>
          <w:highlight w:val="none"/>
          <w:lang w:val="en-US" w:eastAsia="zh-CN"/>
        </w:rPr>
        <w:t>-</w:t>
      </w:r>
      <w:r>
        <w:rPr>
          <w:rFonts w:hint="eastAsia" w:cs="Times New Roman"/>
          <w:sz w:val="28"/>
          <w:szCs w:val="22"/>
          <w:highlight w:val="none"/>
          <w:lang w:val="en-US" w:eastAsia="zh-CN"/>
        </w:rPr>
        <w:t>3</w:t>
      </w:r>
      <w:r>
        <w:rPr>
          <w:rFonts w:hint="eastAsia" w:ascii="Times New Roman" w:hAnsi="Times New Roman" w:cs="Times New Roman"/>
          <w:sz w:val="28"/>
          <w:szCs w:val="22"/>
          <w:highlight w:val="none"/>
          <w:lang w:val="en-US" w:eastAsia="zh-CN"/>
        </w:rPr>
        <w:t>潜江</w:t>
      </w:r>
      <w:r>
        <w:rPr>
          <w:rFonts w:hint="eastAsia" w:cs="Times New Roman"/>
          <w:sz w:val="28"/>
          <w:szCs w:val="22"/>
          <w:highlight w:val="none"/>
          <w:lang w:val="en-US" w:eastAsia="zh-CN"/>
        </w:rPr>
        <w:t>现代精品</w:t>
      </w:r>
      <w:r>
        <w:rPr>
          <w:rFonts w:hint="eastAsia" w:ascii="Times New Roman" w:hAnsi="Times New Roman" w:cs="Times New Roman"/>
          <w:sz w:val="28"/>
          <w:szCs w:val="22"/>
          <w:highlight w:val="none"/>
          <w:lang w:val="en-US" w:eastAsia="zh-CN"/>
        </w:rPr>
        <w:t>农业发展区</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outlineLvl w:val="9"/>
        <w:rPr>
          <w:rFonts w:hint="eastAsia"/>
          <w:b/>
          <w:bCs/>
          <w:lang w:val="en-US" w:eastAsia="zh-CN"/>
        </w:rPr>
      </w:pPr>
      <w:r>
        <w:rPr>
          <w:rFonts w:hint="eastAsia"/>
          <w:b/>
          <w:bCs/>
          <w:lang w:val="en-US" w:eastAsia="zh-CN"/>
        </w:rPr>
        <w:t>3.“五园”：</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default"/>
          <w:highlight w:val="none"/>
          <w:lang w:val="en-US" w:eastAsia="zh-CN"/>
        </w:rPr>
      </w:pPr>
      <w:r>
        <w:rPr>
          <w:rFonts w:hint="eastAsia"/>
          <w:highlight w:val="none"/>
          <w:lang w:val="en-US" w:eastAsia="zh-CN"/>
        </w:rPr>
        <w:t>围绕建设国家农业现代化示范区和全国农业全产业链典型县，聚焦潜江龙虾等优势产业链，以三产融合发展为路径，突出产城融合发展，强化公共服务、科技孵化、金融支撑和创业创新平台建设，引导科技、信息、人才和资金要素向园区集聚，着力提升</w:t>
      </w:r>
      <w:r>
        <w:rPr>
          <w:rFonts w:hint="eastAsia"/>
          <w:b/>
          <w:bCs/>
          <w:highlight w:val="none"/>
          <w:lang w:val="en-US" w:eastAsia="zh-CN"/>
        </w:rPr>
        <w:t>潜江国家现代农业产业园</w:t>
      </w:r>
      <w:r>
        <w:rPr>
          <w:rFonts w:hint="eastAsia"/>
          <w:highlight w:val="none"/>
          <w:lang w:val="en-US" w:eastAsia="zh-CN"/>
        </w:rPr>
        <w:t>、</w:t>
      </w:r>
      <w:r>
        <w:rPr>
          <w:rFonts w:hint="eastAsia"/>
          <w:b/>
          <w:bCs/>
          <w:highlight w:val="none"/>
          <w:lang w:val="en-US" w:eastAsia="zh-CN"/>
        </w:rPr>
        <w:t>潜半夏省级现代农业产业园</w:t>
      </w:r>
      <w:r>
        <w:rPr>
          <w:rFonts w:hint="eastAsia"/>
          <w:highlight w:val="none"/>
          <w:lang w:val="en-US" w:eastAsia="zh-CN"/>
        </w:rPr>
        <w:t>、</w:t>
      </w:r>
      <w:r>
        <w:rPr>
          <w:rFonts w:hint="eastAsia"/>
          <w:b/>
          <w:bCs/>
          <w:highlight w:val="none"/>
          <w:lang w:val="en-US" w:eastAsia="zh-CN"/>
        </w:rPr>
        <w:t>后湖高场虾稻省级现代农业产业园</w:t>
      </w:r>
      <w:r>
        <w:rPr>
          <w:rFonts w:hint="eastAsia"/>
          <w:highlight w:val="none"/>
          <w:lang w:val="en-US" w:eastAsia="zh-CN"/>
        </w:rPr>
        <w:t>、</w:t>
      </w:r>
      <w:r>
        <w:rPr>
          <w:rFonts w:hint="eastAsia"/>
          <w:b/>
          <w:bCs/>
          <w:highlight w:val="none"/>
          <w:lang w:val="en-US" w:eastAsia="zh-CN"/>
        </w:rPr>
        <w:t>潜江国家农业科技园</w:t>
      </w:r>
      <w:r>
        <w:rPr>
          <w:rFonts w:hint="eastAsia"/>
          <w:highlight w:val="none"/>
          <w:lang w:val="en-US" w:eastAsia="zh-CN"/>
        </w:rPr>
        <w:t>及</w:t>
      </w:r>
      <w:r>
        <w:rPr>
          <w:rFonts w:hint="eastAsia"/>
          <w:b/>
          <w:bCs/>
          <w:highlight w:val="none"/>
          <w:lang w:val="en-US" w:eastAsia="zh-CN"/>
        </w:rPr>
        <w:t>潜江国家农村产业融合发展示范园</w:t>
      </w:r>
      <w:r>
        <w:rPr>
          <w:rFonts w:hint="eastAsia"/>
          <w:b w:val="0"/>
          <w:bCs w:val="0"/>
          <w:highlight w:val="none"/>
          <w:lang w:val="en-US" w:eastAsia="zh-CN"/>
        </w:rPr>
        <w:t>发</w:t>
      </w:r>
      <w:r>
        <w:rPr>
          <w:rFonts w:hint="eastAsia"/>
          <w:highlight w:val="none"/>
          <w:lang w:val="en-US" w:eastAsia="zh-CN"/>
        </w:rPr>
        <w:t>展质量，不断推进全市农业产业由点状、分散生产向园区化、块状化、科技化、规模化、品牌化和融合化发展，打造农业产业化经营的模范区、国家农业现代化发展的示范区和全国产城融合发展的样板区，加快潜江农业农村现代化进程。</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ind w:leftChars="0"/>
        <w:jc w:val="center"/>
        <w:textAlignment w:val="auto"/>
        <w:outlineLvl w:val="1"/>
        <w:rPr>
          <w:rFonts w:hint="eastAsia" w:cs="Times New Roman"/>
          <w:color w:val="000000"/>
          <w:kern w:val="2"/>
          <w:sz w:val="32"/>
          <w:szCs w:val="32"/>
          <w:lang w:val="en-US" w:eastAsia="zh-CN" w:bidi="ar-SA"/>
        </w:rPr>
      </w:pPr>
      <w:bookmarkStart w:id="102" w:name="_Toc17228"/>
      <w:bookmarkStart w:id="103" w:name="_Toc26078"/>
      <w:bookmarkStart w:id="104" w:name="_Toc31241"/>
      <w:r>
        <w:rPr>
          <w:rFonts w:hint="eastAsia" w:ascii="楷体" w:hAnsi="楷体" w:eastAsia="楷体" w:cs="楷体"/>
          <w:b/>
          <w:bCs/>
          <w:smallCaps w:val="0"/>
          <w:sz w:val="32"/>
          <w:szCs w:val="32"/>
          <w:lang w:val="en-US" w:eastAsia="zh-CN"/>
        </w:rPr>
        <w:t xml:space="preserve">第二节 </w:t>
      </w:r>
      <w:bookmarkEnd w:id="102"/>
      <w:r>
        <w:rPr>
          <w:rFonts w:hint="eastAsia" w:ascii="楷体" w:hAnsi="楷体" w:eastAsia="楷体" w:cs="楷体"/>
          <w:b/>
          <w:bCs/>
          <w:smallCaps w:val="0"/>
          <w:sz w:val="32"/>
          <w:szCs w:val="32"/>
          <w:lang w:val="en-US" w:eastAsia="zh-CN"/>
        </w:rPr>
        <w:t>打造“龙虾之乡”乡村产业增长极</w:t>
      </w:r>
      <w:bookmarkEnd w:id="103"/>
      <w:bookmarkEnd w:id="104"/>
    </w:p>
    <w:p>
      <w:pPr>
        <w:ind w:firstLine="640" w:firstLineChars="200"/>
        <w:rPr>
          <w:rFonts w:hint="eastAsia" w:eastAsia="楷体" w:cs="Times New Roman"/>
          <w:b/>
          <w:bCs/>
          <w:color w:val="auto"/>
          <w:sz w:val="32"/>
          <w:szCs w:val="40"/>
          <w:highlight w:val="none"/>
          <w:lang w:val="en-US" w:eastAsia="zh-CN"/>
        </w:rPr>
      </w:pPr>
      <w:r>
        <w:rPr>
          <w:rFonts w:hint="eastAsia" w:cs="Times New Roman"/>
          <w:color w:val="000000"/>
          <w:kern w:val="2"/>
          <w:sz w:val="32"/>
          <w:szCs w:val="32"/>
          <w:highlight w:val="none"/>
          <w:lang w:val="en-US" w:eastAsia="zh-CN" w:bidi="ar-SA"/>
        </w:rPr>
        <w:t>全面落实培育壮大农业产业化龙头企业“十百千万”工程</w:t>
      </w:r>
      <w:r>
        <w:rPr>
          <w:rStyle w:val="32"/>
          <w:rFonts w:hint="eastAsia" w:cs="Times New Roman"/>
          <w:color w:val="000000"/>
          <w:kern w:val="2"/>
          <w:sz w:val="32"/>
          <w:szCs w:val="32"/>
          <w:highlight w:val="none"/>
          <w:lang w:val="en-US" w:eastAsia="zh-CN" w:bidi="ar-SA"/>
        </w:rPr>
        <w:footnoteReference w:id="1"/>
      </w:r>
      <w:r>
        <w:rPr>
          <w:rFonts w:hint="eastAsia" w:cs="Times New Roman"/>
          <w:color w:val="000000"/>
          <w:kern w:val="2"/>
          <w:sz w:val="32"/>
          <w:szCs w:val="32"/>
          <w:highlight w:val="none"/>
          <w:lang w:val="en-US" w:eastAsia="zh-CN" w:bidi="ar-SA"/>
        </w:rPr>
        <w:t>，以</w:t>
      </w:r>
      <w:r>
        <w:rPr>
          <w:rFonts w:hint="eastAsia"/>
          <w:b w:val="0"/>
          <w:bCs w:val="0"/>
          <w:highlight w:val="none"/>
          <w:lang w:val="en-US" w:eastAsia="zh-CN"/>
        </w:rPr>
        <w:t>“一带二区五园”的</w:t>
      </w:r>
      <w:r>
        <w:rPr>
          <w:rFonts w:hint="eastAsia"/>
          <w:highlight w:val="none"/>
          <w:lang w:val="en-US" w:eastAsia="zh-CN"/>
        </w:rPr>
        <w:t>现代乡村产业发展空间布局为指引，以稳定粮食生产为基础，</w:t>
      </w:r>
      <w:r>
        <w:rPr>
          <w:rFonts w:hint="eastAsia" w:cs="Times New Roman"/>
          <w:color w:val="000000"/>
          <w:kern w:val="2"/>
          <w:sz w:val="32"/>
          <w:szCs w:val="32"/>
          <w:highlight w:val="none"/>
          <w:lang w:val="en-US" w:eastAsia="zh-CN" w:bidi="ar-SA"/>
        </w:rPr>
        <w:t>以强化特色、增强优势为目标，以促进主导产业和特色产业提质增效为核心，做强潜江龙虾、潜江虾稻、潜江半夏和潜江大豆4个主导产业；做精潜江蔬果、潜江菜籽油、潜江淡水鱼和潜江生猪4个特色产业，加快推进产业基础高级化、产业链现代化。到2025年，全市一二三产业综合产值达到1000亿元以上的农业产业链1个；达到100-200亿元的农业产业链2个；达到20-50亿元的农业产业链5个。农产品加工业产值达到500亿元，与农业总产值之比达到3:1，农产品加工转化率达到88%。农业产业化水平居全省领先地位，打造</w:t>
      </w:r>
      <w:r>
        <w:rPr>
          <w:rFonts w:hint="eastAsia" w:ascii="仿宋_GB2312" w:hAnsi="仿宋_GB2312" w:cs="仿宋_GB2312"/>
          <w:b w:val="0"/>
          <w:bCs w:val="0"/>
          <w:szCs w:val="32"/>
          <w:highlight w:val="none"/>
          <w:lang w:val="en-US" w:eastAsia="zh-CN"/>
        </w:rPr>
        <w:t>全国农业全产业链典型县、全国全产业链价值超千亿的重点链（潜江虾-稻产业链）和</w:t>
      </w:r>
      <w:r>
        <w:rPr>
          <w:rFonts w:hint="eastAsia" w:cs="Times New Roman"/>
          <w:color w:val="000000"/>
          <w:kern w:val="2"/>
          <w:sz w:val="32"/>
          <w:szCs w:val="32"/>
          <w:highlight w:val="none"/>
          <w:lang w:val="en-US" w:eastAsia="zh-CN" w:bidi="ar-SA"/>
        </w:rPr>
        <w:t>全国农村一二三产业融合发展示范区，促进农业增效、农民增收和农村经济发展。</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eastAsia="楷体" w:cs="Times New Roman"/>
          <w:b/>
          <w:bCs/>
          <w:color w:val="auto"/>
          <w:sz w:val="32"/>
          <w:szCs w:val="40"/>
          <w:lang w:val="en-US" w:eastAsia="zh-CN"/>
        </w:rPr>
      </w:pPr>
      <w:r>
        <w:rPr>
          <w:rFonts w:hint="eastAsia" w:eastAsia="楷体" w:cs="Times New Roman"/>
          <w:b/>
          <w:bCs/>
          <w:color w:val="auto"/>
          <w:sz w:val="32"/>
          <w:szCs w:val="40"/>
          <w:highlight w:val="none"/>
          <w:lang w:val="en-US" w:eastAsia="zh-CN"/>
        </w:rPr>
        <w:t xml:space="preserve">一、做强四大主导产业  </w:t>
      </w:r>
      <w:r>
        <w:rPr>
          <w:rFonts w:hint="eastAsia" w:eastAsia="楷体" w:cs="Times New Roman"/>
          <w:b/>
          <w:bCs/>
          <w:color w:val="auto"/>
          <w:sz w:val="32"/>
          <w:szCs w:val="4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eastAsia="楷体" w:cs="Times New Roman"/>
          <w:b/>
          <w:bCs/>
          <w:color w:val="auto"/>
          <w:sz w:val="32"/>
          <w:szCs w:val="40"/>
          <w:lang w:val="en-US" w:eastAsia="zh-CN"/>
        </w:rPr>
      </w:pPr>
      <w:r>
        <w:rPr>
          <w:rFonts w:hint="eastAsia" w:eastAsia="楷体" w:cs="Times New Roman"/>
          <w:b/>
          <w:bCs/>
          <w:color w:val="auto"/>
          <w:sz w:val="32"/>
          <w:szCs w:val="40"/>
          <w:lang w:val="en-US" w:eastAsia="zh-CN"/>
        </w:rPr>
        <w:t xml:space="preserve">1.潜江龙虾产业链                    </w:t>
      </w:r>
    </w:p>
    <w:p>
      <w:pPr>
        <w:keepNext w:val="0"/>
        <w:keepLines w:val="0"/>
        <w:pageBreakBefore w:val="0"/>
        <w:widowControl w:val="0"/>
        <w:kinsoku/>
        <w:wordWrap/>
        <w:overflowPunct/>
        <w:topLinePunct w:val="0"/>
        <w:autoSpaceDE/>
        <w:autoSpaceDN/>
        <w:bidi w:val="0"/>
        <w:adjustRightInd/>
        <w:snapToGrid/>
        <w:ind w:left="0" w:leftChars="0" w:firstLine="640" w:firstLineChars="200"/>
        <w:jc w:val="both"/>
        <w:textAlignment w:val="auto"/>
        <w:rPr>
          <w:rFonts w:hint="default" w:cs="Times New Roman"/>
          <w:b/>
          <w:bCs/>
          <w:kern w:val="2"/>
          <w:sz w:val="32"/>
          <w:szCs w:val="24"/>
          <w:highlight w:val="none"/>
          <w:lang w:val="en-US" w:eastAsia="zh-CN" w:bidi="ar-SA"/>
        </w:rPr>
      </w:pPr>
      <w:r>
        <w:rPr>
          <w:rFonts w:hint="eastAsia" w:cs="Times New Roman"/>
          <w:b w:val="0"/>
          <w:bCs w:val="0"/>
          <w:color w:val="000000"/>
          <w:kern w:val="2"/>
          <w:sz w:val="32"/>
          <w:szCs w:val="32"/>
          <w:highlight w:val="none"/>
          <w:lang w:val="en-US" w:eastAsia="zh-CN" w:bidi="ar-SA"/>
        </w:rPr>
        <w:t>建立小龙虾养殖的“潜江标准”。</w:t>
      </w:r>
      <w:r>
        <w:rPr>
          <w:rFonts w:hint="eastAsia" w:cs="Times New Roman"/>
          <w:b w:val="0"/>
          <w:bCs w:val="0"/>
          <w:color w:val="000000"/>
          <w:kern w:val="2"/>
          <w:sz w:val="32"/>
          <w:szCs w:val="32"/>
          <w:lang w:val="en-US" w:eastAsia="zh-CN" w:bidi="ar-SA"/>
        </w:rPr>
        <w:t>以高标准农田和美丽乡村建设等为抓手，按照全国一流虾稻共作示范区的建设标准，完善农田、水利、绿化、道路、电网、生产用房和节点景观等配套建设，提档升级虾稻共作基地。加强小龙虾稻田生态繁育基地建设，推动熊口镇、龙湾镇、积玉口镇、浩口镇、白鹭湖管理区、后湖管理区、运粮湖管理区、渔洋镇、张金镇和老新镇10个小龙虾优质苗种生态繁育产业带建设。重点攻关小龙虾良种选育和良种规模化繁育，推进新品种引进开发与推广应用等。推进虾稻共作、繁养分离和立体综合养殖等标准化生产。加快具有“潜江标准”的小龙虾养殖技术、疾病监测预防和治疗、捕捞技术等系列技术规范或标准的推广与运用，不断提升潜江龙虾的品质和市场地位。到2025年，</w:t>
      </w:r>
      <w:r>
        <w:rPr>
          <w:rFonts w:hint="eastAsia" w:cs="Times New Roman"/>
          <w:b w:val="0"/>
          <w:bCs w:val="0"/>
          <w:color w:val="000000"/>
          <w:kern w:val="2"/>
          <w:sz w:val="32"/>
          <w:szCs w:val="32"/>
          <w:highlight w:val="none"/>
          <w:lang w:val="en-US" w:eastAsia="zh-CN" w:bidi="ar-SA"/>
        </w:rPr>
        <w:t>小龙虾综合养殖面积稳定在90万亩，其中虾稻共作面积85万亩、池塘养虾5万亩；</w:t>
      </w:r>
      <w:r>
        <w:rPr>
          <w:rFonts w:hint="eastAsia" w:cs="Times New Roman"/>
          <w:b w:val="0"/>
          <w:bCs w:val="0"/>
          <w:color w:val="000000"/>
          <w:kern w:val="2"/>
          <w:sz w:val="32"/>
          <w:szCs w:val="32"/>
          <w:lang w:val="en-US" w:eastAsia="zh-CN" w:bidi="ar-SA"/>
        </w:rPr>
        <w:t>培育1-2个生长速度快、抗病力强、遗传性状优良的小龙虾新品系，大规格商品虾比例提高至75%；</w:t>
      </w:r>
      <w:r>
        <w:rPr>
          <w:rFonts w:hint="eastAsia" w:eastAsia="仿宋_GB2312" w:cs="Times New Roman"/>
          <w:kern w:val="2"/>
          <w:sz w:val="32"/>
          <w:szCs w:val="24"/>
          <w:highlight w:val="none"/>
          <w:lang w:val="en-US" w:eastAsia="zh-CN" w:bidi="ar-SA"/>
        </w:rPr>
        <w:t>潜江龙虾良种供应能力达到100亿尾</w:t>
      </w:r>
      <w:r>
        <w:rPr>
          <w:rFonts w:hint="eastAsia" w:cs="Times New Roman"/>
          <w:kern w:val="2"/>
          <w:sz w:val="32"/>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ind w:left="0" w:leftChars="0" w:firstLine="640" w:firstLineChars="200"/>
        <w:jc w:val="both"/>
        <w:textAlignment w:val="auto"/>
        <w:rPr>
          <w:rFonts w:hint="default" w:eastAsia="仿宋_GB2312" w:cs="Times New Roman"/>
          <w:kern w:val="2"/>
          <w:sz w:val="32"/>
          <w:szCs w:val="24"/>
          <w:lang w:val="en-US" w:eastAsia="zh-CN" w:bidi="ar-SA"/>
        </w:rPr>
      </w:pPr>
      <w:r>
        <w:rPr>
          <w:rFonts w:hint="eastAsia" w:cs="Times New Roman"/>
          <w:kern w:val="2"/>
          <w:sz w:val="32"/>
          <w:szCs w:val="24"/>
          <w:highlight w:val="none"/>
          <w:lang w:val="en-US" w:eastAsia="zh-CN" w:bidi="ar-SA"/>
        </w:rPr>
        <w:t>打造小龙虾精深加工“制高点”。</w:t>
      </w:r>
      <w:r>
        <w:rPr>
          <w:rFonts w:hint="eastAsia" w:cs="Times New Roman"/>
          <w:kern w:val="2"/>
          <w:sz w:val="32"/>
          <w:szCs w:val="24"/>
          <w:lang w:val="en-US" w:eastAsia="zh-CN" w:bidi="ar-SA"/>
        </w:rPr>
        <w:t>加大对行业领军企业的</w:t>
      </w:r>
      <w:r>
        <w:rPr>
          <w:rFonts w:hint="eastAsia" w:ascii="仿宋_GB2312"/>
          <w:sz w:val="32"/>
          <w:szCs w:val="32"/>
          <w:lang w:val="en-US" w:eastAsia="zh-CN"/>
        </w:rPr>
        <w:t>培育力度，支持加工企业提升生产线、创新生产工艺、升级设施装备，依托科研院所的技术支持，推进加工产品结构调优，重点推进小龙虾</w:t>
      </w:r>
      <w:r>
        <w:rPr>
          <w:rFonts w:hint="eastAsia" w:ascii="仿宋_GB2312" w:eastAsia="仿宋_GB2312"/>
          <w:sz w:val="32"/>
          <w:szCs w:val="32"/>
        </w:rPr>
        <w:t>多种口味食用品种和虾蛋白肽、壳聚糖、虾青素和甲壳素及其衍生品</w:t>
      </w:r>
      <w:r>
        <w:rPr>
          <w:rFonts w:hint="eastAsia" w:ascii="仿宋_GB2312"/>
          <w:sz w:val="32"/>
          <w:szCs w:val="32"/>
          <w:lang w:val="en-US" w:eastAsia="zh-CN"/>
        </w:rPr>
        <w:t>的开发利用，加大对小龙虾产品保鲜技术的研究。</w:t>
      </w:r>
      <w:r>
        <w:rPr>
          <w:rFonts w:hint="eastAsia" w:cs="Times New Roman"/>
          <w:kern w:val="2"/>
          <w:sz w:val="32"/>
          <w:szCs w:val="24"/>
          <w:lang w:val="en-US" w:eastAsia="zh-CN" w:bidi="ar-SA"/>
        </w:rPr>
        <w:t>推动小龙虾加工企业跨区域、跨行业、跨所有制进行资产重组，组建大型企业集团。采取项目扶持、嫁接改造、外引内联、兼并重组和股份合作等多种形式，重点培育具有竞争优势和带动力强的龙头企业，加快企业公司制和股份制改革，健全规范法人治理结构，提高市场竞争力。综合运用市场监管、国土规划、环境保护、金融等政策手段，集中支持小龙虾产业集中园区项目，限制小企业的无序发展。到2025年，在全市扶强扶壮8-10家小龙虾加工行业领军企业，培育一批10亿元头部企业，加工业产值达到350亿元。小龙虾精深加工产品延伸等关键环节的技术创新取得重大突破，继续领跑全国。</w:t>
      </w:r>
    </w:p>
    <w:p>
      <w:pPr>
        <w:pStyle w:val="23"/>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eastAsia="仿宋_GB2312" w:cs="Times New Roman"/>
          <w:kern w:val="2"/>
          <w:sz w:val="32"/>
          <w:szCs w:val="24"/>
          <w:lang w:val="en-US" w:eastAsia="zh-CN" w:bidi="ar-SA"/>
        </w:rPr>
      </w:pPr>
      <w:r>
        <w:rPr>
          <w:rFonts w:hint="eastAsia" w:eastAsia="仿宋_GB2312" w:cs="Times New Roman"/>
          <w:kern w:val="2"/>
          <w:sz w:val="32"/>
          <w:szCs w:val="24"/>
          <w:highlight w:val="none"/>
          <w:lang w:val="en-US" w:eastAsia="zh-CN" w:bidi="ar-SA"/>
        </w:rPr>
        <w:t>打造国家级区域公用品牌。</w:t>
      </w:r>
      <w:r>
        <w:rPr>
          <w:rFonts w:hint="eastAsia" w:eastAsia="仿宋_GB2312" w:cs="Times New Roman"/>
          <w:kern w:val="2"/>
          <w:sz w:val="32"/>
          <w:szCs w:val="24"/>
          <w:lang w:val="en-US" w:eastAsia="zh-CN" w:bidi="ar-SA"/>
        </w:rPr>
        <w:t>积极开展“潜江优品”策划宣传，加强“潜江龙虾”鲜活品牌、“良仁”“楚玉”等加工品牌、“潜江油焖大虾”“蒜蓉虾”“虾皇”等餐饮品牌和“晓飞歌”“郝大虾”等调味料品牌的培育、认定、宣传、保护和推广。持续推进“万师千店”工程，探索潜江龙虾烹饪佐料开发与应用，扩大潜江龙虾餐饮影响力，打造潜江龙虾餐饮连锁品牌。积极开展“潜江龙虾”品牌资本化运作。推动成立潜江龙虾品牌营销推广公司，充分发挥潜江龙虾产业发展促进会作用，共同推动潜江龙虾品牌宣传、推广和运营等工作，不断提升潜江龙虾区域公用品牌形象。</w:t>
      </w:r>
      <w:r>
        <w:rPr>
          <w:rFonts w:hint="eastAsia" w:eastAsia="仿宋_GB2312" w:cs="Times New Roman"/>
          <w:kern w:val="2"/>
          <w:sz w:val="32"/>
          <w:szCs w:val="24"/>
          <w:highlight w:val="none"/>
          <w:lang w:val="en-US" w:eastAsia="zh-CN" w:bidi="ar-SA"/>
        </w:rPr>
        <w:t>到2025年，潜江龙虾标准体系共享共用、使用授权企业达到500家，“</w:t>
      </w:r>
      <w:r>
        <w:rPr>
          <w:rFonts w:hint="eastAsia" w:eastAsia="仿宋_GB2312" w:cs="Times New Roman"/>
          <w:kern w:val="2"/>
          <w:sz w:val="32"/>
          <w:szCs w:val="24"/>
          <w:lang w:val="en-US" w:eastAsia="zh-CN" w:bidi="ar-SA"/>
        </w:rPr>
        <w:t>潜江龙虾”打造成为“全国领先、世界知名”的龙虾区域公用品牌。</w:t>
      </w:r>
    </w:p>
    <w:p>
      <w:pPr>
        <w:pStyle w:val="23"/>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0"/>
        <w:jc w:val="both"/>
        <w:textAlignment w:val="auto"/>
        <w:rPr>
          <w:rFonts w:hint="eastAsia" w:eastAsia="楷体" w:cs="Times New Roman"/>
          <w:b/>
          <w:bCs/>
          <w:color w:val="auto"/>
          <w:sz w:val="32"/>
          <w:szCs w:val="40"/>
          <w:lang w:val="en-US" w:eastAsia="zh-CN"/>
        </w:rPr>
      </w:pPr>
      <w:r>
        <w:rPr>
          <w:rFonts w:hint="eastAsia" w:eastAsia="仿宋_GB2312" w:cs="Times New Roman"/>
          <w:kern w:val="2"/>
          <w:sz w:val="32"/>
          <w:szCs w:val="24"/>
          <w:highlight w:val="none"/>
          <w:lang w:val="en-US" w:eastAsia="zh-CN" w:bidi="ar-SA"/>
        </w:rPr>
        <w:t>推进龙虾产业链融合发展。加快国家现代农业产业园和后湖虾稻省级现代农业产业园建设，推进中国·潜江虾稻专业大市场、中国小龙虾交易中心、</w:t>
      </w:r>
      <w:r>
        <w:rPr>
          <w:rFonts w:hint="eastAsia" w:eastAsia="仿宋_GB2312" w:cs="Times New Roman"/>
          <w:b w:val="0"/>
          <w:bCs w:val="0"/>
          <w:kern w:val="2"/>
          <w:sz w:val="32"/>
          <w:szCs w:val="24"/>
          <w:lang w:val="en-US" w:eastAsia="zh-CN" w:bidi="ar-SA"/>
        </w:rPr>
        <w:t>龙虾小镇、虾谷小镇和小龙虾加工餐饮示范园等项目建设。</w:t>
      </w:r>
      <w:r>
        <w:rPr>
          <w:rFonts w:hint="eastAsia" w:eastAsia="仿宋_GB2312" w:cs="Times New Roman"/>
          <w:kern w:val="2"/>
          <w:sz w:val="32"/>
          <w:szCs w:val="24"/>
          <w:lang w:val="en-US" w:eastAsia="zh-CN" w:bidi="ar-SA"/>
        </w:rPr>
        <w:t>大力发展虾旅产业，做深“小龙虾美食之旅”“小龙虾玩乐之旅”“小龙虾游学之旅”三条小龙虾主题旅游路线，打造一批虾旅融合项目。借鉴“沙县小吃”运作模式，推进龙虾餐饮连锁化、品牌化和产业化发展，打造一批潜江龙虾全国特色品牌餐饮连锁店。</w:t>
      </w:r>
      <w:r>
        <w:rPr>
          <w:rFonts w:hint="eastAsia" w:eastAsia="仿宋_GB2312" w:cs="Times New Roman"/>
          <w:kern w:val="2"/>
          <w:sz w:val="32"/>
          <w:szCs w:val="24"/>
          <w:highlight w:val="none"/>
          <w:lang w:val="en-US" w:eastAsia="zh-CN" w:bidi="ar-SA"/>
        </w:rPr>
        <w:t>立足潜江，辐射两湖平原、汉江流域等地，大力发展以潜江龙虾为核心的农产品会展。</w:t>
      </w:r>
      <w:r>
        <w:rPr>
          <w:rFonts w:hint="eastAsia" w:eastAsia="仿宋_GB2312" w:cs="Times New Roman"/>
          <w:kern w:val="2"/>
          <w:sz w:val="32"/>
          <w:szCs w:val="24"/>
          <w:lang w:val="en-US" w:eastAsia="zh-CN" w:bidi="ar-SA"/>
        </w:rPr>
        <w:t>实施好“小龙虾+大文创”战略，充分整合经贸、科研、文化、美食和旅游资源，打造潜江龙虾文旅IP，推动龙虾+文创+节会+体育+科技+餐饮+田园综合体等全面融合，形成集科研示范、良种选育、苗种繁殖、健康养殖、加工出口、餐饮服务、冷链物流、精深加工和节庆文化等于一体的产业化格局。大力发展订单农业，积极拓展产业化经营领域和挖掘产业深度，推动小龙虾龙头企业与专业合作社深度融合，建立完善利益共享、风险共担的合作机制。加快组建潜江龙虾产业集团，着力推动主板上市。到2025年，潜江虾-稻全产业链综合产值达到1000亿元，其中潜江龙虾综合产值达到800亿元，打造</w:t>
      </w:r>
      <w:r>
        <w:rPr>
          <w:rFonts w:hint="eastAsia" w:eastAsia="仿宋_GB2312" w:cs="Times New Roman"/>
          <w:kern w:val="2"/>
          <w:sz w:val="32"/>
          <w:szCs w:val="24"/>
          <w:highlight w:val="none"/>
          <w:lang w:val="en-US" w:eastAsia="zh-CN" w:bidi="ar-SA"/>
        </w:rPr>
        <w:t>全国全产业链价值超千亿的重点链，</w:t>
      </w:r>
      <w:r>
        <w:rPr>
          <w:rFonts w:hint="eastAsia" w:eastAsia="仿宋_GB2312" w:cs="Times New Roman"/>
          <w:kern w:val="2"/>
          <w:sz w:val="32"/>
          <w:szCs w:val="24"/>
          <w:lang w:val="en-US" w:eastAsia="zh-CN" w:bidi="ar-SA"/>
        </w:rPr>
        <w:t>进一步筑牢“虾王”地位。</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eastAsia="楷体" w:cs="Times New Roman"/>
          <w:b/>
          <w:bCs/>
          <w:color w:val="auto"/>
          <w:sz w:val="32"/>
          <w:szCs w:val="40"/>
          <w:lang w:val="en-US" w:eastAsia="zh-CN"/>
        </w:rPr>
      </w:pPr>
      <w:r>
        <w:rPr>
          <w:rFonts w:hint="eastAsia" w:eastAsia="楷体" w:cs="Times New Roman"/>
          <w:b/>
          <w:bCs/>
          <w:color w:val="auto"/>
          <w:sz w:val="32"/>
          <w:szCs w:val="40"/>
          <w:lang w:val="en-US" w:eastAsia="zh-CN"/>
        </w:rPr>
        <w:t xml:space="preserve">2.潜江虾稻产业链                    </w:t>
      </w:r>
    </w:p>
    <w:p>
      <w:pPr>
        <w:pStyle w:val="23"/>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eastAsia="仿宋_GB2312" w:cs="Times New Roman"/>
          <w:kern w:val="2"/>
          <w:sz w:val="32"/>
          <w:szCs w:val="24"/>
          <w:lang w:val="en-US" w:eastAsia="zh-CN" w:bidi="ar-SA"/>
        </w:rPr>
        <w:t>严格落实“米袋子”主要领导负责制，坚决制止耕地“非农化”和防止耕地“非粮化”，稳定粮食播种面积和产量。深入实施“两藏”战略，抓好良种、良技、良机、良田和良制“五良”配套，加强粮食生产功能区、重要农产品生产保护区、特色农产品优势区建设。以</w:t>
      </w:r>
      <w:r>
        <w:rPr>
          <w:rFonts w:hint="eastAsia" w:ascii="Times New Roman" w:hAnsi="Times New Roman" w:eastAsia="仿宋_GB2312" w:cs="Times New Roman"/>
          <w:kern w:val="2"/>
          <w:sz w:val="32"/>
          <w:szCs w:val="24"/>
          <w:lang w:val="en-US" w:eastAsia="zh-CN" w:bidi="ar-SA"/>
        </w:rPr>
        <w:t>粮食</w:t>
      </w:r>
      <w:r>
        <w:rPr>
          <w:rFonts w:hint="eastAsia" w:eastAsia="仿宋_GB2312" w:cs="Times New Roman"/>
          <w:kern w:val="2"/>
          <w:sz w:val="32"/>
          <w:szCs w:val="24"/>
          <w:lang w:val="en-US" w:eastAsia="zh-CN" w:bidi="ar-SA"/>
        </w:rPr>
        <w:t>稳产保供为根本</w:t>
      </w:r>
      <w:r>
        <w:rPr>
          <w:rFonts w:hint="eastAsia" w:ascii="Times New Roman" w:hAnsi="Times New Roman" w:eastAsia="仿宋_GB2312" w:cs="Times New Roman"/>
          <w:kern w:val="2"/>
          <w:sz w:val="32"/>
          <w:szCs w:val="24"/>
          <w:lang w:val="en-US" w:eastAsia="zh-CN" w:bidi="ar-SA"/>
        </w:rPr>
        <w:t>，立足</w:t>
      </w:r>
      <w:r>
        <w:rPr>
          <w:rFonts w:hint="eastAsia" w:eastAsia="仿宋_GB2312" w:cs="Times New Roman"/>
          <w:kern w:val="2"/>
          <w:sz w:val="32"/>
          <w:szCs w:val="24"/>
          <w:lang w:val="en-US" w:eastAsia="zh-CN" w:bidi="ar-SA"/>
        </w:rPr>
        <w:t>潜江龙虾和潜江虾稻</w:t>
      </w:r>
      <w:r>
        <w:rPr>
          <w:rFonts w:hint="eastAsia" w:ascii="Times New Roman" w:hAnsi="Times New Roman" w:eastAsia="仿宋_GB2312" w:cs="Times New Roman"/>
          <w:kern w:val="2"/>
          <w:sz w:val="32"/>
          <w:szCs w:val="24"/>
          <w:lang w:val="en-US" w:eastAsia="zh-CN" w:bidi="ar-SA"/>
        </w:rPr>
        <w:t>双轮驱动战略，推进绿色优质水稻生产基地建设，</w:t>
      </w:r>
      <w:r>
        <w:rPr>
          <w:rFonts w:hint="eastAsia" w:eastAsia="仿宋_GB2312" w:cs="Times New Roman"/>
          <w:kern w:val="2"/>
          <w:sz w:val="32"/>
          <w:szCs w:val="24"/>
          <w:lang w:val="en-US" w:eastAsia="zh-CN" w:bidi="ar-SA"/>
        </w:rPr>
        <w:t>推进</w:t>
      </w:r>
      <w:r>
        <w:rPr>
          <w:rFonts w:hint="eastAsia" w:ascii="Times New Roman" w:hAnsi="Times New Roman" w:eastAsia="仿宋_GB2312" w:cs="Times New Roman"/>
          <w:kern w:val="2"/>
          <w:sz w:val="32"/>
          <w:szCs w:val="24"/>
          <w:lang w:val="en-US" w:eastAsia="zh-CN" w:bidi="ar-SA"/>
        </w:rPr>
        <w:t>积玉口</w:t>
      </w:r>
      <w:r>
        <w:rPr>
          <w:rFonts w:hint="eastAsia" w:eastAsia="仿宋_GB2312" w:cs="Times New Roman"/>
          <w:kern w:val="2"/>
          <w:sz w:val="32"/>
          <w:szCs w:val="24"/>
          <w:lang w:val="en-US" w:eastAsia="zh-CN" w:bidi="ar-SA"/>
        </w:rPr>
        <w:t>镇</w:t>
      </w:r>
      <w:r>
        <w:rPr>
          <w:rFonts w:hint="eastAsia" w:ascii="Times New Roman" w:hAnsi="Times New Roman" w:eastAsia="仿宋_GB2312" w:cs="Times New Roman"/>
          <w:kern w:val="2"/>
          <w:sz w:val="32"/>
          <w:szCs w:val="24"/>
          <w:lang w:val="en-US" w:eastAsia="zh-CN" w:bidi="ar-SA"/>
        </w:rPr>
        <w:t>、龙湾</w:t>
      </w:r>
      <w:r>
        <w:rPr>
          <w:rFonts w:hint="eastAsia" w:eastAsia="仿宋_GB2312" w:cs="Times New Roman"/>
          <w:kern w:val="2"/>
          <w:sz w:val="32"/>
          <w:szCs w:val="24"/>
          <w:lang w:val="en-US" w:eastAsia="zh-CN" w:bidi="ar-SA"/>
        </w:rPr>
        <w:t>镇</w:t>
      </w:r>
      <w:r>
        <w:rPr>
          <w:rFonts w:hint="eastAsia" w:ascii="Times New Roman" w:hAnsi="Times New Roman" w:eastAsia="仿宋_GB2312" w:cs="Times New Roman"/>
          <w:kern w:val="2"/>
          <w:sz w:val="32"/>
          <w:szCs w:val="24"/>
          <w:lang w:val="en-US" w:eastAsia="zh-CN" w:bidi="ar-SA"/>
        </w:rPr>
        <w:t>、熊口</w:t>
      </w:r>
      <w:r>
        <w:rPr>
          <w:rFonts w:hint="eastAsia" w:eastAsia="仿宋_GB2312" w:cs="Times New Roman"/>
          <w:kern w:val="2"/>
          <w:sz w:val="32"/>
          <w:szCs w:val="24"/>
          <w:lang w:val="en-US" w:eastAsia="zh-CN" w:bidi="ar-SA"/>
        </w:rPr>
        <w:t>镇</w:t>
      </w:r>
      <w:r>
        <w:rPr>
          <w:rFonts w:hint="eastAsia" w:ascii="Times New Roman" w:hAnsi="Times New Roman" w:eastAsia="仿宋_GB2312" w:cs="Times New Roman"/>
          <w:kern w:val="2"/>
          <w:sz w:val="32"/>
          <w:szCs w:val="24"/>
          <w:lang w:val="en-US" w:eastAsia="zh-CN" w:bidi="ar-SA"/>
        </w:rPr>
        <w:t>、白鹭湖</w:t>
      </w:r>
      <w:r>
        <w:rPr>
          <w:rFonts w:hint="eastAsia" w:eastAsia="仿宋_GB2312" w:cs="Times New Roman"/>
          <w:kern w:val="2"/>
          <w:sz w:val="32"/>
          <w:szCs w:val="24"/>
          <w:lang w:val="en-US" w:eastAsia="zh-CN" w:bidi="ar-SA"/>
        </w:rPr>
        <w:t>管理区</w:t>
      </w:r>
      <w:r>
        <w:rPr>
          <w:rFonts w:hint="eastAsia" w:ascii="Times New Roman" w:hAnsi="Times New Roman" w:eastAsia="仿宋_GB2312" w:cs="Times New Roman"/>
          <w:kern w:val="2"/>
          <w:sz w:val="32"/>
          <w:szCs w:val="24"/>
          <w:lang w:val="en-US" w:eastAsia="zh-CN" w:bidi="ar-SA"/>
        </w:rPr>
        <w:t>、运粮湖</w:t>
      </w:r>
      <w:r>
        <w:rPr>
          <w:rFonts w:hint="eastAsia" w:eastAsia="仿宋_GB2312" w:cs="Times New Roman"/>
          <w:kern w:val="2"/>
          <w:sz w:val="32"/>
          <w:szCs w:val="24"/>
          <w:lang w:val="en-US" w:eastAsia="zh-CN" w:bidi="ar-SA"/>
        </w:rPr>
        <w:t>管理区</w:t>
      </w:r>
      <w:r>
        <w:rPr>
          <w:rFonts w:hint="eastAsia" w:ascii="Times New Roman" w:hAnsi="Times New Roman" w:eastAsia="仿宋_GB2312" w:cs="Times New Roman"/>
          <w:kern w:val="2"/>
          <w:sz w:val="32"/>
          <w:szCs w:val="24"/>
          <w:lang w:val="en-US" w:eastAsia="zh-CN" w:bidi="ar-SA"/>
        </w:rPr>
        <w:t>和浩口</w:t>
      </w:r>
      <w:r>
        <w:rPr>
          <w:rFonts w:hint="eastAsia" w:eastAsia="仿宋_GB2312" w:cs="Times New Roman"/>
          <w:kern w:val="2"/>
          <w:sz w:val="32"/>
          <w:szCs w:val="24"/>
          <w:lang w:val="en-US" w:eastAsia="zh-CN" w:bidi="ar-SA"/>
        </w:rPr>
        <w:t>镇</w:t>
      </w:r>
      <w:r>
        <w:rPr>
          <w:rFonts w:hint="eastAsia" w:ascii="Times New Roman" w:hAnsi="Times New Roman" w:eastAsia="仿宋_GB2312" w:cs="Times New Roman"/>
          <w:kern w:val="2"/>
          <w:sz w:val="32"/>
          <w:szCs w:val="24"/>
          <w:lang w:val="en-US" w:eastAsia="zh-CN" w:bidi="ar-SA"/>
        </w:rPr>
        <w:t>等地建设13个万亩连片现代化虾稻共作核心示范基地，</w:t>
      </w:r>
      <w:r>
        <w:rPr>
          <w:rFonts w:hint="eastAsia" w:eastAsia="仿宋_GB2312" w:cs="Times New Roman"/>
          <w:kern w:val="2"/>
          <w:sz w:val="32"/>
          <w:szCs w:val="24"/>
          <w:lang w:val="en-US" w:eastAsia="zh-CN" w:bidi="ar-SA"/>
        </w:rPr>
        <w:t>推动</w:t>
      </w:r>
      <w:r>
        <w:rPr>
          <w:rFonts w:hint="eastAsia" w:ascii="Times New Roman" w:hAnsi="Times New Roman" w:eastAsia="仿宋_GB2312" w:cs="Times New Roman"/>
          <w:kern w:val="2"/>
          <w:sz w:val="32"/>
          <w:szCs w:val="24"/>
          <w:lang w:val="en-US" w:eastAsia="zh-CN" w:bidi="ar-SA"/>
        </w:rPr>
        <w:t>虾稻共作基地标准化、规模化</w:t>
      </w:r>
      <w:r>
        <w:rPr>
          <w:rFonts w:hint="eastAsia" w:eastAsia="仿宋_GB2312" w:cs="Times New Roman"/>
          <w:kern w:val="2"/>
          <w:sz w:val="32"/>
          <w:szCs w:val="24"/>
          <w:lang w:val="en-US" w:eastAsia="zh-CN" w:bidi="ar-SA"/>
        </w:rPr>
        <w:t>和</w:t>
      </w:r>
      <w:r>
        <w:rPr>
          <w:rFonts w:hint="eastAsia" w:ascii="Times New Roman" w:hAnsi="Times New Roman" w:eastAsia="仿宋_GB2312" w:cs="Times New Roman"/>
          <w:kern w:val="2"/>
          <w:sz w:val="32"/>
          <w:szCs w:val="24"/>
          <w:lang w:val="en-US" w:eastAsia="zh-CN" w:bidi="ar-SA"/>
        </w:rPr>
        <w:t>专业化发展。推广优质虾稻品种，实现优质品种应用率100%。实行专种、专收、专储</w:t>
      </w:r>
      <w:r>
        <w:rPr>
          <w:rFonts w:hint="eastAsia" w:eastAsia="仿宋_GB2312" w:cs="Times New Roman"/>
          <w:kern w:val="2"/>
          <w:sz w:val="32"/>
          <w:szCs w:val="24"/>
          <w:lang w:val="en-US" w:eastAsia="zh-CN" w:bidi="ar-SA"/>
        </w:rPr>
        <w:t>、</w:t>
      </w:r>
      <w:r>
        <w:rPr>
          <w:rFonts w:hint="eastAsia" w:ascii="Times New Roman" w:hAnsi="Times New Roman" w:eastAsia="仿宋_GB2312" w:cs="Times New Roman"/>
          <w:kern w:val="2"/>
          <w:sz w:val="32"/>
          <w:szCs w:val="24"/>
          <w:lang w:val="en-US" w:eastAsia="zh-CN" w:bidi="ar-SA"/>
        </w:rPr>
        <w:t>专加，拓展虾稻共（连）作种养模式，推广具有潜江特色的稻田高效种养模式。</w:t>
      </w:r>
    </w:p>
    <w:p>
      <w:pPr>
        <w:pStyle w:val="23"/>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eastAsia="仿宋_GB2312" w:cs="Times New Roman"/>
          <w:kern w:val="2"/>
          <w:sz w:val="32"/>
          <w:szCs w:val="24"/>
          <w:highlight w:val="none"/>
          <w:lang w:val="en-US" w:eastAsia="zh-CN" w:bidi="ar-SA"/>
        </w:rPr>
      </w:pPr>
      <w:r>
        <w:rPr>
          <w:rFonts w:hint="eastAsia" w:eastAsia="仿宋_GB2312" w:cs="Times New Roman"/>
          <w:kern w:val="2"/>
          <w:sz w:val="32"/>
          <w:szCs w:val="24"/>
          <w:highlight w:val="none"/>
          <w:lang w:val="en-US" w:eastAsia="zh-CN" w:bidi="ar-SA"/>
        </w:rPr>
        <w:t>大力实施潜江虾稻产业发展“走出去”战略，支持龙头企业、专业合作社、种养大户和高素质农民走出去，通过自建、领建规模化、标准化虾稻共作基地，扩张潜江虾稻产业腹地。到2025年，</w:t>
      </w:r>
      <w:r>
        <w:rPr>
          <w:rFonts w:hint="eastAsia" w:ascii="Times New Roman" w:hAnsi="Times New Roman" w:eastAsia="仿宋_GB2312" w:cs="Times New Roman"/>
          <w:kern w:val="2"/>
          <w:sz w:val="32"/>
          <w:szCs w:val="24"/>
          <w:highlight w:val="none"/>
          <w:lang w:val="en-US" w:eastAsia="zh-CN" w:bidi="ar-SA"/>
        </w:rPr>
        <w:t>全市虾稻</w:t>
      </w:r>
      <w:r>
        <w:rPr>
          <w:rFonts w:hint="eastAsia" w:eastAsia="仿宋_GB2312" w:cs="Times New Roman"/>
          <w:kern w:val="2"/>
          <w:sz w:val="32"/>
          <w:szCs w:val="24"/>
          <w:highlight w:val="none"/>
          <w:lang w:val="en-US" w:eastAsia="zh-CN" w:bidi="ar-SA"/>
        </w:rPr>
        <w:t>产业</w:t>
      </w:r>
      <w:r>
        <w:rPr>
          <w:rFonts w:hint="eastAsia" w:ascii="Times New Roman" w:hAnsi="Times New Roman" w:eastAsia="仿宋_GB2312" w:cs="Times New Roman"/>
          <w:kern w:val="2"/>
          <w:sz w:val="32"/>
          <w:szCs w:val="24"/>
          <w:highlight w:val="none"/>
          <w:lang w:val="en-US" w:eastAsia="zh-CN" w:bidi="ar-SA"/>
        </w:rPr>
        <w:t>综合生产能力进一步提升，种植面积</w:t>
      </w:r>
      <w:r>
        <w:rPr>
          <w:rFonts w:hint="eastAsia" w:eastAsia="仿宋_GB2312" w:cs="Times New Roman"/>
          <w:kern w:val="2"/>
          <w:sz w:val="32"/>
          <w:szCs w:val="24"/>
          <w:highlight w:val="none"/>
          <w:lang w:val="en-US" w:eastAsia="zh-CN" w:bidi="ar-SA"/>
        </w:rPr>
        <w:t>85</w:t>
      </w:r>
      <w:r>
        <w:rPr>
          <w:rFonts w:hint="eastAsia" w:ascii="Times New Roman" w:hAnsi="Times New Roman" w:eastAsia="仿宋_GB2312" w:cs="Times New Roman"/>
          <w:kern w:val="2"/>
          <w:sz w:val="32"/>
          <w:szCs w:val="24"/>
          <w:highlight w:val="none"/>
          <w:lang w:val="en-US" w:eastAsia="zh-CN" w:bidi="ar-SA"/>
        </w:rPr>
        <w:t>万亩，产量</w:t>
      </w:r>
      <w:r>
        <w:rPr>
          <w:rFonts w:hint="eastAsia" w:eastAsia="仿宋_GB2312" w:cs="Times New Roman"/>
          <w:kern w:val="2"/>
          <w:sz w:val="32"/>
          <w:szCs w:val="24"/>
          <w:highlight w:val="none"/>
          <w:lang w:val="en-US" w:eastAsia="zh-CN" w:bidi="ar-SA"/>
        </w:rPr>
        <w:t>47</w:t>
      </w:r>
      <w:r>
        <w:rPr>
          <w:rFonts w:hint="eastAsia" w:ascii="Times New Roman" w:hAnsi="Times New Roman" w:eastAsia="仿宋_GB2312" w:cs="Times New Roman"/>
          <w:kern w:val="2"/>
          <w:sz w:val="32"/>
          <w:szCs w:val="24"/>
          <w:highlight w:val="none"/>
          <w:lang w:val="en-US" w:eastAsia="zh-CN" w:bidi="ar-SA"/>
        </w:rPr>
        <w:t>万吨</w:t>
      </w:r>
      <w:r>
        <w:rPr>
          <w:rFonts w:hint="eastAsia" w:eastAsia="仿宋_GB2312" w:cs="Times New Roman"/>
          <w:kern w:val="2"/>
          <w:sz w:val="32"/>
          <w:szCs w:val="24"/>
          <w:highlight w:val="none"/>
          <w:lang w:val="en-US" w:eastAsia="zh-CN" w:bidi="ar-SA"/>
        </w:rPr>
        <w:t>；带动市外发展“虾稻共作”面积50万亩。</w:t>
      </w:r>
    </w:p>
    <w:p>
      <w:pPr>
        <w:pStyle w:val="23"/>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eastAsia="仿宋_GB2312" w:cs="Times New Roman"/>
          <w:kern w:val="2"/>
          <w:sz w:val="32"/>
          <w:szCs w:val="24"/>
          <w:highlight w:val="none"/>
          <w:lang w:val="en-US" w:eastAsia="zh-CN" w:bidi="ar-SA"/>
        </w:rPr>
      </w:pPr>
      <w:r>
        <w:rPr>
          <w:rFonts w:hint="eastAsia" w:ascii="仿宋_GB2312" w:hAnsi="微软雅黑" w:eastAsia="仿宋_GB2312" w:cs="宋体"/>
          <w:kern w:val="0"/>
          <w:sz w:val="32"/>
          <w:szCs w:val="32"/>
          <w:highlight w:val="none"/>
          <w:lang w:val="en-US" w:eastAsia="zh-CN"/>
        </w:rPr>
        <w:t>统筹全市</w:t>
      </w:r>
      <w:r>
        <w:rPr>
          <w:rFonts w:hint="eastAsia" w:ascii="仿宋_GB2312" w:hAnsi="微软雅黑" w:eastAsia="仿宋_GB2312" w:cs="宋体"/>
          <w:kern w:val="0"/>
          <w:sz w:val="32"/>
          <w:szCs w:val="32"/>
          <w:highlight w:val="none"/>
        </w:rPr>
        <w:t>现有粮食加工企业，支持企业引进先进技术和设备生产线发展粮食精深加工</w:t>
      </w:r>
      <w:r>
        <w:rPr>
          <w:rFonts w:hint="eastAsia" w:ascii="仿宋_GB2312" w:hAnsi="微软雅黑" w:eastAsia="仿宋_GB2312" w:cs="宋体"/>
          <w:kern w:val="0"/>
          <w:sz w:val="32"/>
          <w:szCs w:val="32"/>
          <w:highlight w:val="none"/>
          <w:lang w:eastAsia="zh-CN"/>
        </w:rPr>
        <w:t>。</w:t>
      </w:r>
      <w:r>
        <w:rPr>
          <w:rFonts w:hint="eastAsia" w:ascii="仿宋_GB2312" w:hAnsi="微软雅黑" w:eastAsia="仿宋_GB2312" w:cs="宋体"/>
          <w:kern w:val="0"/>
          <w:sz w:val="32"/>
          <w:szCs w:val="32"/>
          <w:highlight w:val="none"/>
        </w:rPr>
        <w:t>加大招商引资力度，力争引进国家级粮食加工企业</w:t>
      </w:r>
      <w:r>
        <w:rPr>
          <w:rFonts w:hint="eastAsia" w:ascii="仿宋_GB2312" w:hAnsi="微软雅黑" w:eastAsia="仿宋_GB2312" w:cs="宋体"/>
          <w:kern w:val="0"/>
          <w:sz w:val="32"/>
          <w:szCs w:val="32"/>
          <w:highlight w:val="none"/>
          <w:lang w:eastAsia="zh-CN"/>
        </w:rPr>
        <w:t>。</w:t>
      </w:r>
      <w:r>
        <w:rPr>
          <w:rFonts w:hint="eastAsia" w:ascii="仿宋_GB2312" w:hAnsi="微软雅黑" w:eastAsia="仿宋_GB2312" w:cs="宋体"/>
          <w:kern w:val="0"/>
          <w:sz w:val="32"/>
          <w:szCs w:val="32"/>
          <w:highlight w:val="none"/>
          <w:lang w:val="en-US" w:eastAsia="zh-CN"/>
        </w:rPr>
        <w:t>推动成立湖北省虾稻大米产业技术研究院，推动虾稻加工向保健、化工、医药和生物等领域拓展，推广运用粮食加工新技术、新装备、新工艺和新模式。建立智能化生产线和标准化仓库、建设虾稻大米产品检测中心，着力开发虾稻精深加工产品，增加虾稻专用米、专用粉和专用油的有效供给，积极开发婴儿、孕妇和老年群体适用的功能性产品、年轻群体喜爱的速食类产品。</w:t>
      </w:r>
      <w:r>
        <w:rPr>
          <w:rFonts w:hint="eastAsia" w:eastAsia="仿宋_GB2312" w:cs="Times New Roman"/>
          <w:kern w:val="2"/>
          <w:sz w:val="32"/>
          <w:szCs w:val="24"/>
          <w:highlight w:val="none"/>
          <w:lang w:val="en-US" w:eastAsia="zh-CN" w:bidi="ar-SA"/>
        </w:rPr>
        <w:t>到2025年，实现虾稻综合加工利用率100%，产品附加值提升15%，虾稻加工链条更加完备。</w:t>
      </w:r>
    </w:p>
    <w:p>
      <w:pPr>
        <w:pStyle w:val="23"/>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eastAsia="楷体" w:cs="Times New Roman"/>
          <w:b/>
          <w:bCs/>
          <w:color w:val="auto"/>
          <w:sz w:val="32"/>
          <w:szCs w:val="40"/>
          <w:highlight w:val="none"/>
          <w:lang w:val="en-US" w:eastAsia="zh-CN"/>
        </w:rPr>
      </w:pPr>
      <w:r>
        <w:rPr>
          <w:rFonts w:hint="eastAsia" w:eastAsia="仿宋_GB2312" w:cs="Times New Roman"/>
          <w:b w:val="0"/>
          <w:bCs w:val="0"/>
          <w:kern w:val="2"/>
          <w:sz w:val="32"/>
          <w:szCs w:val="24"/>
          <w:lang w:val="en-US" w:eastAsia="zh-CN" w:bidi="ar-SA"/>
        </w:rPr>
        <w:t>强化虾稻全产业溯源管理，推动虾稻产品溯源区块链系统建设，实现“一品一码”，产品包装辨识度达到100%。依托“潜江虾稻”中国驰名商标优势，构建完善“区域公用品牌+企业产品品牌”的运行模式。鼓励龙头企业参与品牌整合营销，实施品牌重塑、形象提档、包装升级、样板市场打造和广告宣传等行动，提高品牌知名度和市场竞争力，争创“中国好粮油”“荆楚好粮油”等优质品牌。积极参加“中国十大名米”“湖北十大名米”评选活动，打造湖北乃至全国粮油领军品牌。统筹曹禺文化、章华台楚文化和水乡园林自然禀赋，挖掘虾稻产业文化，加快建设潜江虾稻产业园，推进虾稻大数据中心提档升级，推动虾稻产业发展与美丽乡村建设、乡村旅游有机融合。围绕打造两湖平原、汉江流域特色农产品会展中心，逐步将潜江打造成为华中地区粮油仓储物流中心。</w:t>
      </w:r>
      <w:r>
        <w:rPr>
          <w:rFonts w:hint="eastAsia" w:ascii="Times New Roman" w:hAnsi="Times New Roman" w:eastAsia="仿宋_GB2312" w:cs="Times New Roman"/>
          <w:kern w:val="2"/>
          <w:sz w:val="32"/>
          <w:szCs w:val="24"/>
          <w:lang w:val="en-US" w:eastAsia="zh-CN" w:bidi="ar-SA"/>
        </w:rPr>
        <w:t>到202</w:t>
      </w:r>
      <w:r>
        <w:rPr>
          <w:rFonts w:hint="eastAsia" w:eastAsia="仿宋_GB2312" w:cs="Times New Roman"/>
          <w:kern w:val="2"/>
          <w:sz w:val="32"/>
          <w:szCs w:val="24"/>
          <w:lang w:val="en-US" w:eastAsia="zh-CN" w:bidi="ar-SA"/>
        </w:rPr>
        <w:t>5</w:t>
      </w:r>
      <w:r>
        <w:rPr>
          <w:rFonts w:hint="eastAsia" w:ascii="Times New Roman" w:hAnsi="Times New Roman" w:eastAsia="仿宋_GB2312" w:cs="Times New Roman"/>
          <w:kern w:val="2"/>
          <w:sz w:val="32"/>
          <w:szCs w:val="24"/>
          <w:lang w:val="en-US" w:eastAsia="zh-CN" w:bidi="ar-SA"/>
        </w:rPr>
        <w:t>年，</w:t>
      </w:r>
      <w:r>
        <w:rPr>
          <w:rFonts w:hint="eastAsia" w:eastAsia="仿宋_GB2312" w:cs="Times New Roman"/>
          <w:kern w:val="2"/>
          <w:sz w:val="32"/>
          <w:szCs w:val="24"/>
          <w:lang w:val="en-US" w:eastAsia="zh-CN" w:bidi="ar-SA"/>
        </w:rPr>
        <w:t>潜江虾稻全产业链</w:t>
      </w:r>
      <w:r>
        <w:rPr>
          <w:rFonts w:hint="eastAsia" w:ascii="Times New Roman" w:hAnsi="Times New Roman" w:eastAsia="仿宋_GB2312" w:cs="Times New Roman"/>
          <w:kern w:val="2"/>
          <w:sz w:val="32"/>
          <w:szCs w:val="24"/>
          <w:lang w:val="en-US" w:eastAsia="zh-CN" w:bidi="ar-SA"/>
        </w:rPr>
        <w:t>综合产值</w:t>
      </w:r>
      <w:r>
        <w:rPr>
          <w:rFonts w:hint="eastAsia" w:eastAsia="仿宋_GB2312" w:cs="Times New Roman"/>
          <w:kern w:val="2"/>
          <w:sz w:val="32"/>
          <w:szCs w:val="24"/>
          <w:lang w:val="en-US" w:eastAsia="zh-CN" w:bidi="ar-SA"/>
        </w:rPr>
        <w:t>达到200</w:t>
      </w:r>
      <w:r>
        <w:rPr>
          <w:rFonts w:hint="eastAsia" w:ascii="Times New Roman" w:hAnsi="Times New Roman" w:eastAsia="仿宋_GB2312" w:cs="Times New Roman"/>
          <w:kern w:val="2"/>
          <w:sz w:val="32"/>
          <w:szCs w:val="24"/>
          <w:lang w:val="en-US" w:eastAsia="zh-CN" w:bidi="ar-SA"/>
        </w:rPr>
        <w:t>亿元</w:t>
      </w:r>
      <w:r>
        <w:rPr>
          <w:rFonts w:hint="eastAsia" w:eastAsia="仿宋_GB2312" w:cs="Times New Roman"/>
          <w:kern w:val="2"/>
          <w:sz w:val="32"/>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eastAsia="楷体" w:cs="Times New Roman"/>
          <w:b/>
          <w:bCs/>
          <w:color w:val="auto"/>
          <w:sz w:val="32"/>
          <w:szCs w:val="40"/>
          <w:lang w:val="en-US" w:eastAsia="zh-CN"/>
        </w:rPr>
      </w:pPr>
      <w:r>
        <w:rPr>
          <w:rFonts w:hint="eastAsia" w:eastAsia="楷体" w:cs="Times New Roman"/>
          <w:b/>
          <w:bCs/>
          <w:color w:val="auto"/>
          <w:sz w:val="32"/>
          <w:szCs w:val="40"/>
          <w:lang w:val="en-US" w:eastAsia="zh-CN"/>
        </w:rPr>
        <w:t xml:space="preserve">3.潜江半夏产业链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cs="Times New Roman"/>
          <w:kern w:val="2"/>
          <w:sz w:val="32"/>
          <w:szCs w:val="24"/>
          <w:highlight w:val="none"/>
          <w:lang w:val="en-US" w:eastAsia="zh-CN" w:bidi="ar-SA"/>
        </w:rPr>
      </w:pPr>
      <w:r>
        <w:rPr>
          <w:rFonts w:hint="eastAsia" w:cs="Times New Roman"/>
          <w:kern w:val="2"/>
          <w:sz w:val="32"/>
          <w:szCs w:val="24"/>
          <w:highlight w:val="none"/>
          <w:lang w:val="en-US" w:eastAsia="zh-CN" w:bidi="ar-SA"/>
        </w:rPr>
        <w:t>推进以</w:t>
      </w:r>
      <w:r>
        <w:rPr>
          <w:rFonts w:hint="eastAsia" w:ascii="Times New Roman" w:hAnsi="Times New Roman" w:eastAsia="仿宋_GB2312" w:cs="Times New Roman"/>
          <w:kern w:val="2"/>
          <w:sz w:val="32"/>
          <w:szCs w:val="24"/>
          <w:highlight w:val="none"/>
          <w:lang w:val="en-US" w:eastAsia="zh-CN" w:bidi="ar-SA"/>
        </w:rPr>
        <w:t>王场</w:t>
      </w:r>
      <w:r>
        <w:rPr>
          <w:rFonts w:hint="eastAsia" w:cs="Times New Roman"/>
          <w:kern w:val="2"/>
          <w:sz w:val="32"/>
          <w:szCs w:val="24"/>
          <w:highlight w:val="none"/>
          <w:lang w:val="en-US" w:eastAsia="zh-CN" w:bidi="ar-SA"/>
        </w:rPr>
        <w:t>镇</w:t>
      </w:r>
      <w:r>
        <w:rPr>
          <w:rFonts w:hint="eastAsia" w:ascii="Times New Roman" w:hAnsi="Times New Roman" w:eastAsia="仿宋_GB2312" w:cs="Times New Roman"/>
          <w:kern w:val="2"/>
          <w:sz w:val="32"/>
          <w:szCs w:val="24"/>
          <w:highlight w:val="none"/>
          <w:lang w:val="en-US" w:eastAsia="zh-CN" w:bidi="ar-SA"/>
        </w:rPr>
        <w:t>、周矶</w:t>
      </w:r>
      <w:r>
        <w:rPr>
          <w:rFonts w:hint="eastAsia" w:cs="Times New Roman"/>
          <w:kern w:val="2"/>
          <w:sz w:val="32"/>
          <w:szCs w:val="24"/>
          <w:highlight w:val="none"/>
          <w:lang w:val="en-US" w:eastAsia="zh-CN" w:bidi="ar-SA"/>
        </w:rPr>
        <w:t>管理区</w:t>
      </w:r>
      <w:r>
        <w:rPr>
          <w:rFonts w:hint="eastAsia" w:ascii="Times New Roman" w:hAnsi="Times New Roman" w:eastAsia="仿宋_GB2312" w:cs="Times New Roman"/>
          <w:kern w:val="2"/>
          <w:sz w:val="32"/>
          <w:szCs w:val="24"/>
          <w:highlight w:val="none"/>
          <w:lang w:val="en-US" w:eastAsia="zh-CN" w:bidi="ar-SA"/>
        </w:rPr>
        <w:t>、竹根滩</w:t>
      </w:r>
      <w:r>
        <w:rPr>
          <w:rFonts w:hint="eastAsia" w:cs="Times New Roman"/>
          <w:kern w:val="2"/>
          <w:sz w:val="32"/>
          <w:szCs w:val="24"/>
          <w:highlight w:val="none"/>
          <w:lang w:val="en-US" w:eastAsia="zh-CN" w:bidi="ar-SA"/>
        </w:rPr>
        <w:t>镇</w:t>
      </w:r>
      <w:r>
        <w:rPr>
          <w:rFonts w:hint="eastAsia" w:ascii="Times New Roman" w:hAnsi="Times New Roman" w:eastAsia="仿宋_GB2312" w:cs="Times New Roman"/>
          <w:kern w:val="2"/>
          <w:sz w:val="32"/>
          <w:szCs w:val="24"/>
          <w:highlight w:val="none"/>
          <w:lang w:val="en-US" w:eastAsia="zh-CN" w:bidi="ar-SA"/>
        </w:rPr>
        <w:t>、浩口</w:t>
      </w:r>
      <w:r>
        <w:rPr>
          <w:rFonts w:hint="eastAsia" w:cs="Times New Roman"/>
          <w:kern w:val="2"/>
          <w:sz w:val="32"/>
          <w:szCs w:val="24"/>
          <w:highlight w:val="none"/>
          <w:lang w:val="en-US" w:eastAsia="zh-CN" w:bidi="ar-SA"/>
        </w:rPr>
        <w:t>镇</w:t>
      </w:r>
      <w:r>
        <w:rPr>
          <w:rFonts w:hint="eastAsia" w:ascii="Times New Roman" w:hAnsi="Times New Roman" w:eastAsia="仿宋_GB2312" w:cs="Times New Roman"/>
          <w:kern w:val="2"/>
          <w:sz w:val="32"/>
          <w:szCs w:val="24"/>
          <w:highlight w:val="none"/>
          <w:lang w:val="en-US" w:eastAsia="zh-CN" w:bidi="ar-SA"/>
        </w:rPr>
        <w:t>、老新</w:t>
      </w:r>
      <w:r>
        <w:rPr>
          <w:rFonts w:hint="eastAsia" w:cs="Times New Roman"/>
          <w:kern w:val="2"/>
          <w:sz w:val="32"/>
          <w:szCs w:val="24"/>
          <w:highlight w:val="none"/>
          <w:lang w:val="en-US" w:eastAsia="zh-CN" w:bidi="ar-SA"/>
        </w:rPr>
        <w:t>镇</w:t>
      </w:r>
      <w:r>
        <w:rPr>
          <w:rFonts w:hint="eastAsia" w:ascii="Times New Roman" w:hAnsi="Times New Roman" w:eastAsia="仿宋_GB2312" w:cs="Times New Roman"/>
          <w:kern w:val="2"/>
          <w:sz w:val="32"/>
          <w:szCs w:val="24"/>
          <w:highlight w:val="none"/>
          <w:lang w:val="en-US" w:eastAsia="zh-CN" w:bidi="ar-SA"/>
        </w:rPr>
        <w:t>和渔洋</w:t>
      </w:r>
      <w:r>
        <w:rPr>
          <w:rFonts w:hint="eastAsia" w:cs="Times New Roman"/>
          <w:kern w:val="2"/>
          <w:sz w:val="32"/>
          <w:szCs w:val="24"/>
          <w:highlight w:val="none"/>
          <w:lang w:val="en-US" w:eastAsia="zh-CN" w:bidi="ar-SA"/>
        </w:rPr>
        <w:t>镇</w:t>
      </w:r>
      <w:r>
        <w:rPr>
          <w:rFonts w:hint="eastAsia" w:ascii="Times New Roman" w:hAnsi="Times New Roman" w:eastAsia="仿宋_GB2312" w:cs="Times New Roman"/>
          <w:kern w:val="2"/>
          <w:sz w:val="32"/>
          <w:szCs w:val="24"/>
          <w:highlight w:val="none"/>
          <w:lang w:val="en-US" w:eastAsia="zh-CN" w:bidi="ar-SA"/>
        </w:rPr>
        <w:t>等为重点</w:t>
      </w:r>
      <w:r>
        <w:rPr>
          <w:rFonts w:hint="eastAsia" w:cs="Times New Roman"/>
          <w:kern w:val="2"/>
          <w:sz w:val="32"/>
          <w:szCs w:val="24"/>
          <w:highlight w:val="none"/>
          <w:lang w:val="en-US" w:eastAsia="zh-CN" w:bidi="ar-SA"/>
        </w:rPr>
        <w:t>的</w:t>
      </w:r>
      <w:r>
        <w:rPr>
          <w:rFonts w:hint="eastAsia" w:ascii="Times New Roman" w:hAnsi="Times New Roman" w:eastAsia="仿宋_GB2312" w:cs="Times New Roman"/>
          <w:kern w:val="2"/>
          <w:sz w:val="32"/>
          <w:szCs w:val="24"/>
          <w:highlight w:val="none"/>
          <w:lang w:val="en-US" w:eastAsia="zh-CN" w:bidi="ar-SA"/>
        </w:rPr>
        <w:t>潜</w:t>
      </w:r>
      <w:r>
        <w:rPr>
          <w:rFonts w:hint="eastAsia" w:cs="Times New Roman"/>
          <w:kern w:val="2"/>
          <w:sz w:val="32"/>
          <w:szCs w:val="24"/>
          <w:highlight w:val="none"/>
          <w:lang w:val="en-US" w:eastAsia="zh-CN" w:bidi="ar-SA"/>
        </w:rPr>
        <w:t>江</w:t>
      </w:r>
      <w:r>
        <w:rPr>
          <w:rFonts w:hint="eastAsia" w:ascii="Times New Roman" w:hAnsi="Times New Roman" w:eastAsia="仿宋_GB2312" w:cs="Times New Roman"/>
          <w:kern w:val="2"/>
          <w:sz w:val="32"/>
          <w:szCs w:val="24"/>
          <w:highlight w:val="none"/>
          <w:lang w:val="en-US" w:eastAsia="zh-CN" w:bidi="ar-SA"/>
        </w:rPr>
        <w:t>半夏产业发展</w:t>
      </w:r>
      <w:r>
        <w:rPr>
          <w:rFonts w:hint="eastAsia" w:cs="Times New Roman"/>
          <w:kern w:val="2"/>
          <w:sz w:val="32"/>
          <w:szCs w:val="24"/>
          <w:highlight w:val="none"/>
          <w:lang w:val="en-US" w:eastAsia="zh-CN" w:bidi="ar-SA"/>
        </w:rPr>
        <w:t>，打造</w:t>
      </w:r>
      <w:r>
        <w:rPr>
          <w:rFonts w:hint="eastAsia" w:ascii="Times New Roman" w:hAnsi="Times New Roman" w:cs="Times New Roman"/>
          <w:color w:val="000000"/>
          <w:kern w:val="0"/>
          <w:sz w:val="32"/>
          <w:szCs w:val="32"/>
          <w:highlight w:val="none"/>
          <w:lang w:val="en-US" w:eastAsia="zh-CN"/>
        </w:rPr>
        <w:t>一批集中</w:t>
      </w:r>
      <w:r>
        <w:rPr>
          <w:rFonts w:ascii="Times New Roman" w:hAnsi="Times New Roman" w:eastAsia="仿宋_GB2312" w:cs="Times New Roman"/>
          <w:color w:val="000000"/>
          <w:kern w:val="0"/>
          <w:sz w:val="32"/>
          <w:szCs w:val="32"/>
          <w:highlight w:val="none"/>
        </w:rPr>
        <w:t>连片</w:t>
      </w:r>
      <w:r>
        <w:rPr>
          <w:rFonts w:hint="eastAsia" w:cs="Times New Roman"/>
          <w:color w:val="000000"/>
          <w:kern w:val="0"/>
          <w:sz w:val="32"/>
          <w:szCs w:val="32"/>
          <w:highlight w:val="none"/>
          <w:lang w:val="en-US" w:eastAsia="zh-CN"/>
        </w:rPr>
        <w:t>的</w:t>
      </w:r>
      <w:r>
        <w:rPr>
          <w:rFonts w:ascii="Times New Roman" w:hAnsi="Times New Roman" w:eastAsia="仿宋_GB2312" w:cs="Times New Roman"/>
          <w:color w:val="000000"/>
          <w:sz w:val="32"/>
          <w:szCs w:val="32"/>
          <w:highlight w:val="none"/>
        </w:rPr>
        <w:t>规范化标准化生产基地</w:t>
      </w:r>
      <w:r>
        <w:rPr>
          <w:rFonts w:hint="eastAsia" w:ascii="Times New Roman" w:hAnsi="Times New Roman" w:cs="Times New Roman"/>
          <w:color w:val="000000"/>
          <w:sz w:val="32"/>
          <w:szCs w:val="32"/>
          <w:highlight w:val="none"/>
          <w:lang w:eastAsia="zh-CN"/>
        </w:rPr>
        <w:t>。</w:t>
      </w:r>
      <w:r>
        <w:rPr>
          <w:rFonts w:hint="eastAsia" w:ascii="Times New Roman" w:hAnsi="Times New Roman" w:cs="Times New Roman"/>
          <w:color w:val="000000"/>
          <w:sz w:val="32"/>
          <w:szCs w:val="32"/>
          <w:highlight w:val="none"/>
          <w:lang w:val="en-US" w:eastAsia="zh-CN"/>
        </w:rPr>
        <w:t>加强</w:t>
      </w:r>
      <w:r>
        <w:rPr>
          <w:rFonts w:ascii="Times New Roman" w:hAnsi="Times New Roman" w:eastAsia="仿宋_GB2312" w:cs="Times New Roman"/>
          <w:color w:val="000000"/>
          <w:sz w:val="32"/>
          <w:szCs w:val="32"/>
          <w:highlight w:val="none"/>
        </w:rPr>
        <w:t>基地基础设施建设</w:t>
      </w:r>
      <w:r>
        <w:rPr>
          <w:rFonts w:hint="eastAsia" w:ascii="Times New Roman" w:hAnsi="Times New Roman" w:cs="Times New Roman"/>
          <w:color w:val="000000"/>
          <w:sz w:val="32"/>
          <w:szCs w:val="32"/>
          <w:highlight w:val="none"/>
          <w:lang w:eastAsia="zh-CN"/>
        </w:rPr>
        <w:t>，</w:t>
      </w:r>
      <w:r>
        <w:rPr>
          <w:rFonts w:hint="eastAsia" w:ascii="Times New Roman" w:hAnsi="Times New Roman" w:cs="Times New Roman"/>
          <w:color w:val="000000"/>
          <w:sz w:val="32"/>
          <w:szCs w:val="32"/>
          <w:highlight w:val="none"/>
          <w:lang w:val="en-US" w:eastAsia="zh-CN"/>
        </w:rPr>
        <w:t>推进潜</w:t>
      </w:r>
      <w:r>
        <w:rPr>
          <w:rFonts w:hint="eastAsia" w:cs="Times New Roman"/>
          <w:color w:val="000000"/>
          <w:sz w:val="32"/>
          <w:szCs w:val="32"/>
          <w:highlight w:val="none"/>
          <w:lang w:val="en-US" w:eastAsia="zh-CN"/>
        </w:rPr>
        <w:t>江</w:t>
      </w:r>
      <w:r>
        <w:rPr>
          <w:rFonts w:hint="eastAsia" w:ascii="Times New Roman" w:hAnsi="Times New Roman" w:cs="Times New Roman"/>
          <w:color w:val="000000"/>
          <w:sz w:val="32"/>
          <w:szCs w:val="32"/>
          <w:highlight w:val="none"/>
          <w:lang w:val="en-US" w:eastAsia="zh-CN"/>
        </w:rPr>
        <w:t>半夏生产</w:t>
      </w:r>
      <w:r>
        <w:rPr>
          <w:rFonts w:hint="eastAsia" w:ascii="Times New Roman" w:hAnsi="Times New Roman" w:eastAsia="仿宋_GB2312" w:cs="Times New Roman"/>
          <w:color w:val="000000"/>
          <w:sz w:val="32"/>
          <w:szCs w:val="32"/>
          <w:highlight w:val="none"/>
        </w:rPr>
        <w:t>智能化、信息化</w:t>
      </w:r>
      <w:r>
        <w:rPr>
          <w:rFonts w:hint="eastAsia" w:ascii="Times New Roman" w:hAnsi="Times New Roman" w:cs="Times New Roman"/>
          <w:color w:val="000000"/>
          <w:sz w:val="32"/>
          <w:szCs w:val="32"/>
          <w:highlight w:val="none"/>
          <w:lang w:val="en-US" w:eastAsia="zh-CN"/>
        </w:rPr>
        <w:t>和</w:t>
      </w:r>
      <w:r>
        <w:rPr>
          <w:rFonts w:hint="eastAsia" w:ascii="Times New Roman" w:hAnsi="Times New Roman" w:eastAsia="仿宋_GB2312" w:cs="Times New Roman"/>
          <w:color w:val="000000"/>
          <w:sz w:val="32"/>
          <w:szCs w:val="32"/>
          <w:highlight w:val="none"/>
        </w:rPr>
        <w:t>机械化</w:t>
      </w:r>
      <w:r>
        <w:rPr>
          <w:rFonts w:hint="eastAsia" w:ascii="Times New Roman" w:hAnsi="Times New Roman" w:cs="Times New Roman"/>
          <w:color w:val="000000"/>
          <w:sz w:val="32"/>
          <w:szCs w:val="32"/>
          <w:highlight w:val="none"/>
          <w:lang w:eastAsia="zh-CN"/>
        </w:rPr>
        <w:t>。</w:t>
      </w:r>
      <w:r>
        <w:rPr>
          <w:rFonts w:hint="eastAsia" w:ascii="Times New Roman" w:hAnsi="Times New Roman" w:eastAsia="仿宋_GB2312" w:cs="Times New Roman"/>
          <w:color w:val="000000"/>
          <w:kern w:val="2"/>
          <w:sz w:val="32"/>
          <w:szCs w:val="32"/>
          <w:highlight w:val="none"/>
          <w:lang w:val="en-US" w:eastAsia="zh-CN" w:bidi="ar-SA"/>
        </w:rPr>
        <w:t>加大潜</w:t>
      </w:r>
      <w:r>
        <w:rPr>
          <w:rFonts w:hint="eastAsia" w:cs="Times New Roman"/>
          <w:color w:val="000000"/>
          <w:kern w:val="2"/>
          <w:sz w:val="32"/>
          <w:szCs w:val="32"/>
          <w:highlight w:val="none"/>
          <w:lang w:val="en-US" w:eastAsia="zh-CN" w:bidi="ar-SA"/>
        </w:rPr>
        <w:t>江</w:t>
      </w:r>
      <w:r>
        <w:rPr>
          <w:rFonts w:hint="eastAsia" w:ascii="Times New Roman" w:hAnsi="Times New Roman" w:eastAsia="仿宋_GB2312" w:cs="Times New Roman"/>
          <w:color w:val="000000"/>
          <w:kern w:val="2"/>
          <w:sz w:val="32"/>
          <w:szCs w:val="32"/>
          <w:highlight w:val="none"/>
          <w:lang w:val="en-US" w:eastAsia="zh-CN" w:bidi="ar-SA"/>
        </w:rPr>
        <w:t>半夏产业化联合体培育</w:t>
      </w:r>
      <w:r>
        <w:rPr>
          <w:rFonts w:hint="eastAsia" w:cs="Times New Roman"/>
          <w:color w:val="000000"/>
          <w:kern w:val="2"/>
          <w:sz w:val="32"/>
          <w:szCs w:val="32"/>
          <w:highlight w:val="none"/>
          <w:lang w:val="en-US" w:eastAsia="zh-CN" w:bidi="ar-SA"/>
        </w:rPr>
        <w:t>力度。</w:t>
      </w:r>
      <w:r>
        <w:rPr>
          <w:rFonts w:hint="eastAsia" w:ascii="Times New Roman" w:hAnsi="Times New Roman" w:cs="Times New Roman"/>
          <w:color w:val="000000"/>
          <w:sz w:val="32"/>
          <w:szCs w:val="32"/>
          <w:highlight w:val="none"/>
          <w:lang w:eastAsia="zh-CN"/>
        </w:rPr>
        <w:t>强化与高校、研究院所合作，加强种子繁育关键技术研究，加快潜</w:t>
      </w:r>
      <w:r>
        <w:rPr>
          <w:rFonts w:hint="eastAsia" w:cs="Times New Roman"/>
          <w:color w:val="000000"/>
          <w:sz w:val="32"/>
          <w:szCs w:val="32"/>
          <w:highlight w:val="none"/>
          <w:lang w:val="en-US" w:eastAsia="zh-CN"/>
        </w:rPr>
        <w:t>江</w:t>
      </w:r>
      <w:r>
        <w:rPr>
          <w:rFonts w:hint="eastAsia" w:ascii="Times New Roman" w:hAnsi="Times New Roman" w:cs="Times New Roman"/>
          <w:color w:val="000000"/>
          <w:sz w:val="32"/>
          <w:szCs w:val="32"/>
          <w:highlight w:val="none"/>
          <w:lang w:eastAsia="zh-CN"/>
        </w:rPr>
        <w:t>半夏国家区域性良种繁育基地认证，推进全国野生半夏野生种质资源保护基地建设。</w:t>
      </w:r>
      <w:r>
        <w:rPr>
          <w:rFonts w:hint="default" w:ascii="Times New Roman" w:hAnsi="Times New Roman" w:eastAsia="仿宋_GB2312" w:cs="Times New Roman"/>
          <w:kern w:val="2"/>
          <w:sz w:val="32"/>
          <w:szCs w:val="24"/>
          <w:highlight w:val="none"/>
          <w:lang w:val="en-US" w:eastAsia="zh-CN" w:bidi="ar-SA"/>
        </w:rPr>
        <w:t>到2025年，潜</w:t>
      </w:r>
      <w:r>
        <w:rPr>
          <w:rFonts w:hint="eastAsia" w:cs="Times New Roman"/>
          <w:kern w:val="2"/>
          <w:sz w:val="32"/>
          <w:szCs w:val="24"/>
          <w:highlight w:val="none"/>
          <w:lang w:val="en-US" w:eastAsia="zh-CN" w:bidi="ar-SA"/>
        </w:rPr>
        <w:t>江</w:t>
      </w:r>
      <w:r>
        <w:rPr>
          <w:rFonts w:hint="default" w:ascii="Times New Roman" w:hAnsi="Times New Roman" w:eastAsia="仿宋_GB2312" w:cs="Times New Roman"/>
          <w:kern w:val="2"/>
          <w:sz w:val="32"/>
          <w:szCs w:val="24"/>
          <w:highlight w:val="none"/>
          <w:lang w:val="en-US" w:eastAsia="zh-CN" w:bidi="ar-SA"/>
        </w:rPr>
        <w:t>半夏种植面积达</w:t>
      </w:r>
      <w:r>
        <w:rPr>
          <w:rFonts w:hint="eastAsia" w:cs="Times New Roman"/>
          <w:kern w:val="2"/>
          <w:sz w:val="32"/>
          <w:szCs w:val="24"/>
          <w:highlight w:val="none"/>
          <w:lang w:val="en-US" w:eastAsia="zh-CN" w:bidi="ar-SA"/>
        </w:rPr>
        <w:t>1</w:t>
      </w:r>
      <w:r>
        <w:rPr>
          <w:rFonts w:hint="default" w:ascii="Times New Roman" w:hAnsi="Times New Roman" w:eastAsia="仿宋_GB2312" w:cs="Times New Roman"/>
          <w:kern w:val="2"/>
          <w:sz w:val="32"/>
          <w:szCs w:val="24"/>
          <w:highlight w:val="none"/>
          <w:lang w:val="en-US" w:eastAsia="zh-CN" w:bidi="ar-SA"/>
        </w:rPr>
        <w:t>万亩，</w:t>
      </w:r>
      <w:r>
        <w:rPr>
          <w:rFonts w:hint="eastAsia" w:cs="Times New Roman"/>
          <w:kern w:val="2"/>
          <w:sz w:val="32"/>
          <w:szCs w:val="24"/>
          <w:highlight w:val="none"/>
          <w:lang w:val="en-US" w:eastAsia="zh-CN" w:bidi="ar-SA"/>
        </w:rPr>
        <w:t>鲜半夏</w:t>
      </w:r>
      <w:r>
        <w:rPr>
          <w:rFonts w:hint="default" w:ascii="Times New Roman" w:hAnsi="Times New Roman" w:eastAsia="仿宋_GB2312" w:cs="Times New Roman"/>
          <w:kern w:val="2"/>
          <w:sz w:val="32"/>
          <w:szCs w:val="24"/>
          <w:highlight w:val="none"/>
          <w:lang w:val="en-US" w:eastAsia="zh-CN" w:bidi="ar-SA"/>
        </w:rPr>
        <w:t>总产量</w:t>
      </w:r>
      <w:r>
        <w:rPr>
          <w:rFonts w:hint="eastAsia" w:cs="Times New Roman"/>
          <w:kern w:val="2"/>
          <w:sz w:val="32"/>
          <w:szCs w:val="24"/>
          <w:highlight w:val="none"/>
          <w:lang w:val="en-US" w:eastAsia="zh-CN" w:bidi="ar-SA"/>
        </w:rPr>
        <w:t>0.6</w:t>
      </w:r>
      <w:r>
        <w:rPr>
          <w:rFonts w:hint="default" w:ascii="Times New Roman" w:hAnsi="Times New Roman" w:eastAsia="仿宋_GB2312" w:cs="Times New Roman"/>
          <w:kern w:val="2"/>
          <w:sz w:val="32"/>
          <w:szCs w:val="24"/>
          <w:highlight w:val="none"/>
          <w:lang w:val="en-US" w:eastAsia="zh-CN" w:bidi="ar-SA"/>
        </w:rPr>
        <w:t>万吨</w:t>
      </w:r>
      <w:r>
        <w:rPr>
          <w:rFonts w:hint="eastAsia" w:cs="Times New Roman"/>
          <w:kern w:val="2"/>
          <w:sz w:val="32"/>
          <w:szCs w:val="24"/>
          <w:highlight w:val="none"/>
          <w:lang w:val="en-US" w:eastAsia="zh-CN" w:bidi="ar-SA"/>
        </w:rPr>
        <w:t>；</w:t>
      </w:r>
      <w:r>
        <w:rPr>
          <w:rFonts w:hint="eastAsia" w:cs="Times New Roman"/>
          <w:color w:val="000000"/>
          <w:sz w:val="32"/>
          <w:szCs w:val="32"/>
          <w:highlight w:val="none"/>
          <w:lang w:val="en-US" w:eastAsia="zh-CN"/>
        </w:rPr>
        <w:t>建成</w:t>
      </w:r>
      <w:r>
        <w:rPr>
          <w:rFonts w:hint="eastAsia" w:ascii="Times New Roman" w:hAnsi="Times New Roman" w:cs="Times New Roman"/>
          <w:color w:val="000000"/>
          <w:sz w:val="32"/>
          <w:szCs w:val="32"/>
          <w:highlight w:val="none"/>
          <w:lang w:eastAsia="zh-CN"/>
        </w:rPr>
        <w:t>全国半夏野生种质资源保护基地</w:t>
      </w:r>
      <w:r>
        <w:rPr>
          <w:rFonts w:hint="eastAsia" w:cs="Times New Roman"/>
          <w:color w:val="000000"/>
          <w:sz w:val="32"/>
          <w:szCs w:val="32"/>
          <w:highlight w:val="none"/>
          <w:lang w:eastAsia="zh-CN"/>
        </w:rPr>
        <w:t>，</w:t>
      </w:r>
      <w:r>
        <w:rPr>
          <w:rFonts w:hint="eastAsia" w:cs="Times New Roman"/>
          <w:color w:val="000000"/>
          <w:sz w:val="32"/>
          <w:szCs w:val="32"/>
          <w:highlight w:val="none"/>
          <w:lang w:val="en-US" w:eastAsia="zh-CN"/>
        </w:rPr>
        <w:t>自主选育半夏优良品系2个，品种认定2个。</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eastAsia" w:cs="Times New Roman"/>
          <w:color w:val="000000"/>
          <w:kern w:val="2"/>
          <w:sz w:val="32"/>
          <w:szCs w:val="32"/>
          <w:lang w:val="en-US" w:eastAsia="zh-CN" w:bidi="ar-SA"/>
        </w:rPr>
        <w:t>全力拓展潜江半夏精深加工链条。加大招商引资力度，力争</w:t>
      </w:r>
      <w:r>
        <w:rPr>
          <w:rFonts w:hint="eastAsia" w:ascii="Times New Roman" w:hAnsi="Times New Roman" w:eastAsia="仿宋_GB2312" w:cs="Times New Roman"/>
          <w:color w:val="000000"/>
          <w:kern w:val="2"/>
          <w:sz w:val="32"/>
          <w:szCs w:val="32"/>
          <w:lang w:val="en-US" w:eastAsia="zh-CN" w:bidi="ar-SA"/>
        </w:rPr>
        <w:t>引进国药集团</w:t>
      </w:r>
      <w:r>
        <w:rPr>
          <w:rFonts w:hint="eastAsia" w:cs="Times New Roman"/>
          <w:color w:val="000000"/>
          <w:kern w:val="2"/>
          <w:sz w:val="32"/>
          <w:szCs w:val="32"/>
          <w:lang w:val="en-US" w:eastAsia="zh-CN" w:bidi="ar-SA"/>
        </w:rPr>
        <w:t>和</w:t>
      </w:r>
      <w:r>
        <w:rPr>
          <w:rFonts w:hint="eastAsia" w:ascii="Times New Roman" w:hAnsi="Times New Roman" w:eastAsia="仿宋_GB2312" w:cs="Times New Roman"/>
          <w:color w:val="000000"/>
          <w:kern w:val="2"/>
          <w:sz w:val="32"/>
          <w:szCs w:val="32"/>
          <w:lang w:val="en-US" w:eastAsia="zh-CN" w:bidi="ar-SA"/>
        </w:rPr>
        <w:t>云南白药等知名中药企业</w:t>
      </w:r>
      <w:r>
        <w:rPr>
          <w:rFonts w:hint="eastAsia" w:cs="Times New Roman"/>
          <w:color w:val="000000"/>
          <w:kern w:val="2"/>
          <w:sz w:val="32"/>
          <w:szCs w:val="32"/>
          <w:lang w:val="en-US" w:eastAsia="zh-CN" w:bidi="ar-SA"/>
        </w:rPr>
        <w:t>。</w:t>
      </w:r>
      <w:r>
        <w:rPr>
          <w:rFonts w:hint="eastAsia" w:ascii="Times New Roman" w:hAnsi="Times New Roman" w:eastAsia="仿宋_GB2312" w:cs="Times New Roman"/>
          <w:color w:val="000000"/>
          <w:kern w:val="2"/>
          <w:sz w:val="32"/>
          <w:szCs w:val="32"/>
          <w:lang w:val="en-US" w:eastAsia="zh-CN" w:bidi="ar-SA"/>
        </w:rPr>
        <w:t>支持</w:t>
      </w:r>
      <w:r>
        <w:rPr>
          <w:rFonts w:hint="eastAsia" w:cs="Times New Roman"/>
          <w:color w:val="000000"/>
          <w:kern w:val="2"/>
          <w:sz w:val="32"/>
          <w:szCs w:val="32"/>
          <w:lang w:val="en-US" w:eastAsia="zh-CN" w:bidi="ar-SA"/>
        </w:rPr>
        <w:t>本地龙头企业新建、扩建一批原料药加工和</w:t>
      </w:r>
      <w:r>
        <w:rPr>
          <w:rFonts w:hint="eastAsia" w:ascii="Times New Roman" w:hAnsi="Times New Roman" w:eastAsia="仿宋_GB2312" w:cs="Times New Roman"/>
          <w:color w:val="000000"/>
          <w:kern w:val="2"/>
          <w:sz w:val="32"/>
          <w:szCs w:val="32"/>
          <w:lang w:val="en-US" w:eastAsia="zh-CN" w:bidi="ar-SA"/>
        </w:rPr>
        <w:t>中药饮片</w:t>
      </w:r>
      <w:r>
        <w:rPr>
          <w:rFonts w:hint="eastAsia" w:cs="Times New Roman"/>
          <w:color w:val="000000"/>
          <w:kern w:val="2"/>
          <w:sz w:val="32"/>
          <w:szCs w:val="32"/>
          <w:lang w:val="en-US" w:eastAsia="zh-CN" w:bidi="ar-SA"/>
        </w:rPr>
        <w:t>加工</w:t>
      </w:r>
      <w:r>
        <w:rPr>
          <w:rFonts w:hint="eastAsia" w:ascii="Times New Roman" w:hAnsi="Times New Roman" w:eastAsia="仿宋_GB2312" w:cs="Times New Roman"/>
          <w:color w:val="000000"/>
          <w:kern w:val="2"/>
          <w:sz w:val="32"/>
          <w:szCs w:val="32"/>
          <w:lang w:val="en-US" w:eastAsia="zh-CN" w:bidi="ar-SA"/>
        </w:rPr>
        <w:t>项目</w:t>
      </w:r>
      <w:r>
        <w:rPr>
          <w:rFonts w:hint="eastAsia" w:cs="Times New Roman"/>
          <w:color w:val="000000"/>
          <w:kern w:val="2"/>
          <w:sz w:val="32"/>
          <w:szCs w:val="32"/>
          <w:lang w:val="en-US" w:eastAsia="zh-CN" w:bidi="ar-SA"/>
        </w:rPr>
        <w:t>，</w:t>
      </w:r>
      <w:r>
        <w:rPr>
          <w:rFonts w:hint="eastAsia" w:ascii="Times New Roman" w:hAnsi="Times New Roman" w:eastAsia="仿宋_GB2312" w:cs="Times New Roman"/>
          <w:color w:val="000000"/>
          <w:kern w:val="2"/>
          <w:sz w:val="32"/>
          <w:szCs w:val="32"/>
          <w:lang w:val="en-US" w:eastAsia="zh-CN" w:bidi="ar-SA"/>
        </w:rPr>
        <w:t>提升</w:t>
      </w:r>
      <w:r>
        <w:rPr>
          <w:rFonts w:hint="eastAsia" w:cs="Times New Roman"/>
          <w:color w:val="000000"/>
          <w:kern w:val="2"/>
          <w:sz w:val="32"/>
          <w:szCs w:val="32"/>
          <w:lang w:val="en-US" w:eastAsia="zh-CN" w:bidi="ar-SA"/>
        </w:rPr>
        <w:t>潜江半夏</w:t>
      </w:r>
      <w:r>
        <w:rPr>
          <w:rFonts w:hint="eastAsia" w:ascii="Times New Roman" w:hAnsi="Times New Roman" w:eastAsia="仿宋_GB2312" w:cs="Times New Roman"/>
          <w:color w:val="000000"/>
          <w:kern w:val="2"/>
          <w:sz w:val="32"/>
          <w:szCs w:val="32"/>
          <w:lang w:val="en-US" w:eastAsia="zh-CN" w:bidi="ar-SA"/>
        </w:rPr>
        <w:t>产地加工、产地贮藏</w:t>
      </w:r>
      <w:r>
        <w:rPr>
          <w:rFonts w:hint="eastAsia" w:cs="Times New Roman"/>
          <w:color w:val="000000"/>
          <w:kern w:val="2"/>
          <w:sz w:val="32"/>
          <w:szCs w:val="32"/>
          <w:lang w:val="en-US" w:eastAsia="zh-CN" w:bidi="ar-SA"/>
        </w:rPr>
        <w:t>和</w:t>
      </w:r>
      <w:r>
        <w:rPr>
          <w:rFonts w:hint="eastAsia" w:ascii="Times New Roman" w:hAnsi="Times New Roman" w:eastAsia="仿宋_GB2312" w:cs="Times New Roman"/>
          <w:color w:val="000000"/>
          <w:kern w:val="2"/>
          <w:sz w:val="32"/>
          <w:szCs w:val="32"/>
          <w:lang w:val="en-US" w:eastAsia="zh-CN" w:bidi="ar-SA"/>
        </w:rPr>
        <w:t>综合利用能力。到2025年，全市年加工</w:t>
      </w:r>
      <w:r>
        <w:rPr>
          <w:rFonts w:hint="eastAsia" w:cs="Times New Roman"/>
          <w:color w:val="000000"/>
          <w:kern w:val="2"/>
          <w:sz w:val="32"/>
          <w:szCs w:val="32"/>
          <w:lang w:val="en-US" w:eastAsia="zh-CN" w:bidi="ar-SA"/>
        </w:rPr>
        <w:t>潜江</w:t>
      </w:r>
      <w:r>
        <w:rPr>
          <w:rFonts w:hint="eastAsia" w:ascii="Times New Roman" w:hAnsi="Times New Roman" w:eastAsia="仿宋_GB2312" w:cs="Times New Roman"/>
          <w:color w:val="000000"/>
          <w:kern w:val="2"/>
          <w:sz w:val="32"/>
          <w:szCs w:val="32"/>
          <w:lang w:val="en-US" w:eastAsia="zh-CN" w:bidi="ar-SA"/>
        </w:rPr>
        <w:t>半夏半成品（干品）0.2万吨，开发半夏食品、饮</w:t>
      </w:r>
      <w:r>
        <w:rPr>
          <w:rFonts w:hint="eastAsia" w:cs="Times New Roman"/>
          <w:color w:val="000000"/>
          <w:kern w:val="2"/>
          <w:sz w:val="32"/>
          <w:szCs w:val="32"/>
          <w:lang w:val="en-US" w:eastAsia="zh-CN" w:bidi="ar-SA"/>
        </w:rPr>
        <w:t>片</w:t>
      </w:r>
      <w:r>
        <w:rPr>
          <w:rFonts w:hint="eastAsia" w:ascii="Times New Roman" w:hAnsi="Times New Roman" w:eastAsia="仿宋_GB2312" w:cs="Times New Roman"/>
          <w:color w:val="000000"/>
          <w:kern w:val="2"/>
          <w:sz w:val="32"/>
          <w:szCs w:val="32"/>
          <w:lang w:val="en-US" w:eastAsia="zh-CN" w:bidi="ar-SA"/>
        </w:rPr>
        <w:t>5-8个，</w:t>
      </w:r>
      <w:r>
        <w:rPr>
          <w:rFonts w:hint="eastAsia" w:cs="Times New Roman"/>
          <w:color w:val="000000"/>
          <w:kern w:val="2"/>
          <w:sz w:val="32"/>
          <w:szCs w:val="32"/>
          <w:lang w:val="en-US" w:eastAsia="zh-CN" w:bidi="ar-SA"/>
        </w:rPr>
        <w:t>潜江</w:t>
      </w:r>
      <w:r>
        <w:rPr>
          <w:rFonts w:hint="eastAsia" w:ascii="Times New Roman" w:hAnsi="Times New Roman" w:eastAsia="仿宋_GB2312" w:cs="Times New Roman"/>
          <w:color w:val="000000"/>
          <w:kern w:val="2"/>
          <w:sz w:val="32"/>
          <w:szCs w:val="32"/>
          <w:lang w:val="en-US" w:eastAsia="zh-CN" w:bidi="ar-SA"/>
        </w:rPr>
        <w:t>半夏加工产值达到</w:t>
      </w:r>
      <w:r>
        <w:rPr>
          <w:rFonts w:hint="eastAsia" w:cs="Times New Roman"/>
          <w:color w:val="000000"/>
          <w:kern w:val="2"/>
          <w:sz w:val="32"/>
          <w:szCs w:val="32"/>
          <w:highlight w:val="none"/>
          <w:lang w:val="en-US" w:eastAsia="zh-CN" w:bidi="ar-SA"/>
        </w:rPr>
        <w:t>10</w:t>
      </w:r>
      <w:r>
        <w:rPr>
          <w:rFonts w:hint="eastAsia" w:ascii="Times New Roman" w:hAnsi="Times New Roman" w:eastAsia="仿宋_GB2312" w:cs="Times New Roman"/>
          <w:color w:val="000000"/>
          <w:kern w:val="2"/>
          <w:sz w:val="32"/>
          <w:szCs w:val="32"/>
          <w:lang w:val="en-US" w:eastAsia="zh-CN" w:bidi="ar-SA"/>
        </w:rPr>
        <w:t>亿元，成为全国半夏初加工产品交易中心、全国优质半夏饮片供应中心。</w:t>
      </w:r>
      <w:r>
        <w:rPr>
          <w:rFonts w:hint="eastAsia" w:cs="Times New Roman"/>
          <w:color w:val="000000"/>
          <w:kern w:val="2"/>
          <w:sz w:val="32"/>
          <w:szCs w:val="32"/>
          <w:lang w:val="en-US" w:eastAsia="zh-CN" w:bidi="ar-SA"/>
        </w:rPr>
        <w:t xml:space="preserve"> </w:t>
      </w:r>
    </w:p>
    <w:p>
      <w:pPr>
        <w:pStyle w:val="23"/>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eastAsia="楷体" w:cs="Times New Roman"/>
          <w:b/>
          <w:bCs/>
          <w:color w:val="auto"/>
          <w:sz w:val="32"/>
          <w:szCs w:val="40"/>
          <w:lang w:val="en-US" w:eastAsia="zh-CN"/>
        </w:rPr>
      </w:pPr>
      <w:r>
        <w:rPr>
          <w:rFonts w:hint="eastAsia" w:eastAsia="仿宋_GB2312" w:cs="Times New Roman"/>
          <w:kern w:val="2"/>
          <w:sz w:val="32"/>
          <w:szCs w:val="24"/>
          <w:lang w:val="en-US" w:eastAsia="zh-CN" w:bidi="ar-SA"/>
        </w:rPr>
        <w:t>完善潜江半夏品牌创建、推介、保护和利用的运行机制。通过政府引导扶持，龙头企业市场运作，中小企业、中介服务组织和种植专业户广泛参与，加快潜江半夏品牌整合，形成规模优势和品牌效应，争创潜江半夏中国驰名商标。</w:t>
      </w:r>
      <w:r>
        <w:rPr>
          <w:rFonts w:hint="eastAsia" w:eastAsia="仿宋_GB2312" w:cs="Times New Roman"/>
          <w:b w:val="0"/>
          <w:bCs w:val="0"/>
          <w:kern w:val="2"/>
          <w:sz w:val="32"/>
          <w:szCs w:val="24"/>
          <w:lang w:val="en-US" w:eastAsia="zh-CN" w:bidi="ar-SA"/>
        </w:rPr>
        <w:t>全力打造“五大基地一个中心”</w:t>
      </w:r>
      <w:r>
        <w:rPr>
          <w:rStyle w:val="32"/>
          <w:rFonts w:hint="eastAsia" w:eastAsia="仿宋_GB2312" w:cs="Times New Roman"/>
          <w:b w:val="0"/>
          <w:bCs w:val="0"/>
          <w:kern w:val="2"/>
          <w:sz w:val="32"/>
          <w:szCs w:val="24"/>
          <w:lang w:val="en-US" w:eastAsia="zh-CN" w:bidi="ar-SA"/>
        </w:rPr>
        <w:footnoteReference w:id="2"/>
      </w:r>
      <w:r>
        <w:rPr>
          <w:rFonts w:hint="eastAsia" w:eastAsia="仿宋_GB2312" w:cs="Times New Roman"/>
          <w:b w:val="0"/>
          <w:bCs w:val="0"/>
          <w:kern w:val="2"/>
          <w:sz w:val="32"/>
          <w:szCs w:val="24"/>
          <w:lang w:val="en-US" w:eastAsia="zh-CN" w:bidi="ar-SA"/>
        </w:rPr>
        <w:t>，支持龙头企业合力建设潜江半夏交易中心；建设潜江半夏国药店；建设以潜江半夏博物馆、潜江半夏国医堂、潜江市药用植物园为主要载体的文化展示中心；推进周矶管理区潜江半夏健康小镇建设。到2025年，潜江半夏的种植、精深加工、电子商务、中医药和旅游文化等多业态融合发展，全产业链综合产值达到</w:t>
      </w:r>
      <w:r>
        <w:rPr>
          <w:rFonts w:hint="eastAsia" w:eastAsia="仿宋_GB2312" w:cs="Times New Roman"/>
          <w:b w:val="0"/>
          <w:bCs w:val="0"/>
          <w:kern w:val="2"/>
          <w:sz w:val="32"/>
          <w:szCs w:val="24"/>
          <w:highlight w:val="none"/>
          <w:lang w:val="en-US" w:eastAsia="zh-CN" w:bidi="ar-SA"/>
        </w:rPr>
        <w:t>20</w:t>
      </w:r>
      <w:r>
        <w:rPr>
          <w:rFonts w:hint="eastAsia" w:eastAsia="仿宋_GB2312" w:cs="Times New Roman"/>
          <w:b w:val="0"/>
          <w:bCs w:val="0"/>
          <w:kern w:val="2"/>
          <w:sz w:val="32"/>
          <w:szCs w:val="24"/>
          <w:lang w:val="en-US" w:eastAsia="zh-CN" w:bidi="ar-SA"/>
        </w:rPr>
        <w:t>亿元。将潜江</w:t>
      </w:r>
      <w:r>
        <w:rPr>
          <w:rFonts w:hint="eastAsia" w:ascii="Times New Roman" w:hAnsi="Times New Roman" w:eastAsia="仿宋_GB2312" w:cs="Times New Roman"/>
          <w:kern w:val="2"/>
          <w:sz w:val="32"/>
          <w:szCs w:val="24"/>
          <w:lang w:val="en-US" w:eastAsia="zh-CN" w:bidi="ar-SA"/>
        </w:rPr>
        <w:t>打造成为以潜</w:t>
      </w:r>
      <w:r>
        <w:rPr>
          <w:rFonts w:hint="eastAsia" w:eastAsia="仿宋_GB2312" w:cs="Times New Roman"/>
          <w:kern w:val="2"/>
          <w:sz w:val="32"/>
          <w:szCs w:val="24"/>
          <w:lang w:val="en-US" w:eastAsia="zh-CN" w:bidi="ar-SA"/>
        </w:rPr>
        <w:t>江</w:t>
      </w:r>
      <w:r>
        <w:rPr>
          <w:rFonts w:hint="eastAsia" w:ascii="Times New Roman" w:hAnsi="Times New Roman" w:eastAsia="仿宋_GB2312" w:cs="Times New Roman"/>
          <w:kern w:val="2"/>
          <w:sz w:val="32"/>
          <w:szCs w:val="24"/>
          <w:lang w:val="en-US" w:eastAsia="zh-CN" w:bidi="ar-SA"/>
        </w:rPr>
        <w:t>半夏为核心品牌的国医国药康养之城，</w:t>
      </w:r>
      <w:r>
        <w:rPr>
          <w:rFonts w:hint="eastAsia" w:eastAsia="仿宋_GB2312" w:cs="Times New Roman"/>
          <w:kern w:val="2"/>
          <w:sz w:val="32"/>
          <w:szCs w:val="24"/>
          <w:lang w:val="en-US" w:eastAsia="zh-CN" w:bidi="ar-SA"/>
        </w:rPr>
        <w:t>使</w:t>
      </w:r>
      <w:r>
        <w:rPr>
          <w:rFonts w:hint="eastAsia" w:ascii="Times New Roman" w:hAnsi="Times New Roman" w:eastAsia="仿宋_GB2312" w:cs="Times New Roman"/>
          <w:kern w:val="2"/>
          <w:sz w:val="32"/>
          <w:szCs w:val="24"/>
          <w:lang w:val="en-US" w:eastAsia="zh-CN" w:bidi="ar-SA"/>
        </w:rPr>
        <w:t>潜</w:t>
      </w:r>
      <w:r>
        <w:rPr>
          <w:rFonts w:hint="eastAsia" w:eastAsia="仿宋_GB2312" w:cs="Times New Roman"/>
          <w:kern w:val="2"/>
          <w:sz w:val="32"/>
          <w:szCs w:val="24"/>
          <w:lang w:val="en-US" w:eastAsia="zh-CN" w:bidi="ar-SA"/>
        </w:rPr>
        <w:t>江</w:t>
      </w:r>
      <w:r>
        <w:rPr>
          <w:rFonts w:hint="eastAsia" w:ascii="Times New Roman" w:hAnsi="Times New Roman" w:eastAsia="仿宋_GB2312" w:cs="Times New Roman"/>
          <w:kern w:val="2"/>
          <w:sz w:val="32"/>
          <w:szCs w:val="24"/>
          <w:lang w:val="en-US" w:eastAsia="zh-CN" w:bidi="ar-SA"/>
        </w:rPr>
        <w:t>半夏成为继潜江龙虾之后的现代农业明星</w:t>
      </w:r>
      <w:r>
        <w:rPr>
          <w:rFonts w:hint="eastAsia" w:eastAsia="仿宋_GB2312" w:cs="Times New Roman"/>
          <w:kern w:val="2"/>
          <w:sz w:val="32"/>
          <w:szCs w:val="24"/>
          <w:lang w:val="en-US" w:eastAsia="zh-CN" w:bidi="ar-SA"/>
        </w:rPr>
        <w:t>产业</w:t>
      </w:r>
      <w:r>
        <w:rPr>
          <w:rFonts w:hint="eastAsia" w:ascii="Times New Roman" w:hAnsi="Times New Roman" w:eastAsia="仿宋_GB2312" w:cs="Times New Roman"/>
          <w:kern w:val="2"/>
          <w:sz w:val="32"/>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outlineLvl w:val="2"/>
        <w:rPr>
          <w:rFonts w:hint="eastAsia" w:eastAsia="楷体" w:cs="Times New Roman"/>
          <w:b/>
          <w:bCs/>
          <w:color w:val="auto"/>
          <w:sz w:val="32"/>
          <w:szCs w:val="40"/>
          <w:lang w:val="en-US" w:eastAsia="zh-CN"/>
        </w:rPr>
      </w:pPr>
      <w:r>
        <w:rPr>
          <w:rFonts w:hint="eastAsia" w:eastAsia="楷体" w:cs="Times New Roman"/>
          <w:b/>
          <w:bCs/>
          <w:color w:val="auto"/>
          <w:sz w:val="32"/>
          <w:szCs w:val="40"/>
          <w:highlight w:val="none"/>
          <w:lang w:val="en-US" w:eastAsia="zh-CN"/>
        </w:rPr>
        <w:t xml:space="preserve">4.潜江大豆产业链        </w:t>
      </w:r>
      <w:r>
        <w:rPr>
          <w:rFonts w:hint="eastAsia" w:eastAsia="楷体" w:cs="Times New Roman"/>
          <w:b/>
          <w:bCs/>
          <w:color w:val="auto"/>
          <w:sz w:val="32"/>
          <w:szCs w:val="40"/>
          <w:lang w:val="en-US" w:eastAsia="zh-CN"/>
        </w:rPr>
        <w:t xml:space="preserve">            </w:t>
      </w:r>
    </w:p>
    <w:p>
      <w:pPr>
        <w:pStyle w:val="23"/>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cs="Times New Roman"/>
          <w:kern w:val="2"/>
          <w:sz w:val="24"/>
          <w:szCs w:val="21"/>
          <w:highlight w:val="none"/>
          <w:lang w:val="en-US" w:eastAsia="zh-CN" w:bidi="ar-SA"/>
        </w:rPr>
      </w:pPr>
      <w:r>
        <w:rPr>
          <w:rFonts w:hint="eastAsia" w:ascii="Times New Roman" w:hAnsi="Times New Roman" w:eastAsia="仿宋_GB2312" w:cs="Times New Roman"/>
          <w:kern w:val="2"/>
          <w:sz w:val="32"/>
          <w:szCs w:val="24"/>
          <w:lang w:val="en-US" w:eastAsia="zh-CN" w:bidi="ar-SA"/>
        </w:rPr>
        <w:t>推进竹根滩</w:t>
      </w:r>
      <w:r>
        <w:rPr>
          <w:rFonts w:hint="eastAsia" w:eastAsia="仿宋_GB2312" w:cs="Times New Roman"/>
          <w:kern w:val="2"/>
          <w:sz w:val="32"/>
          <w:szCs w:val="24"/>
          <w:lang w:val="en-US" w:eastAsia="zh-CN" w:bidi="ar-SA"/>
        </w:rPr>
        <w:t>镇</w:t>
      </w:r>
      <w:r>
        <w:rPr>
          <w:rFonts w:hint="eastAsia" w:ascii="Times New Roman" w:hAnsi="Times New Roman" w:eastAsia="仿宋_GB2312" w:cs="Times New Roman"/>
          <w:kern w:val="2"/>
          <w:sz w:val="32"/>
          <w:szCs w:val="24"/>
          <w:lang w:val="en-US" w:eastAsia="zh-CN" w:bidi="ar-SA"/>
        </w:rPr>
        <w:t>、周矶</w:t>
      </w:r>
      <w:r>
        <w:rPr>
          <w:rFonts w:hint="eastAsia" w:eastAsia="仿宋_GB2312" w:cs="Times New Roman"/>
          <w:kern w:val="2"/>
          <w:sz w:val="32"/>
          <w:szCs w:val="24"/>
          <w:lang w:val="en-US" w:eastAsia="zh-CN" w:bidi="ar-SA"/>
        </w:rPr>
        <w:t>街道</w:t>
      </w:r>
      <w:r>
        <w:rPr>
          <w:rFonts w:hint="eastAsia" w:ascii="Times New Roman" w:hAnsi="Times New Roman" w:eastAsia="仿宋_GB2312" w:cs="Times New Roman"/>
          <w:kern w:val="2"/>
          <w:sz w:val="32"/>
          <w:szCs w:val="24"/>
          <w:lang w:val="en-US" w:eastAsia="zh-CN" w:bidi="ar-SA"/>
        </w:rPr>
        <w:t>、王场</w:t>
      </w:r>
      <w:r>
        <w:rPr>
          <w:rFonts w:hint="eastAsia" w:eastAsia="仿宋_GB2312" w:cs="Times New Roman"/>
          <w:kern w:val="2"/>
          <w:sz w:val="32"/>
          <w:szCs w:val="24"/>
          <w:lang w:val="en-US" w:eastAsia="zh-CN" w:bidi="ar-SA"/>
        </w:rPr>
        <w:t>镇</w:t>
      </w:r>
      <w:r>
        <w:rPr>
          <w:rFonts w:hint="eastAsia" w:ascii="Times New Roman" w:hAnsi="Times New Roman" w:eastAsia="仿宋_GB2312" w:cs="Times New Roman"/>
          <w:kern w:val="2"/>
          <w:sz w:val="32"/>
          <w:szCs w:val="24"/>
          <w:lang w:val="en-US" w:eastAsia="zh-CN" w:bidi="ar-SA"/>
        </w:rPr>
        <w:t>、高石碑</w:t>
      </w:r>
      <w:r>
        <w:rPr>
          <w:rFonts w:hint="eastAsia" w:eastAsia="仿宋_GB2312" w:cs="Times New Roman"/>
          <w:kern w:val="2"/>
          <w:sz w:val="32"/>
          <w:szCs w:val="24"/>
          <w:lang w:val="en-US" w:eastAsia="zh-CN" w:bidi="ar-SA"/>
        </w:rPr>
        <w:t>镇</w:t>
      </w:r>
      <w:r>
        <w:rPr>
          <w:rFonts w:hint="eastAsia" w:ascii="Times New Roman" w:hAnsi="Times New Roman" w:eastAsia="仿宋_GB2312" w:cs="Times New Roman"/>
          <w:kern w:val="2"/>
          <w:sz w:val="32"/>
          <w:szCs w:val="24"/>
          <w:lang w:val="en-US" w:eastAsia="zh-CN" w:bidi="ar-SA"/>
        </w:rPr>
        <w:t>和杨市</w:t>
      </w:r>
      <w:r>
        <w:rPr>
          <w:rFonts w:hint="eastAsia" w:eastAsia="仿宋_GB2312" w:cs="Times New Roman"/>
          <w:kern w:val="2"/>
          <w:sz w:val="32"/>
          <w:szCs w:val="24"/>
          <w:lang w:val="en-US" w:eastAsia="zh-CN" w:bidi="ar-SA"/>
        </w:rPr>
        <w:t>街道</w:t>
      </w:r>
      <w:r>
        <w:rPr>
          <w:rFonts w:hint="eastAsia" w:ascii="Times New Roman" w:hAnsi="Times New Roman" w:eastAsia="仿宋_GB2312" w:cs="Times New Roman"/>
          <w:kern w:val="2"/>
          <w:sz w:val="32"/>
          <w:szCs w:val="24"/>
          <w:lang w:val="en-US" w:eastAsia="zh-CN" w:bidi="ar-SA"/>
        </w:rPr>
        <w:t>等旱田区域大豆种植，推行大豆与玉米间作</w:t>
      </w:r>
      <w:r>
        <w:rPr>
          <w:rFonts w:hint="eastAsia" w:cs="Times New Roman"/>
          <w:kern w:val="2"/>
          <w:sz w:val="32"/>
          <w:szCs w:val="24"/>
          <w:lang w:val="en-US" w:eastAsia="zh-CN" w:bidi="ar-SA"/>
        </w:rPr>
        <w:t>。</w:t>
      </w:r>
      <w:r>
        <w:rPr>
          <w:rFonts w:hint="eastAsia" w:ascii="Times New Roman" w:hAnsi="Times New Roman" w:eastAsia="仿宋_GB2312" w:cs="Times New Roman"/>
          <w:kern w:val="2"/>
          <w:sz w:val="32"/>
          <w:szCs w:val="24"/>
          <w:lang w:val="en-US" w:eastAsia="zh-CN" w:bidi="ar-SA"/>
        </w:rPr>
        <w:t>推广“大豆—油菜菜薹（一菜两用）”“大豆—苔菜”高效模式</w:t>
      </w:r>
      <w:r>
        <w:rPr>
          <w:rFonts w:hint="eastAsia" w:eastAsia="仿宋_GB2312" w:cs="Times New Roman"/>
          <w:b w:val="0"/>
          <w:bCs w:val="0"/>
          <w:kern w:val="2"/>
          <w:sz w:val="32"/>
          <w:szCs w:val="24"/>
          <w:lang w:val="en-US" w:eastAsia="zh-CN" w:bidi="ar-SA"/>
        </w:rPr>
        <w:t>。</w:t>
      </w:r>
      <w:r>
        <w:rPr>
          <w:rFonts w:hint="eastAsia" w:ascii="仿宋_GB2312" w:hAnsi="仿宋_GB2312" w:eastAsia="仿宋_GB2312" w:cs="仿宋_GB2312"/>
          <w:sz w:val="32"/>
          <w:szCs w:val="32"/>
        </w:rPr>
        <w:t>加强优质大豆品种繁育与推广，建设高蛋白大豆良种繁育基地，</w:t>
      </w:r>
      <w:r>
        <w:rPr>
          <w:rFonts w:hint="eastAsia" w:eastAsia="仿宋_GB2312" w:cs="Times New Roman"/>
          <w:b w:val="0"/>
          <w:bCs w:val="0"/>
          <w:kern w:val="2"/>
          <w:sz w:val="32"/>
          <w:szCs w:val="24"/>
          <w:lang w:val="en-US" w:eastAsia="zh-CN" w:bidi="ar-SA"/>
        </w:rPr>
        <w:t>培育推广高蛋白和高产品种，形成较大产量规模。扩大优质高蛋白大豆生产示范基地和GAP大豆规范种植基地面积，建成一批良种化、标准化、规模化和专业化的大豆生产示范基地。组织科研机构与大豆生产加工企业对接，重点开展品种培育、良种繁育、高产攻关、产品开发、质量检测等方面合作。</w:t>
      </w:r>
      <w:r>
        <w:rPr>
          <w:rFonts w:hint="eastAsia" w:eastAsia="仿宋_GB2312" w:cs="Times New Roman"/>
          <w:b w:val="0"/>
          <w:bCs w:val="0"/>
          <w:kern w:val="2"/>
          <w:sz w:val="32"/>
          <w:szCs w:val="24"/>
          <w:highlight w:val="none"/>
          <w:lang w:val="en-US" w:eastAsia="zh-CN" w:bidi="ar-SA"/>
        </w:rPr>
        <w:t>到2025年，全市大豆种植稳定在15万亩，大豆产量稳定在1.7万吨，优质品种种植面积达到99.5%，科技支撑能力明显增强，建成南方大豆品种选育及繁育重要基地。</w:t>
      </w:r>
    </w:p>
    <w:p>
      <w:pPr>
        <w:pStyle w:val="23"/>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rPr>
      </w:pPr>
      <w:r>
        <w:rPr>
          <w:rFonts w:hint="eastAsia" w:eastAsia="仿宋_GB2312" w:cs="Times New Roman"/>
          <w:b w:val="0"/>
          <w:bCs w:val="0"/>
          <w:kern w:val="2"/>
          <w:sz w:val="32"/>
          <w:szCs w:val="24"/>
          <w:lang w:val="en-US" w:eastAsia="zh-CN" w:bidi="ar-SA"/>
        </w:rPr>
        <w:t>支持尝香思食品开展大豆深加工体系示范建设，</w:t>
      </w:r>
      <w:r>
        <w:rPr>
          <w:rFonts w:hint="eastAsia" w:ascii="Times New Roman" w:hAnsi="Times New Roman" w:eastAsia="仿宋_GB2312" w:cs="Times New Roman"/>
          <w:kern w:val="2"/>
          <w:sz w:val="32"/>
          <w:szCs w:val="24"/>
          <w:lang w:val="en-US" w:eastAsia="zh-CN" w:bidi="ar-SA"/>
        </w:rPr>
        <w:t>支持</w:t>
      </w:r>
      <w:r>
        <w:rPr>
          <w:rFonts w:hint="eastAsia" w:eastAsia="仿宋_GB2312" w:cs="Times New Roman"/>
          <w:kern w:val="2"/>
          <w:sz w:val="32"/>
          <w:szCs w:val="24"/>
          <w:lang w:val="en-US" w:eastAsia="zh-CN" w:bidi="ar-SA"/>
        </w:rPr>
        <w:t>大豆加工企业</w:t>
      </w:r>
      <w:r>
        <w:rPr>
          <w:rFonts w:hint="default" w:ascii="Times New Roman" w:hAnsi="Times New Roman" w:eastAsia="仿宋_GB2312" w:cs="Times New Roman"/>
          <w:kern w:val="2"/>
          <w:sz w:val="32"/>
          <w:szCs w:val="24"/>
          <w:lang w:val="en-US" w:eastAsia="zh-CN" w:bidi="ar-SA"/>
        </w:rPr>
        <w:t>重点发展大豆食品和新型大豆蛋白制品</w:t>
      </w:r>
      <w:r>
        <w:rPr>
          <w:rFonts w:hint="eastAsia" w:eastAsia="仿宋_GB2312" w:cs="Times New Roman"/>
          <w:kern w:val="2"/>
          <w:sz w:val="32"/>
          <w:szCs w:val="24"/>
          <w:lang w:val="en-US" w:eastAsia="zh-CN" w:bidi="ar-SA"/>
        </w:rPr>
        <w:t>（</w:t>
      </w:r>
      <w:r>
        <w:rPr>
          <w:rFonts w:hint="default" w:ascii="Times New Roman" w:hAnsi="Times New Roman" w:eastAsia="仿宋_GB2312" w:cs="Times New Roman"/>
          <w:kern w:val="2"/>
          <w:sz w:val="32"/>
          <w:szCs w:val="24"/>
          <w:lang w:val="en-US" w:eastAsia="zh-CN" w:bidi="ar-SA"/>
        </w:rPr>
        <w:t>豆粉类、发酵类、膨化类、蛋白类等</w:t>
      </w:r>
      <w:r>
        <w:rPr>
          <w:rFonts w:hint="eastAsia" w:eastAsia="仿宋_GB2312" w:cs="Times New Roman"/>
          <w:kern w:val="2"/>
          <w:sz w:val="32"/>
          <w:szCs w:val="24"/>
          <w:lang w:val="en-US" w:eastAsia="zh-CN" w:bidi="ar-SA"/>
        </w:rPr>
        <w:t>），</w:t>
      </w:r>
      <w:r>
        <w:rPr>
          <w:rFonts w:hint="eastAsia" w:eastAsia="仿宋_GB2312" w:cs="Times New Roman"/>
          <w:b w:val="0"/>
          <w:bCs w:val="0"/>
          <w:kern w:val="2"/>
          <w:sz w:val="32"/>
          <w:szCs w:val="24"/>
          <w:highlight w:val="none"/>
          <w:lang w:val="en-US" w:eastAsia="zh-CN" w:bidi="ar-SA"/>
        </w:rPr>
        <w:t>成为湖北省大豆精深加工示范中心。</w:t>
      </w:r>
      <w:r>
        <w:rPr>
          <w:rFonts w:hint="eastAsia" w:ascii="Times New Roman" w:hAnsi="Times New Roman" w:eastAsia="仿宋_GB2312" w:cs="Times New Roman"/>
          <w:kern w:val="2"/>
          <w:sz w:val="32"/>
          <w:szCs w:val="24"/>
          <w:lang w:val="en-US" w:eastAsia="zh-CN" w:bidi="ar-SA"/>
        </w:rPr>
        <w:t>提倡“豆粕食用化”，生产“素火腿、素牛肉和素羊肉”等植物蛋白食品</w:t>
      </w:r>
      <w:r>
        <w:rPr>
          <w:rFonts w:hint="eastAsia" w:eastAsia="仿宋_GB2312" w:cs="Times New Roman"/>
          <w:kern w:val="2"/>
          <w:sz w:val="32"/>
          <w:szCs w:val="24"/>
          <w:lang w:val="en-US" w:eastAsia="zh-CN" w:bidi="ar-SA"/>
        </w:rPr>
        <w:t>。</w:t>
      </w:r>
      <w:r>
        <w:rPr>
          <w:rFonts w:hint="eastAsia" w:ascii="仿宋_GB2312" w:hAnsi="仿宋_GB2312" w:eastAsia="仿宋_GB2312" w:cs="仿宋_GB2312"/>
          <w:sz w:val="32"/>
          <w:szCs w:val="32"/>
        </w:rPr>
        <w:t>加大“潜江大豆”地理标志证明商标的培育力度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绿色大豆的开发认证力度和品牌保护力度，加强品牌整合与宣传推介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引导大豆加工企业抱团发展，推动潜江大豆申报农产品地理标志。</w:t>
      </w:r>
    </w:p>
    <w:p>
      <w:pPr>
        <w:pStyle w:val="23"/>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eastAsia="楷体" w:cs="Times New Roman"/>
          <w:b/>
          <w:bCs/>
          <w:color w:val="auto"/>
          <w:sz w:val="32"/>
          <w:szCs w:val="40"/>
          <w:highlight w:val="none"/>
          <w:lang w:val="en-US" w:eastAsia="zh-CN"/>
        </w:rPr>
      </w:pPr>
      <w:r>
        <w:rPr>
          <w:rFonts w:hint="eastAsia" w:ascii="仿宋_GB2312" w:hAnsi="仿宋_GB2312" w:eastAsia="仿宋_GB2312" w:cs="仿宋_GB2312"/>
          <w:sz w:val="32"/>
          <w:szCs w:val="32"/>
          <w:lang w:val="en-US" w:eastAsia="zh-CN"/>
        </w:rPr>
        <w:t>加强潜江大豆品牌建设。培育“潜江大豆”区域公用品牌，申报国家地理标志农产品。</w:t>
      </w:r>
      <w:r>
        <w:rPr>
          <w:rFonts w:hint="eastAsia" w:eastAsia="仿宋_GB2312" w:cs="Times New Roman"/>
          <w:b w:val="0"/>
          <w:bCs w:val="0"/>
          <w:kern w:val="2"/>
          <w:sz w:val="32"/>
          <w:szCs w:val="24"/>
          <w:highlight w:val="none"/>
          <w:lang w:val="en-US" w:eastAsia="zh-CN" w:bidi="ar-SA"/>
        </w:rPr>
        <w:t>在全域旅游布局中融入“大豆元素”，谋划打造汉江大堤和东荆河起始段百里风光观光带，展示大豆生产规模及品质。以企业为主体，新建、扩建一批大豆文化展馆，开展大豆产品推荐。到2025年，“潜江大豆”成功创建区域公用品牌、注册为国家地理标志农产品；培育1家年营业收入过2亿元的龙头企业，创建1个省级农业产业化联合体。全产业链综合产值达到20亿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cs="Times New Roman"/>
          <w:kern w:val="2"/>
          <w:sz w:val="32"/>
          <w:szCs w:val="24"/>
          <w:highlight w:val="none"/>
          <w:lang w:val="en-US" w:eastAsia="zh-CN" w:bidi="ar-SA"/>
        </w:rPr>
      </w:pPr>
      <w:r>
        <w:rPr>
          <w:rFonts w:hint="eastAsia" w:eastAsia="楷体" w:cs="Times New Roman"/>
          <w:b/>
          <w:bCs/>
          <w:color w:val="auto"/>
          <w:sz w:val="32"/>
          <w:szCs w:val="40"/>
          <w:highlight w:val="none"/>
          <w:lang w:val="en-US" w:eastAsia="zh-CN"/>
        </w:rPr>
        <w:t xml:space="preserve">二、做精四大特色产业    </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eastAsia" w:eastAsia="楷体" w:cs="Times New Roman"/>
          <w:b/>
          <w:bCs/>
          <w:color w:val="auto"/>
          <w:sz w:val="32"/>
          <w:szCs w:val="40"/>
          <w:lang w:val="en-US" w:eastAsia="zh-CN"/>
        </w:rPr>
      </w:pPr>
      <w:r>
        <w:rPr>
          <w:rFonts w:hint="eastAsia" w:eastAsia="楷体" w:cs="Times New Roman"/>
          <w:b/>
          <w:bCs/>
          <w:color w:val="auto"/>
          <w:sz w:val="32"/>
          <w:szCs w:val="40"/>
          <w:lang w:val="en-US" w:eastAsia="zh-CN"/>
        </w:rPr>
        <w:t xml:space="preserve">1.潜江蔬果产业链                    </w:t>
      </w:r>
    </w:p>
    <w:p>
      <w:pPr>
        <w:pStyle w:val="23"/>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eastAsia="仿宋_GB2312" w:cs="Times New Roman"/>
          <w:b w:val="0"/>
          <w:bCs w:val="0"/>
          <w:kern w:val="2"/>
          <w:sz w:val="32"/>
          <w:szCs w:val="24"/>
          <w:lang w:val="en-US" w:eastAsia="zh-CN" w:bidi="ar-SA"/>
        </w:rPr>
      </w:pPr>
      <w:r>
        <w:rPr>
          <w:rFonts w:hint="eastAsia" w:eastAsia="仿宋_GB2312" w:cs="Times New Roman"/>
          <w:b w:val="0"/>
          <w:bCs w:val="0"/>
          <w:kern w:val="2"/>
          <w:sz w:val="32"/>
          <w:szCs w:val="24"/>
          <w:lang w:val="en-US" w:eastAsia="zh-CN" w:bidi="ar-SA"/>
        </w:rPr>
        <w:t>推进</w:t>
      </w:r>
      <w:r>
        <w:rPr>
          <w:rFonts w:hint="eastAsia" w:ascii="仿宋_GB2312" w:hAnsi="仿宋_GB2312" w:eastAsia="仿宋_GB2312" w:cs="仿宋_GB2312"/>
          <w:color w:val="000000"/>
          <w:kern w:val="2"/>
          <w:sz w:val="32"/>
          <w:szCs w:val="32"/>
          <w:lang w:val="en-US" w:eastAsia="zh-CN" w:bidi="ar-SA"/>
        </w:rPr>
        <w:t>保供</w:t>
      </w:r>
      <w:r>
        <w:rPr>
          <w:rFonts w:hint="eastAsia" w:eastAsia="仿宋_GB2312" w:cs="Times New Roman"/>
          <w:b w:val="0"/>
          <w:bCs w:val="0"/>
          <w:kern w:val="2"/>
          <w:sz w:val="32"/>
          <w:szCs w:val="24"/>
          <w:lang w:val="en-US" w:eastAsia="zh-CN" w:bidi="ar-SA"/>
        </w:rPr>
        <w:t>蔬菜以城镇周边为中心、</w:t>
      </w:r>
      <w:r>
        <w:rPr>
          <w:rFonts w:hint="eastAsia" w:ascii="仿宋_GB2312" w:hAnsi="仿宋_GB2312" w:eastAsia="仿宋_GB2312" w:cs="仿宋_GB2312"/>
          <w:color w:val="000000"/>
          <w:kern w:val="2"/>
          <w:sz w:val="32"/>
          <w:szCs w:val="32"/>
          <w:lang w:val="en-US" w:eastAsia="zh-CN" w:bidi="ar-SA"/>
        </w:rPr>
        <w:t>优势蔬菜以“一区二滩三湖四路</w:t>
      </w:r>
      <w:r>
        <w:rPr>
          <w:rStyle w:val="32"/>
          <w:rFonts w:hint="eastAsia" w:ascii="仿宋_GB2312" w:hAnsi="仿宋_GB2312" w:eastAsia="仿宋_GB2312" w:cs="仿宋_GB2312"/>
          <w:color w:val="000000"/>
          <w:kern w:val="2"/>
          <w:sz w:val="32"/>
          <w:szCs w:val="32"/>
          <w:lang w:val="en-US" w:eastAsia="zh-CN" w:bidi="ar-SA"/>
        </w:rPr>
        <w:footnoteReference w:id="3"/>
      </w:r>
      <w:r>
        <w:rPr>
          <w:rFonts w:hint="eastAsia" w:ascii="仿宋_GB2312" w:hAnsi="仿宋_GB2312" w:eastAsia="仿宋_GB2312" w:cs="仿宋_GB2312"/>
          <w:color w:val="000000"/>
          <w:kern w:val="2"/>
          <w:sz w:val="32"/>
          <w:szCs w:val="32"/>
          <w:lang w:val="en-US" w:eastAsia="zh-CN" w:bidi="ar-SA"/>
        </w:rPr>
        <w:t>”为中心进行发展。加快</w:t>
      </w:r>
      <w:r>
        <w:rPr>
          <w:rFonts w:hint="eastAsia" w:eastAsia="仿宋_GB2312" w:cs="Times New Roman"/>
          <w:b w:val="0"/>
          <w:bCs w:val="0"/>
          <w:kern w:val="2"/>
          <w:sz w:val="32"/>
          <w:szCs w:val="24"/>
          <w:lang w:val="en-US" w:eastAsia="zh-CN" w:bidi="ar-SA"/>
        </w:rPr>
        <w:t>“菜篮子”生产基地规模化、标准化建设，推进</w:t>
      </w:r>
      <w:r>
        <w:rPr>
          <w:rFonts w:hint="eastAsia" w:ascii="仿宋_GB2312" w:hAnsi="仿宋_GB2312" w:eastAsia="仿宋_GB2312" w:cs="仿宋_GB2312"/>
          <w:sz w:val="32"/>
          <w:szCs w:val="32"/>
        </w:rPr>
        <w:t>田头冷链仓储设施建设</w:t>
      </w:r>
      <w:r>
        <w:rPr>
          <w:rFonts w:hint="eastAsia" w:eastAsia="仿宋_GB2312" w:cs="Times New Roman"/>
          <w:b w:val="0"/>
          <w:bCs w:val="0"/>
          <w:kern w:val="2"/>
          <w:sz w:val="32"/>
          <w:szCs w:val="24"/>
          <w:lang w:val="en-US" w:eastAsia="zh-CN" w:bidi="ar-SA"/>
        </w:rPr>
        <w:t xml:space="preserve">。推动西兰花、红菜苔、茭白和莲藕等示范基地争创省级蔬菜示范区。引导供港蔬菜基地、水生蔬菜基地和设施蔬菜生产基地等蔬菜示范区创建国家“菜篮子”标准化示范园。推进龙湾镇、浩口镇（浩原）、高石碑镇、后湖管理区、总口管理区、周矶管理区和广华街道等打造蔬果产业带，建成一批规模化、专业化的精品菜园和精品果园。到2025年，全市蔬菜种植面积40万亩，产量100万吨；精品瓜果种植面积6万亩，产量8.5万吨。  </w:t>
      </w:r>
    </w:p>
    <w:p>
      <w:pPr>
        <w:pStyle w:val="23"/>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eastAsia="仿宋_GB2312" w:cs="Times New Roman"/>
          <w:b w:val="0"/>
          <w:bCs w:val="0"/>
          <w:kern w:val="2"/>
          <w:sz w:val="32"/>
          <w:szCs w:val="24"/>
          <w:lang w:val="en-US" w:eastAsia="zh-CN" w:bidi="ar-SA"/>
        </w:rPr>
      </w:pPr>
      <w:r>
        <w:rPr>
          <w:rFonts w:hint="eastAsia" w:eastAsia="仿宋_GB2312" w:cs="Times New Roman"/>
          <w:b w:val="0"/>
          <w:bCs w:val="0"/>
          <w:kern w:val="2"/>
          <w:sz w:val="32"/>
          <w:szCs w:val="24"/>
          <w:lang w:val="en-US" w:eastAsia="zh-CN" w:bidi="ar-SA"/>
        </w:rPr>
        <w:t>推进蔬果采后商品化分级分等处理，完善蔬果采后预冷、贮藏及物流等装备及设施。支持加工企业进行设备和技术改造，补齐蔬果产品加工短板。在膜分离技术、超高压技术、低温冻干技术和微波技术等高新技术方面展开集中攻关，促进蔬果原料多层次开发。鼓励吉爽、大优和满园果等加工企业发展节能脱水蔬果、速冻蔬果、蔬果粉、蔬果饮品、蔬果罐头、腌制蔬果、休闲食品等，推进茎叶根、皮渣等副产物增值利用，开发果胶、膳食纤维、饲料等新产品。</w:t>
      </w:r>
      <w:r>
        <w:rPr>
          <w:rFonts w:hint="default" w:ascii="Times New Roman" w:hAnsi="Times New Roman" w:eastAsia="仿宋_GB2312" w:cs="Times New Roman"/>
          <w:b w:val="0"/>
          <w:bCs w:val="0"/>
          <w:kern w:val="2"/>
          <w:sz w:val="32"/>
          <w:szCs w:val="24"/>
          <w:lang w:val="en-US" w:eastAsia="zh-CN" w:bidi="ar-SA"/>
        </w:rPr>
        <w:t>推动加工企业与</w:t>
      </w:r>
      <w:r>
        <w:rPr>
          <w:rFonts w:hint="eastAsia" w:eastAsia="仿宋_GB2312" w:cs="Times New Roman"/>
          <w:b w:val="0"/>
          <w:bCs w:val="0"/>
          <w:kern w:val="2"/>
          <w:sz w:val="32"/>
          <w:szCs w:val="24"/>
          <w:lang w:val="en-US" w:eastAsia="zh-CN" w:bidi="ar-SA"/>
        </w:rPr>
        <w:t>农户</w:t>
      </w:r>
      <w:r>
        <w:rPr>
          <w:rFonts w:hint="default" w:ascii="Times New Roman" w:hAnsi="Times New Roman" w:eastAsia="仿宋_GB2312" w:cs="Times New Roman"/>
          <w:b w:val="0"/>
          <w:bCs w:val="0"/>
          <w:kern w:val="2"/>
          <w:sz w:val="32"/>
          <w:szCs w:val="24"/>
          <w:lang w:val="en-US" w:eastAsia="zh-CN" w:bidi="ar-SA"/>
        </w:rPr>
        <w:t>建立紧密型利益联结机制，增加农民产业增值收益和就业机会</w:t>
      </w:r>
      <w:r>
        <w:rPr>
          <w:rFonts w:hint="eastAsia" w:eastAsia="仿宋_GB2312" w:cs="Times New Roman"/>
          <w:b w:val="0"/>
          <w:bCs w:val="0"/>
          <w:kern w:val="2"/>
          <w:sz w:val="32"/>
          <w:szCs w:val="24"/>
          <w:lang w:val="en-US" w:eastAsia="zh-CN" w:bidi="ar-SA"/>
        </w:rPr>
        <w:t>。到2025年，打造5-7个加工能力强、生产工艺先进的蔬果加工龙头企业。全市蔬果商品化分级分等处理率60%、加工率40%，加工产值25亿元。</w:t>
      </w:r>
    </w:p>
    <w:p>
      <w:pPr>
        <w:pStyle w:val="23"/>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eastAsia="仿宋_GB2312" w:cs="Times New Roman"/>
          <w:b w:val="0"/>
          <w:bCs w:val="0"/>
          <w:kern w:val="2"/>
          <w:sz w:val="32"/>
          <w:szCs w:val="24"/>
          <w:lang w:val="en-US" w:eastAsia="zh-CN" w:bidi="ar-SA"/>
        </w:rPr>
      </w:pPr>
      <w:r>
        <w:rPr>
          <w:rFonts w:hint="eastAsia" w:eastAsia="仿宋_GB2312" w:cs="Times New Roman"/>
          <w:b w:val="0"/>
          <w:bCs w:val="0"/>
          <w:kern w:val="2"/>
          <w:sz w:val="32"/>
          <w:szCs w:val="24"/>
          <w:lang w:val="en-US" w:eastAsia="zh-CN" w:bidi="ar-SA"/>
        </w:rPr>
        <w:t>根据市场需求，制定本地蔬果产品质量标准，规范包装质量，分级包装、分级定价，标明品牌、规格、产地等，实行标准化上市场。以龙头企业、农民专业合作组织为主体，由政府牵头，积极开展绿色食品和有机农产品检验认证，逐步构建蔬果产品品牌体系。以地方优质品牌为引领，巩固老品牌，壮大小品牌，创造新品牌。</w:t>
      </w:r>
      <w:r>
        <w:rPr>
          <w:rFonts w:hint="default" w:eastAsia="仿宋_GB2312" w:cs="Times New Roman"/>
          <w:b w:val="0"/>
          <w:bCs w:val="0"/>
          <w:kern w:val="2"/>
          <w:sz w:val="32"/>
          <w:szCs w:val="24"/>
          <w:lang w:val="en-US" w:eastAsia="zh-CN" w:bidi="ar-SA"/>
        </w:rPr>
        <w:t>到2025</w:t>
      </w:r>
      <w:r>
        <w:rPr>
          <w:rFonts w:hint="eastAsia" w:eastAsia="仿宋_GB2312" w:cs="Times New Roman"/>
          <w:b w:val="0"/>
          <w:bCs w:val="0"/>
          <w:kern w:val="2"/>
          <w:sz w:val="32"/>
          <w:szCs w:val="24"/>
          <w:lang w:val="en-US" w:eastAsia="zh-CN" w:bidi="ar-SA"/>
        </w:rPr>
        <w:t>年，</w:t>
      </w:r>
      <w:r>
        <w:rPr>
          <w:rFonts w:hint="default" w:eastAsia="仿宋_GB2312" w:cs="Times New Roman"/>
          <w:b w:val="0"/>
          <w:bCs w:val="0"/>
          <w:kern w:val="2"/>
          <w:sz w:val="32"/>
          <w:szCs w:val="24"/>
          <w:lang w:val="en-US" w:eastAsia="zh-CN" w:bidi="ar-SA"/>
        </w:rPr>
        <w:t>80%</w:t>
      </w:r>
      <w:r>
        <w:rPr>
          <w:rFonts w:hint="eastAsia" w:eastAsia="仿宋_GB2312" w:cs="Times New Roman"/>
          <w:b w:val="0"/>
          <w:bCs w:val="0"/>
          <w:kern w:val="2"/>
          <w:sz w:val="32"/>
          <w:szCs w:val="24"/>
          <w:lang w:val="en-US" w:eastAsia="zh-CN" w:bidi="ar-SA"/>
        </w:rPr>
        <w:t>蔬菜产品、</w:t>
      </w:r>
      <w:r>
        <w:rPr>
          <w:rFonts w:hint="default" w:eastAsia="仿宋_GB2312" w:cs="Times New Roman"/>
          <w:b w:val="0"/>
          <w:bCs w:val="0"/>
          <w:kern w:val="2"/>
          <w:sz w:val="32"/>
          <w:szCs w:val="24"/>
          <w:lang w:val="en-US" w:eastAsia="zh-CN" w:bidi="ar-SA"/>
        </w:rPr>
        <w:t>4</w:t>
      </w:r>
      <w:r>
        <w:rPr>
          <w:rFonts w:hint="eastAsia" w:eastAsia="仿宋_GB2312" w:cs="Times New Roman"/>
          <w:b w:val="0"/>
          <w:bCs w:val="0"/>
          <w:kern w:val="2"/>
          <w:sz w:val="32"/>
          <w:szCs w:val="24"/>
          <w:lang w:val="en-US" w:eastAsia="zh-CN" w:bidi="ar-SA"/>
        </w:rPr>
        <w:t>0</w:t>
      </w:r>
      <w:r>
        <w:rPr>
          <w:rFonts w:hint="default" w:eastAsia="仿宋_GB2312" w:cs="Times New Roman"/>
          <w:b w:val="0"/>
          <w:bCs w:val="0"/>
          <w:kern w:val="2"/>
          <w:sz w:val="32"/>
          <w:szCs w:val="24"/>
          <w:lang w:val="en-US" w:eastAsia="zh-CN" w:bidi="ar-SA"/>
        </w:rPr>
        <w:t>%</w:t>
      </w:r>
      <w:r>
        <w:rPr>
          <w:rFonts w:hint="eastAsia" w:eastAsia="仿宋_GB2312" w:cs="Times New Roman"/>
          <w:b w:val="0"/>
          <w:bCs w:val="0"/>
          <w:kern w:val="2"/>
          <w:sz w:val="32"/>
          <w:szCs w:val="24"/>
          <w:lang w:val="en-US" w:eastAsia="zh-CN" w:bidi="ar-SA"/>
        </w:rPr>
        <w:t>瓜果产品实现包装品牌化销售，创建潜江蔬果省级品牌、著名商标2-3个。</w:t>
      </w:r>
    </w:p>
    <w:p>
      <w:pPr>
        <w:pStyle w:val="23"/>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eastAsia="楷体" w:cs="Times New Roman"/>
          <w:b/>
          <w:bCs/>
          <w:color w:val="auto"/>
          <w:sz w:val="32"/>
          <w:szCs w:val="40"/>
          <w:highlight w:val="none"/>
          <w:lang w:val="en-US" w:eastAsia="zh-CN"/>
        </w:rPr>
      </w:pPr>
      <w:r>
        <w:rPr>
          <w:rFonts w:hint="default" w:ascii="Times New Roman" w:hAnsi="Times New Roman" w:eastAsia="仿宋_GB2312" w:cs="Times New Roman"/>
          <w:sz w:val="32"/>
          <w:szCs w:val="32"/>
        </w:rPr>
        <w:t>建设</w:t>
      </w:r>
      <w:r>
        <w:rPr>
          <w:rFonts w:hint="default" w:ascii="Times New Roman" w:hAnsi="Times New Roman" w:eastAsia="仿宋_GB2312" w:cs="Times New Roman"/>
          <w:sz w:val="32"/>
          <w:szCs w:val="32"/>
          <w:lang w:val="en-US" w:eastAsia="zh-CN"/>
        </w:rPr>
        <w:t>潜江</w:t>
      </w:r>
      <w:r>
        <w:rPr>
          <w:rFonts w:hint="default" w:ascii="Times New Roman" w:hAnsi="Times New Roman" w:eastAsia="仿宋_GB2312" w:cs="Times New Roman"/>
          <w:sz w:val="32"/>
          <w:szCs w:val="32"/>
        </w:rPr>
        <w:t>蔬</w:t>
      </w:r>
      <w:r>
        <w:rPr>
          <w:rFonts w:hint="default" w:ascii="Times New Roman" w:hAnsi="Times New Roman" w:eastAsia="仿宋_GB2312" w:cs="Times New Roman"/>
          <w:sz w:val="32"/>
          <w:szCs w:val="32"/>
          <w:lang w:val="en-US" w:eastAsia="zh-CN"/>
        </w:rPr>
        <w:t>果</w:t>
      </w:r>
      <w:r>
        <w:rPr>
          <w:rFonts w:hint="default" w:ascii="Times New Roman" w:hAnsi="Times New Roman" w:eastAsia="仿宋_GB2312" w:cs="Times New Roman"/>
          <w:sz w:val="32"/>
          <w:szCs w:val="32"/>
        </w:rPr>
        <w:t>集散交易中心，加强蔬</w:t>
      </w:r>
      <w:r>
        <w:rPr>
          <w:rFonts w:hint="default" w:ascii="Times New Roman" w:hAnsi="Times New Roman" w:eastAsia="仿宋_GB2312" w:cs="Times New Roman"/>
          <w:sz w:val="32"/>
          <w:szCs w:val="32"/>
          <w:lang w:val="en-US" w:eastAsia="zh-CN"/>
        </w:rPr>
        <w:t>果</w:t>
      </w:r>
      <w:r>
        <w:rPr>
          <w:rFonts w:hint="default" w:ascii="Times New Roman" w:hAnsi="Times New Roman" w:eastAsia="仿宋_GB2312" w:cs="Times New Roman"/>
          <w:sz w:val="32"/>
          <w:szCs w:val="32"/>
        </w:rPr>
        <w:t>冷链物流体系建设，建立蔬</w:t>
      </w:r>
      <w:r>
        <w:rPr>
          <w:rFonts w:hint="default" w:ascii="Times New Roman" w:hAnsi="Times New Roman" w:eastAsia="仿宋_GB2312" w:cs="Times New Roman"/>
          <w:sz w:val="32"/>
          <w:szCs w:val="32"/>
          <w:lang w:val="en-US" w:eastAsia="zh-CN"/>
        </w:rPr>
        <w:t>果</w:t>
      </w:r>
      <w:r>
        <w:rPr>
          <w:rFonts w:hint="default" w:ascii="Times New Roman" w:hAnsi="Times New Roman" w:eastAsia="仿宋_GB2312" w:cs="Times New Roman"/>
          <w:sz w:val="32"/>
          <w:szCs w:val="32"/>
        </w:rPr>
        <w:t>流通信息平台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推进</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以三带一</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融合发展</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推动蔬果产业与文化旅游深度融合。</w:t>
      </w:r>
      <w:r>
        <w:rPr>
          <w:rFonts w:hint="eastAsia" w:ascii="Times New Roman" w:hAnsi="Times New Roman" w:eastAsia="仿宋_GB2312" w:cs="Times New Roman"/>
          <w:kern w:val="2"/>
          <w:sz w:val="32"/>
          <w:szCs w:val="32"/>
          <w:lang w:val="en-US" w:eastAsia="zh-CN" w:bidi="ar-SA"/>
        </w:rPr>
        <w:t>以“一带、三核、一园、多点”</w:t>
      </w:r>
      <w:r>
        <w:rPr>
          <w:rStyle w:val="32"/>
          <w:rFonts w:hint="eastAsia" w:ascii="Times New Roman" w:hAnsi="Times New Roman" w:eastAsia="仿宋_GB2312" w:cs="Times New Roman"/>
          <w:kern w:val="2"/>
          <w:sz w:val="32"/>
          <w:szCs w:val="32"/>
          <w:lang w:val="en-US" w:eastAsia="zh-CN" w:bidi="ar-SA"/>
        </w:rPr>
        <w:footnoteReference w:id="4"/>
      </w:r>
      <w:r>
        <w:rPr>
          <w:rFonts w:hint="eastAsia" w:ascii="Times New Roman" w:hAnsi="Times New Roman" w:eastAsia="仿宋_GB2312" w:cs="Times New Roman"/>
          <w:kern w:val="2"/>
          <w:sz w:val="32"/>
          <w:szCs w:val="32"/>
          <w:lang w:val="en-US" w:eastAsia="zh-CN" w:bidi="ar-SA"/>
        </w:rPr>
        <w:t>全域旅游发展布局为指引</w:t>
      </w:r>
      <w:r>
        <w:rPr>
          <w:rFonts w:hint="eastAsia" w:eastAsia="仿宋_GB2312" w:cs="Times New Roman"/>
          <w:b w:val="0"/>
          <w:bCs w:val="0"/>
          <w:kern w:val="2"/>
          <w:sz w:val="32"/>
          <w:szCs w:val="24"/>
          <w:lang w:val="en-US" w:eastAsia="zh-CN" w:bidi="ar-SA"/>
        </w:rPr>
        <w:t>，推动蔬果观光采摘园与市域休闲旅游廊道、重要旅游节点线路有机衔接，推进美丽村镇、特色小镇和乡村农庄与蔬果休闲采摘园同步规划建设，打造一批“生产基地+乡村旅游”“采摘园+田园生活体验”“良种+良法”“企业+基地+农户”的精品蔬果产业示范园，推进</w:t>
      </w:r>
      <w:r>
        <w:rPr>
          <w:rFonts w:hint="default" w:eastAsia="仿宋_GB2312" w:cs="Times New Roman"/>
          <w:b w:val="0"/>
          <w:bCs w:val="0"/>
          <w:kern w:val="2"/>
          <w:sz w:val="32"/>
          <w:szCs w:val="24"/>
          <w:lang w:val="en-US" w:eastAsia="zh-CN" w:bidi="ar-SA"/>
        </w:rPr>
        <w:t>蔬菜园区</w:t>
      </w:r>
      <w:r>
        <w:rPr>
          <w:rFonts w:hint="eastAsia" w:eastAsia="仿宋_GB2312" w:cs="Times New Roman"/>
          <w:b w:val="0"/>
          <w:bCs w:val="0"/>
          <w:kern w:val="2"/>
          <w:sz w:val="32"/>
          <w:szCs w:val="24"/>
          <w:lang w:val="en-US" w:eastAsia="zh-CN" w:bidi="ar-SA"/>
        </w:rPr>
        <w:t>“</w:t>
      </w:r>
      <w:r>
        <w:rPr>
          <w:rFonts w:hint="default" w:eastAsia="仿宋_GB2312" w:cs="Times New Roman"/>
          <w:b w:val="0"/>
          <w:bCs w:val="0"/>
          <w:kern w:val="2"/>
          <w:sz w:val="32"/>
          <w:szCs w:val="24"/>
          <w:lang w:val="en-US" w:eastAsia="zh-CN" w:bidi="ar-SA"/>
        </w:rPr>
        <w:t>景区</w:t>
      </w:r>
      <w:r>
        <w:rPr>
          <w:rFonts w:hint="eastAsia" w:eastAsia="仿宋_GB2312" w:cs="Times New Roman"/>
          <w:b w:val="0"/>
          <w:bCs w:val="0"/>
          <w:kern w:val="2"/>
          <w:sz w:val="32"/>
          <w:szCs w:val="24"/>
          <w:lang w:val="en-US" w:eastAsia="zh-CN" w:bidi="ar-SA"/>
        </w:rPr>
        <w:t>化”发展。</w:t>
      </w:r>
      <w:r>
        <w:rPr>
          <w:rFonts w:hint="eastAsia" w:eastAsia="仿宋_GB2312" w:cs="Times New Roman"/>
          <w:b w:val="0"/>
          <w:bCs w:val="0"/>
          <w:kern w:val="2"/>
          <w:sz w:val="32"/>
          <w:szCs w:val="24"/>
          <w:highlight w:val="none"/>
          <w:lang w:val="en-US" w:eastAsia="zh-CN" w:bidi="ar-SA"/>
        </w:rPr>
        <w:t>到2025年，建设成为武汉城市圈“菜篮子”基地；潜江蔬果产业基本形成种植+加工+销售+休闲+采摘+餐饮为一体的融合发展格局，全产业链综合产值达到50亿元。</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outlineLvl w:val="2"/>
        <w:rPr>
          <w:rFonts w:hint="eastAsia" w:ascii="Times New Roman" w:hAnsi="Times New Roman" w:eastAsia="楷体" w:cs="Times New Roman"/>
          <w:b/>
          <w:bCs/>
          <w:color w:val="auto"/>
          <w:sz w:val="32"/>
          <w:szCs w:val="40"/>
          <w:lang w:val="en-US" w:eastAsia="zh-CN"/>
        </w:rPr>
      </w:pPr>
      <w:r>
        <w:rPr>
          <w:rFonts w:hint="eastAsia" w:ascii="Times New Roman" w:hAnsi="Times New Roman" w:eastAsia="楷体" w:cs="Times New Roman"/>
          <w:b/>
          <w:bCs/>
          <w:color w:val="auto"/>
          <w:sz w:val="32"/>
          <w:szCs w:val="40"/>
          <w:lang w:val="en-US" w:eastAsia="zh-CN"/>
        </w:rPr>
        <w:t xml:space="preserve">2.潜江菜籽油产业链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b w:val="0"/>
          <w:bCs w:val="0"/>
          <w:kern w:val="2"/>
          <w:sz w:val="32"/>
          <w:szCs w:val="24"/>
          <w:highlight w:val="none"/>
          <w:lang w:val="en-US" w:eastAsia="zh-CN" w:bidi="ar-SA"/>
        </w:rPr>
      </w:pPr>
      <w:r>
        <w:rPr>
          <w:rFonts w:hint="default" w:ascii="Times New Roman" w:hAnsi="Times New Roman" w:eastAsia="仿宋_GB2312" w:cs="Times New Roman"/>
          <w:b w:val="0"/>
          <w:bCs w:val="0"/>
          <w:kern w:val="2"/>
          <w:sz w:val="32"/>
          <w:szCs w:val="24"/>
          <w:highlight w:val="none"/>
          <w:lang w:val="en-US" w:eastAsia="zh-CN" w:bidi="ar-SA"/>
        </w:rPr>
        <w:t>大力推广</w:t>
      </w:r>
      <w:r>
        <w:rPr>
          <w:rFonts w:hint="eastAsia" w:ascii="Times New Roman" w:hAnsi="Times New Roman" w:eastAsia="仿宋_GB2312" w:cs="Times New Roman"/>
          <w:b w:val="0"/>
          <w:bCs w:val="0"/>
          <w:kern w:val="2"/>
          <w:sz w:val="32"/>
          <w:szCs w:val="24"/>
          <w:highlight w:val="none"/>
          <w:lang w:val="en-US" w:eastAsia="zh-CN" w:bidi="ar-SA"/>
        </w:rPr>
        <w:t>“高油酸”</w:t>
      </w:r>
      <w:r>
        <w:rPr>
          <w:rFonts w:hint="default" w:ascii="Times New Roman" w:hAnsi="Times New Roman" w:eastAsia="仿宋_GB2312" w:cs="Times New Roman"/>
          <w:b w:val="0"/>
          <w:bCs w:val="0"/>
          <w:kern w:val="2"/>
          <w:sz w:val="32"/>
          <w:szCs w:val="24"/>
          <w:highlight w:val="none"/>
          <w:lang w:val="en-US" w:eastAsia="zh-CN" w:bidi="ar-SA"/>
        </w:rPr>
        <w:t>优质</w:t>
      </w:r>
      <w:r>
        <w:rPr>
          <w:rFonts w:hint="eastAsia" w:ascii="Times New Roman" w:hAnsi="Times New Roman" w:eastAsia="仿宋_GB2312" w:cs="Times New Roman"/>
          <w:b w:val="0"/>
          <w:bCs w:val="0"/>
          <w:kern w:val="2"/>
          <w:sz w:val="32"/>
          <w:szCs w:val="24"/>
          <w:highlight w:val="none"/>
          <w:lang w:val="en-US" w:eastAsia="zh-CN" w:bidi="ar-SA"/>
        </w:rPr>
        <w:t>油菜</w:t>
      </w:r>
      <w:r>
        <w:rPr>
          <w:rFonts w:hint="default" w:ascii="Times New Roman" w:hAnsi="Times New Roman" w:eastAsia="仿宋_GB2312" w:cs="Times New Roman"/>
          <w:b w:val="0"/>
          <w:bCs w:val="0"/>
          <w:kern w:val="2"/>
          <w:sz w:val="32"/>
          <w:szCs w:val="24"/>
          <w:highlight w:val="none"/>
          <w:lang w:val="en-US" w:eastAsia="zh-CN" w:bidi="ar-SA"/>
        </w:rPr>
        <w:t>新品种，在不影响粮食生产的前提下，集中连片建设高产稳产的核心产区。</w:t>
      </w:r>
      <w:r>
        <w:rPr>
          <w:rFonts w:hint="eastAsia" w:ascii="Times New Roman" w:hAnsi="Times New Roman" w:eastAsia="仿宋_GB2312" w:cs="Times New Roman"/>
          <w:b w:val="0"/>
          <w:bCs w:val="0"/>
          <w:kern w:val="2"/>
          <w:sz w:val="32"/>
          <w:szCs w:val="24"/>
          <w:highlight w:val="none"/>
          <w:lang w:val="en-US" w:eastAsia="zh-CN" w:bidi="ar-SA"/>
        </w:rPr>
        <w:t>支持以油脂加工企业牵头，联合农机合作社，通过季节性流转和代种、代管和代收服务，集中流转农户冬闲田统一种植油菜。</w:t>
      </w:r>
      <w:r>
        <w:rPr>
          <w:rFonts w:hint="default" w:ascii="Times New Roman" w:hAnsi="Times New Roman" w:eastAsia="仿宋_GB2312" w:cs="Times New Roman"/>
          <w:b w:val="0"/>
          <w:bCs w:val="0"/>
          <w:kern w:val="2"/>
          <w:sz w:val="32"/>
          <w:szCs w:val="24"/>
          <w:highlight w:val="none"/>
          <w:lang w:val="en-US" w:eastAsia="zh-CN" w:bidi="ar-SA"/>
        </w:rPr>
        <w:t>强化农业科技指导，因地制宜推广粮油轮作制度</w:t>
      </w:r>
      <w:r>
        <w:rPr>
          <w:rFonts w:hint="eastAsia" w:ascii="Times New Roman" w:hAnsi="Times New Roman" w:eastAsia="仿宋_GB2312" w:cs="Times New Roman"/>
          <w:b w:val="0"/>
          <w:bCs w:val="0"/>
          <w:kern w:val="2"/>
          <w:sz w:val="32"/>
          <w:szCs w:val="24"/>
          <w:highlight w:val="none"/>
          <w:lang w:val="en-US" w:eastAsia="zh-CN" w:bidi="ar-SA"/>
        </w:rPr>
        <w:t>，</w:t>
      </w:r>
      <w:r>
        <w:rPr>
          <w:rFonts w:hint="default" w:ascii="Times New Roman" w:hAnsi="Times New Roman" w:eastAsia="仿宋_GB2312" w:cs="Times New Roman"/>
          <w:b w:val="0"/>
          <w:bCs w:val="0"/>
          <w:kern w:val="2"/>
          <w:sz w:val="32"/>
          <w:szCs w:val="24"/>
          <w:highlight w:val="none"/>
          <w:lang w:val="en-US" w:eastAsia="zh-CN" w:bidi="ar-SA"/>
        </w:rPr>
        <w:t>大力推广无人机飞播、精量直播</w:t>
      </w:r>
      <w:r>
        <w:rPr>
          <w:rFonts w:hint="eastAsia" w:ascii="Times New Roman" w:hAnsi="Times New Roman" w:eastAsia="仿宋_GB2312" w:cs="Times New Roman"/>
          <w:b w:val="0"/>
          <w:bCs w:val="0"/>
          <w:kern w:val="2"/>
          <w:sz w:val="32"/>
          <w:szCs w:val="24"/>
          <w:highlight w:val="none"/>
          <w:lang w:val="en-US" w:eastAsia="zh-CN" w:bidi="ar-SA"/>
        </w:rPr>
        <w:t>和全程机械化</w:t>
      </w:r>
      <w:r>
        <w:rPr>
          <w:rFonts w:hint="default" w:ascii="Times New Roman" w:hAnsi="Times New Roman" w:eastAsia="仿宋_GB2312" w:cs="Times New Roman"/>
          <w:b w:val="0"/>
          <w:bCs w:val="0"/>
          <w:kern w:val="2"/>
          <w:sz w:val="32"/>
          <w:szCs w:val="24"/>
          <w:highlight w:val="none"/>
          <w:lang w:val="en-US" w:eastAsia="zh-CN" w:bidi="ar-SA"/>
        </w:rPr>
        <w:t>等油菜生产技术。</w:t>
      </w:r>
      <w:r>
        <w:rPr>
          <w:rFonts w:hint="eastAsia" w:ascii="仿宋_GB2312" w:hAnsi="Times New Roman" w:eastAsia="仿宋_GB2312" w:cs="微软雅黑"/>
          <w:kern w:val="2"/>
          <w:sz w:val="32"/>
          <w:szCs w:val="32"/>
          <w:lang w:val="zh-CN" w:eastAsia="zh-CN" w:bidi="zh-CN"/>
        </w:rPr>
        <w:t>探索“龙头引领+区域集散+家门口服务”的发展模式。</w:t>
      </w:r>
      <w:r>
        <w:rPr>
          <w:rFonts w:hint="default" w:ascii="Times New Roman" w:hAnsi="Times New Roman" w:eastAsia="仿宋_GB2312" w:cs="Times New Roman"/>
          <w:b w:val="0"/>
          <w:bCs w:val="0"/>
          <w:kern w:val="2"/>
          <w:sz w:val="32"/>
          <w:szCs w:val="24"/>
          <w:highlight w:val="none"/>
          <w:lang w:val="en-US" w:eastAsia="zh-CN" w:bidi="ar-SA"/>
        </w:rPr>
        <w:t>扶持有条件的龙头企业在产</w:t>
      </w:r>
      <w:r>
        <w:rPr>
          <w:rFonts w:hint="eastAsia" w:ascii="Times New Roman" w:hAnsi="Times New Roman" w:eastAsia="仿宋_GB2312" w:cs="Times New Roman"/>
          <w:b w:val="0"/>
          <w:bCs w:val="0"/>
          <w:kern w:val="2"/>
          <w:sz w:val="32"/>
          <w:szCs w:val="24"/>
          <w:highlight w:val="none"/>
          <w:lang w:val="en-US" w:eastAsia="zh-CN" w:bidi="ar-SA"/>
        </w:rPr>
        <w:t>地集中点</w:t>
      </w:r>
      <w:r>
        <w:rPr>
          <w:rFonts w:hint="default" w:ascii="Times New Roman" w:hAnsi="Times New Roman" w:eastAsia="仿宋_GB2312" w:cs="Times New Roman"/>
          <w:b w:val="0"/>
          <w:bCs w:val="0"/>
          <w:kern w:val="2"/>
          <w:sz w:val="32"/>
          <w:szCs w:val="24"/>
          <w:highlight w:val="none"/>
          <w:lang w:val="en-US" w:eastAsia="zh-CN" w:bidi="ar-SA"/>
        </w:rPr>
        <w:t>建设优质商品籽、商品油生产</w:t>
      </w:r>
      <w:r>
        <w:rPr>
          <w:rFonts w:hint="eastAsia" w:ascii="Times New Roman" w:hAnsi="Times New Roman" w:eastAsia="仿宋_GB2312" w:cs="Times New Roman"/>
          <w:b w:val="0"/>
          <w:bCs w:val="0"/>
          <w:kern w:val="2"/>
          <w:sz w:val="32"/>
          <w:szCs w:val="24"/>
          <w:highlight w:val="none"/>
          <w:lang w:val="en-US" w:eastAsia="zh-CN" w:bidi="ar-SA"/>
        </w:rPr>
        <w:t>和</w:t>
      </w:r>
      <w:r>
        <w:rPr>
          <w:rFonts w:hint="default" w:ascii="Times New Roman" w:hAnsi="Times New Roman" w:eastAsia="仿宋_GB2312" w:cs="Times New Roman"/>
          <w:b w:val="0"/>
          <w:bCs w:val="0"/>
          <w:kern w:val="2"/>
          <w:sz w:val="32"/>
          <w:szCs w:val="24"/>
          <w:highlight w:val="none"/>
          <w:lang w:val="en-US" w:eastAsia="zh-CN" w:bidi="ar-SA"/>
        </w:rPr>
        <w:t>加工基地，</w:t>
      </w:r>
      <w:r>
        <w:rPr>
          <w:rFonts w:hint="eastAsia" w:ascii="Times New Roman" w:hAnsi="Times New Roman" w:eastAsia="仿宋_GB2312" w:cs="Times New Roman"/>
          <w:b w:val="0"/>
          <w:bCs w:val="0"/>
          <w:kern w:val="2"/>
          <w:sz w:val="32"/>
          <w:szCs w:val="24"/>
          <w:highlight w:val="none"/>
          <w:lang w:val="en-US" w:eastAsia="zh-CN" w:bidi="ar-SA"/>
        </w:rPr>
        <w:t>建立以</w:t>
      </w:r>
      <w:r>
        <w:rPr>
          <w:rFonts w:hint="default" w:ascii="Times New Roman" w:hAnsi="Times New Roman" w:eastAsia="仿宋_GB2312" w:cs="Times New Roman"/>
          <w:b w:val="0"/>
          <w:bCs w:val="0"/>
          <w:kern w:val="2"/>
          <w:sz w:val="32"/>
          <w:szCs w:val="24"/>
          <w:highlight w:val="none"/>
          <w:lang w:val="en-US" w:eastAsia="zh-CN" w:bidi="ar-SA"/>
        </w:rPr>
        <w:t>龙头带基地、基地连农户，产供销一体化</w:t>
      </w:r>
      <w:r>
        <w:rPr>
          <w:rFonts w:hint="eastAsia" w:ascii="Times New Roman" w:hAnsi="Times New Roman" w:eastAsia="仿宋_GB2312" w:cs="Times New Roman"/>
          <w:b w:val="0"/>
          <w:bCs w:val="0"/>
          <w:kern w:val="2"/>
          <w:sz w:val="32"/>
          <w:szCs w:val="24"/>
          <w:highlight w:val="none"/>
          <w:lang w:val="en-US" w:eastAsia="zh-CN" w:bidi="ar-SA"/>
        </w:rPr>
        <w:t>的发展格局</w:t>
      </w:r>
      <w:r>
        <w:rPr>
          <w:rFonts w:hint="default" w:ascii="Times New Roman" w:hAnsi="Times New Roman" w:eastAsia="仿宋_GB2312" w:cs="Times New Roman"/>
          <w:b w:val="0"/>
          <w:bCs w:val="0"/>
          <w:kern w:val="2"/>
          <w:sz w:val="32"/>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eastAsia="楷体" w:cs="Times New Roman"/>
          <w:b/>
          <w:bCs/>
          <w:color w:val="auto"/>
          <w:sz w:val="32"/>
          <w:szCs w:val="40"/>
          <w:highlight w:val="none"/>
          <w:lang w:val="en-US" w:eastAsia="zh-CN"/>
        </w:rPr>
      </w:pPr>
      <w:r>
        <w:rPr>
          <w:rFonts w:hint="eastAsia" w:ascii="Times New Roman" w:hAnsi="Times New Roman" w:eastAsia="仿宋_GB2312" w:cs="Times New Roman"/>
          <w:b w:val="0"/>
          <w:bCs w:val="0"/>
          <w:kern w:val="2"/>
          <w:sz w:val="32"/>
          <w:szCs w:val="24"/>
          <w:highlight w:val="none"/>
          <w:lang w:val="en-US" w:eastAsia="zh-CN" w:bidi="ar-SA"/>
        </w:rPr>
        <w:t>统筹推动户外休闲观光带发展油菜种植，在兴隆水杉绿道、G318潜江风情廊道、潜江园林－返湾湖战备公路、小龙虾观光大道和G234文化遗产廊道沿线打造连片油菜花海，推动乡村休闲产业发展。</w:t>
      </w:r>
      <w:r>
        <w:rPr>
          <w:rFonts w:hint="default" w:ascii="Times New Roman" w:hAnsi="Times New Roman" w:eastAsia="仿宋_GB2312" w:cs="Times New Roman"/>
          <w:b w:val="0"/>
          <w:bCs w:val="0"/>
          <w:kern w:val="2"/>
          <w:sz w:val="32"/>
          <w:szCs w:val="24"/>
          <w:highlight w:val="none"/>
          <w:lang w:val="en-US" w:eastAsia="zh-CN" w:bidi="ar-SA"/>
        </w:rPr>
        <w:t>以高产高油多抗优质品种及功能型菜</w:t>
      </w:r>
      <w:r>
        <w:rPr>
          <w:rFonts w:hint="eastAsia" w:ascii="Times New Roman" w:hAnsi="Times New Roman" w:eastAsia="仿宋_GB2312" w:cs="Times New Roman"/>
          <w:b w:val="0"/>
          <w:bCs w:val="0"/>
          <w:kern w:val="2"/>
          <w:sz w:val="32"/>
          <w:szCs w:val="24"/>
          <w:highlight w:val="none"/>
          <w:lang w:val="en-US" w:eastAsia="zh-CN" w:bidi="ar-SA"/>
        </w:rPr>
        <w:t>籽</w:t>
      </w:r>
      <w:r>
        <w:rPr>
          <w:rFonts w:hint="default" w:ascii="Times New Roman" w:hAnsi="Times New Roman" w:eastAsia="仿宋_GB2312" w:cs="Times New Roman"/>
          <w:b w:val="0"/>
          <w:bCs w:val="0"/>
          <w:kern w:val="2"/>
          <w:sz w:val="32"/>
          <w:szCs w:val="24"/>
          <w:highlight w:val="none"/>
          <w:lang w:val="en-US" w:eastAsia="zh-CN" w:bidi="ar-SA"/>
        </w:rPr>
        <w:t>油开发为主线，推动油用、菜用</w:t>
      </w:r>
      <w:r>
        <w:rPr>
          <w:rFonts w:hint="eastAsia" w:ascii="Times New Roman" w:hAnsi="Times New Roman" w:eastAsia="仿宋_GB2312" w:cs="Times New Roman"/>
          <w:b w:val="0"/>
          <w:bCs w:val="0"/>
          <w:kern w:val="2"/>
          <w:sz w:val="32"/>
          <w:szCs w:val="24"/>
          <w:highlight w:val="none"/>
          <w:lang w:val="en-US" w:eastAsia="zh-CN" w:bidi="ar-SA"/>
        </w:rPr>
        <w:t>和</w:t>
      </w:r>
      <w:r>
        <w:rPr>
          <w:rFonts w:hint="default" w:ascii="Times New Roman" w:hAnsi="Times New Roman" w:eastAsia="仿宋_GB2312" w:cs="Times New Roman"/>
          <w:b w:val="0"/>
          <w:bCs w:val="0"/>
          <w:kern w:val="2"/>
          <w:sz w:val="32"/>
          <w:szCs w:val="24"/>
          <w:highlight w:val="none"/>
          <w:lang w:val="en-US" w:eastAsia="zh-CN" w:bidi="ar-SA"/>
        </w:rPr>
        <w:t>花用等多元融合发展</w:t>
      </w:r>
      <w:r>
        <w:rPr>
          <w:rFonts w:hint="eastAsia" w:ascii="Times New Roman" w:hAnsi="Times New Roman" w:eastAsia="仿宋_GB2312" w:cs="Times New Roman"/>
          <w:b w:val="0"/>
          <w:bCs w:val="0"/>
          <w:kern w:val="2"/>
          <w:sz w:val="32"/>
          <w:szCs w:val="24"/>
          <w:highlight w:val="none"/>
          <w:lang w:val="en-US" w:eastAsia="zh-CN" w:bidi="ar-SA"/>
        </w:rPr>
        <w:t>。</w:t>
      </w:r>
      <w:r>
        <w:rPr>
          <w:rFonts w:hint="default" w:ascii="Times New Roman" w:hAnsi="Times New Roman" w:eastAsia="仿宋_GB2312" w:cs="Times New Roman"/>
          <w:b w:val="0"/>
          <w:bCs w:val="0"/>
          <w:kern w:val="2"/>
          <w:sz w:val="32"/>
          <w:szCs w:val="24"/>
          <w:highlight w:val="none"/>
          <w:lang w:val="en-US" w:eastAsia="zh-CN" w:bidi="ar-SA"/>
        </w:rPr>
        <w:t>以功能型菜籽油、功能型油菜薹、油菜花农旅融合产品开发和品牌创建为重点，走功能型、效益型</w:t>
      </w:r>
      <w:r>
        <w:rPr>
          <w:rFonts w:hint="eastAsia" w:ascii="Times New Roman" w:hAnsi="Times New Roman" w:eastAsia="仿宋_GB2312" w:cs="Times New Roman"/>
          <w:b w:val="0"/>
          <w:bCs w:val="0"/>
          <w:kern w:val="2"/>
          <w:sz w:val="32"/>
          <w:szCs w:val="24"/>
          <w:highlight w:val="none"/>
          <w:lang w:val="en-US" w:eastAsia="zh-CN" w:bidi="ar-SA"/>
        </w:rPr>
        <w:t>和</w:t>
      </w:r>
      <w:r>
        <w:rPr>
          <w:rFonts w:hint="default" w:ascii="Times New Roman" w:hAnsi="Times New Roman" w:eastAsia="仿宋_GB2312" w:cs="Times New Roman"/>
          <w:b w:val="0"/>
          <w:bCs w:val="0"/>
          <w:kern w:val="2"/>
          <w:sz w:val="32"/>
          <w:szCs w:val="24"/>
          <w:highlight w:val="none"/>
          <w:lang w:val="en-US" w:eastAsia="zh-CN" w:bidi="ar-SA"/>
        </w:rPr>
        <w:t>融合型的差异化发展之路，打造油菜产业升级版</w:t>
      </w:r>
      <w:r>
        <w:rPr>
          <w:rFonts w:hint="eastAsia" w:ascii="Times New Roman" w:hAnsi="Times New Roman" w:eastAsia="仿宋_GB2312" w:cs="Times New Roman"/>
          <w:b w:val="0"/>
          <w:bCs w:val="0"/>
          <w:kern w:val="2"/>
          <w:sz w:val="32"/>
          <w:szCs w:val="24"/>
          <w:highlight w:val="none"/>
          <w:lang w:val="en-US" w:eastAsia="zh-CN" w:bidi="ar-SA"/>
        </w:rPr>
        <w:t>。到2025年，</w:t>
      </w:r>
      <w:r>
        <w:rPr>
          <w:rFonts w:hint="default" w:ascii="Times New Roman" w:hAnsi="Times New Roman" w:eastAsia="仿宋_GB2312" w:cs="Times New Roman"/>
          <w:b w:val="0"/>
          <w:bCs w:val="0"/>
          <w:kern w:val="2"/>
          <w:sz w:val="32"/>
          <w:szCs w:val="24"/>
          <w:highlight w:val="none"/>
          <w:lang w:val="en-US" w:eastAsia="zh-CN" w:bidi="ar-SA"/>
        </w:rPr>
        <w:t>全市</w:t>
      </w:r>
      <w:r>
        <w:rPr>
          <w:rFonts w:hint="eastAsia" w:ascii="Times New Roman" w:hAnsi="Times New Roman" w:eastAsia="仿宋_GB2312" w:cs="Times New Roman"/>
          <w:b w:val="0"/>
          <w:bCs w:val="0"/>
          <w:kern w:val="2"/>
          <w:sz w:val="32"/>
          <w:szCs w:val="24"/>
          <w:highlight w:val="none"/>
          <w:lang w:val="en-US" w:eastAsia="zh-CN" w:bidi="ar-SA"/>
        </w:rPr>
        <w:t>油菜</w:t>
      </w:r>
      <w:r>
        <w:rPr>
          <w:rFonts w:hint="default" w:ascii="Times New Roman" w:hAnsi="Times New Roman" w:eastAsia="仿宋_GB2312" w:cs="Times New Roman"/>
          <w:b w:val="0"/>
          <w:bCs w:val="0"/>
          <w:kern w:val="2"/>
          <w:sz w:val="32"/>
          <w:szCs w:val="24"/>
          <w:highlight w:val="none"/>
          <w:lang w:val="en-US" w:eastAsia="zh-CN" w:bidi="ar-SA"/>
        </w:rPr>
        <w:t>种植面积</w:t>
      </w:r>
      <w:r>
        <w:rPr>
          <w:rFonts w:hint="eastAsia" w:ascii="Times New Roman" w:hAnsi="Times New Roman" w:eastAsia="仿宋_GB2312" w:cs="Times New Roman"/>
          <w:b w:val="0"/>
          <w:bCs w:val="0"/>
          <w:kern w:val="2"/>
          <w:sz w:val="32"/>
          <w:szCs w:val="24"/>
          <w:highlight w:val="none"/>
          <w:lang w:val="en-US" w:eastAsia="zh-CN" w:bidi="ar-SA"/>
        </w:rPr>
        <w:t>24</w:t>
      </w:r>
      <w:r>
        <w:rPr>
          <w:rFonts w:hint="default" w:ascii="Times New Roman" w:hAnsi="Times New Roman" w:eastAsia="仿宋_GB2312" w:cs="Times New Roman"/>
          <w:b w:val="0"/>
          <w:bCs w:val="0"/>
          <w:kern w:val="2"/>
          <w:sz w:val="32"/>
          <w:szCs w:val="24"/>
          <w:highlight w:val="none"/>
          <w:lang w:val="en-US" w:eastAsia="zh-CN" w:bidi="ar-SA"/>
        </w:rPr>
        <w:t>万亩，总产</w:t>
      </w:r>
      <w:r>
        <w:rPr>
          <w:rFonts w:hint="eastAsia" w:ascii="Times New Roman" w:hAnsi="Times New Roman" w:eastAsia="仿宋_GB2312" w:cs="Times New Roman"/>
          <w:b w:val="0"/>
          <w:bCs w:val="0"/>
          <w:kern w:val="2"/>
          <w:sz w:val="32"/>
          <w:szCs w:val="24"/>
          <w:highlight w:val="none"/>
          <w:lang w:val="en-US" w:eastAsia="zh-CN" w:bidi="ar-SA"/>
        </w:rPr>
        <w:t>3.5</w:t>
      </w:r>
      <w:r>
        <w:rPr>
          <w:rFonts w:hint="default" w:ascii="Times New Roman" w:hAnsi="Times New Roman" w:eastAsia="仿宋_GB2312" w:cs="Times New Roman"/>
          <w:b w:val="0"/>
          <w:bCs w:val="0"/>
          <w:kern w:val="2"/>
          <w:sz w:val="32"/>
          <w:szCs w:val="24"/>
          <w:highlight w:val="none"/>
          <w:lang w:val="en-US" w:eastAsia="zh-CN" w:bidi="ar-SA"/>
        </w:rPr>
        <w:t>万吨，全产业链综合</w:t>
      </w:r>
      <w:r>
        <w:rPr>
          <w:rFonts w:hint="eastAsia" w:ascii="Times New Roman" w:hAnsi="Times New Roman" w:eastAsia="仿宋_GB2312" w:cs="Times New Roman"/>
          <w:b w:val="0"/>
          <w:bCs w:val="0"/>
          <w:kern w:val="2"/>
          <w:sz w:val="32"/>
          <w:szCs w:val="24"/>
          <w:highlight w:val="none"/>
          <w:lang w:val="en-US" w:eastAsia="zh-CN" w:bidi="ar-SA"/>
        </w:rPr>
        <w:t>产值达到20亿元。</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outlineLvl w:val="2"/>
        <w:rPr>
          <w:rFonts w:hint="eastAsia" w:eastAsia="楷体" w:cs="Times New Roman"/>
          <w:b/>
          <w:bCs/>
          <w:color w:val="auto"/>
          <w:sz w:val="32"/>
          <w:szCs w:val="40"/>
          <w:lang w:val="en-US" w:eastAsia="zh-CN"/>
        </w:rPr>
      </w:pPr>
      <w:r>
        <w:rPr>
          <w:rFonts w:hint="eastAsia" w:eastAsia="楷体" w:cs="Times New Roman"/>
          <w:b/>
          <w:bCs/>
          <w:color w:val="auto"/>
          <w:sz w:val="32"/>
          <w:szCs w:val="40"/>
          <w:highlight w:val="none"/>
          <w:lang w:val="en-US" w:eastAsia="zh-CN"/>
        </w:rPr>
        <w:t xml:space="preserve">3.潜江淡水鱼产业链  </w:t>
      </w:r>
      <w:r>
        <w:rPr>
          <w:rFonts w:hint="eastAsia" w:eastAsia="楷体" w:cs="Times New Roman"/>
          <w:b/>
          <w:bCs/>
          <w:color w:val="auto"/>
          <w:sz w:val="32"/>
          <w:szCs w:val="40"/>
          <w:lang w:val="en-US" w:eastAsia="zh-CN"/>
        </w:rPr>
        <w:t xml:space="preserve">             </w:t>
      </w:r>
    </w:p>
    <w:p>
      <w:pPr>
        <w:keepNext w:val="0"/>
        <w:keepLines w:val="0"/>
        <w:pageBreakBefore w:val="0"/>
        <w:widowControl w:val="0"/>
        <w:tabs>
          <w:tab w:val="left" w:pos="813"/>
        </w:tabs>
        <w:kinsoku/>
        <w:wordWrap/>
        <w:overflowPunct/>
        <w:topLinePunct w:val="0"/>
        <w:autoSpaceDE/>
        <w:autoSpaceDN/>
        <w:bidi w:val="0"/>
        <w:adjustRightInd/>
        <w:snapToGrid/>
        <w:spacing w:line="560" w:lineRule="exact"/>
        <w:jc w:val="both"/>
        <w:textAlignment w:val="auto"/>
        <w:rPr>
          <w:rFonts w:hint="default" w:eastAsia="仿宋_GB2312"/>
          <w:b w:val="0"/>
          <w:bCs w:val="0"/>
          <w:lang w:val="en-US" w:eastAsia="zh-CN"/>
        </w:rPr>
      </w:pPr>
      <w:r>
        <w:rPr>
          <w:rFonts w:hint="eastAsia"/>
          <w:b w:val="0"/>
          <w:bCs w:val="0"/>
          <w:lang w:val="en-US" w:eastAsia="zh-CN"/>
        </w:rPr>
        <w:t>持续调优淡水鱼养殖结构。</w:t>
      </w:r>
      <w:r>
        <w:rPr>
          <w:rFonts w:hint="default"/>
          <w:b w:val="0"/>
          <w:bCs w:val="0"/>
        </w:rPr>
        <w:t>提高草鱼、鲂</w:t>
      </w:r>
      <w:r>
        <w:rPr>
          <w:rFonts w:hint="eastAsia"/>
          <w:b w:val="0"/>
          <w:bCs w:val="0"/>
          <w:lang w:val="en-US" w:eastAsia="zh-CN"/>
        </w:rPr>
        <w:t>鱼和</w:t>
      </w:r>
      <w:r>
        <w:rPr>
          <w:rFonts w:hint="default"/>
          <w:b w:val="0"/>
          <w:bCs w:val="0"/>
        </w:rPr>
        <w:t>鲫</w:t>
      </w:r>
      <w:r>
        <w:rPr>
          <w:rFonts w:hint="eastAsia"/>
          <w:b w:val="0"/>
          <w:bCs w:val="0"/>
          <w:lang w:val="en-US" w:eastAsia="zh-CN"/>
        </w:rPr>
        <w:t>鱼</w:t>
      </w:r>
      <w:r>
        <w:rPr>
          <w:rFonts w:hint="default"/>
          <w:b w:val="0"/>
          <w:bCs w:val="0"/>
        </w:rPr>
        <w:t>等名优品种养殖比例，</w:t>
      </w:r>
      <w:r>
        <w:rPr>
          <w:rFonts w:hint="eastAsia"/>
          <w:b w:val="0"/>
          <w:bCs w:val="0"/>
          <w:lang w:val="en-US" w:eastAsia="zh-CN"/>
        </w:rPr>
        <w:t>推进</w:t>
      </w:r>
      <w:r>
        <w:rPr>
          <w:rFonts w:hint="default"/>
          <w:b w:val="0"/>
          <w:bCs w:val="0"/>
        </w:rPr>
        <w:t>绿色生态养殖</w:t>
      </w:r>
      <w:r>
        <w:rPr>
          <w:rFonts w:hint="eastAsia"/>
          <w:b w:val="0"/>
          <w:bCs w:val="0"/>
          <w:lang w:val="en-US" w:eastAsia="zh-CN"/>
        </w:rPr>
        <w:t>基地建设</w:t>
      </w:r>
      <w:r>
        <w:rPr>
          <w:rFonts w:hint="default"/>
          <w:b w:val="0"/>
          <w:bCs w:val="0"/>
        </w:rPr>
        <w:t>，实施减肥减药行动</w:t>
      </w:r>
      <w:r>
        <w:rPr>
          <w:rFonts w:hint="eastAsia"/>
          <w:b w:val="0"/>
          <w:bCs w:val="0"/>
          <w:lang w:eastAsia="zh-CN"/>
        </w:rPr>
        <w:t>；重点发展黄颡鱼、加州鲈</w:t>
      </w:r>
      <w:r>
        <w:rPr>
          <w:rFonts w:hint="eastAsia"/>
          <w:b w:val="0"/>
          <w:bCs w:val="0"/>
          <w:lang w:val="en-US" w:eastAsia="zh-CN"/>
        </w:rPr>
        <w:t>和</w:t>
      </w:r>
      <w:r>
        <w:rPr>
          <w:rFonts w:hint="eastAsia"/>
          <w:b w:val="0"/>
          <w:bCs w:val="0"/>
          <w:lang w:eastAsia="zh-CN"/>
        </w:rPr>
        <w:t>鲌鱼等特色品种池塘专养，适度规模发展网箱养鳝；大力推广圈养、流水槽等设施养殖。建立商业化育种体系，推进白鹭湖管理区颖鹭鲫、长丰鲢、翘嘴白、鲈鱼和鳡鱼以及后湖管理区黄颡鱼和泥鳅等水产苗种产业发展，推进“育繁推一体化”，支持水产苗种繁育体系建设、水产新品种研发和推广和良种良法示范应用，完善种业服务保障体系。</w:t>
      </w:r>
      <w:r>
        <w:rPr>
          <w:rFonts w:hint="default"/>
          <w:b w:val="0"/>
          <w:bCs w:val="0"/>
        </w:rPr>
        <w:t>到2025年，全市常规品种养殖面积10万亩，养殖产量10万吨</w:t>
      </w:r>
      <w:r>
        <w:rPr>
          <w:rFonts w:hint="eastAsia"/>
          <w:b w:val="0"/>
          <w:bCs w:val="0"/>
          <w:lang w:eastAsia="zh-CN"/>
        </w:rPr>
        <w:t>；</w:t>
      </w:r>
      <w:r>
        <w:rPr>
          <w:rFonts w:hint="default"/>
          <w:b w:val="0"/>
          <w:bCs w:val="0"/>
        </w:rPr>
        <w:t>特色品种养殖面积</w:t>
      </w:r>
      <w:r>
        <w:rPr>
          <w:rFonts w:hint="eastAsia"/>
          <w:b w:val="0"/>
          <w:bCs w:val="0"/>
          <w:highlight w:val="none"/>
          <w:lang w:val="en-US" w:eastAsia="zh-CN"/>
        </w:rPr>
        <w:t>0.8</w:t>
      </w:r>
      <w:r>
        <w:rPr>
          <w:rFonts w:hint="default"/>
          <w:b w:val="0"/>
          <w:bCs w:val="0"/>
          <w:highlight w:val="none"/>
        </w:rPr>
        <w:t>万亩，养殖产量0.</w:t>
      </w:r>
      <w:r>
        <w:rPr>
          <w:rFonts w:hint="eastAsia"/>
          <w:b w:val="0"/>
          <w:bCs w:val="0"/>
          <w:highlight w:val="none"/>
          <w:lang w:val="en-US" w:eastAsia="zh-CN"/>
        </w:rPr>
        <w:t>64</w:t>
      </w:r>
      <w:r>
        <w:rPr>
          <w:rFonts w:hint="default"/>
          <w:b w:val="0"/>
          <w:bCs w:val="0"/>
          <w:highlight w:val="none"/>
        </w:rPr>
        <w:t>万吨</w:t>
      </w:r>
      <w:r>
        <w:rPr>
          <w:rFonts w:hint="eastAsia"/>
          <w:b w:val="0"/>
          <w:bCs w:val="0"/>
          <w:highlight w:val="none"/>
          <w:lang w:eastAsia="zh-CN"/>
        </w:rPr>
        <w:t>。</w:t>
      </w:r>
      <w:r>
        <w:rPr>
          <w:rFonts w:hint="eastAsia"/>
          <w:b w:val="0"/>
          <w:bCs w:val="0"/>
          <w:lang w:val="en-US" w:eastAsia="zh-CN"/>
        </w:rPr>
        <w:t>淡水鱼育种体系迈上新台阶。</w:t>
      </w:r>
    </w:p>
    <w:p>
      <w:pPr>
        <w:keepNext w:val="0"/>
        <w:keepLines w:val="0"/>
        <w:pageBreakBefore w:val="0"/>
        <w:widowControl w:val="0"/>
        <w:tabs>
          <w:tab w:val="left" w:pos="813"/>
        </w:tabs>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eastAsia="楷体" w:cs="Times New Roman"/>
          <w:b/>
          <w:bCs/>
          <w:color w:val="auto"/>
          <w:sz w:val="32"/>
          <w:szCs w:val="40"/>
          <w:lang w:val="en-US" w:eastAsia="zh-CN"/>
        </w:rPr>
      </w:pPr>
      <w:r>
        <w:rPr>
          <w:rFonts w:hint="eastAsia" w:cs="Times New Roman"/>
          <w:b w:val="0"/>
          <w:bCs w:val="0"/>
          <w:kern w:val="2"/>
          <w:sz w:val="32"/>
          <w:szCs w:val="24"/>
          <w:lang w:val="en-US" w:eastAsia="zh-CN" w:bidi="ar-SA"/>
        </w:rPr>
        <w:t>培育壮大水产龙头企业，鼓励龙头企业、专业服务组织发展水产品冷链物流、电子商务及社会化服务，通过直接投资、参股经营和订单购销等方式，与水产养殖户、农民合作社和家庭农场开展互惠合作，建立标准化和规模化的水产示范基地，带动农民和新型农业经营主体发展适度规模经营。借助</w:t>
      </w:r>
      <w:r>
        <w:rPr>
          <w:rFonts w:hint="default" w:ascii="Times New Roman" w:hAnsi="Times New Roman" w:eastAsia="仿宋_GB2312" w:cs="Times New Roman"/>
          <w:b w:val="0"/>
          <w:bCs w:val="0"/>
          <w:kern w:val="2"/>
          <w:sz w:val="32"/>
          <w:szCs w:val="24"/>
          <w:lang w:val="en-US" w:eastAsia="zh-CN" w:bidi="ar-SA"/>
        </w:rPr>
        <w:t>潜江龙虾</w:t>
      </w:r>
      <w:r>
        <w:rPr>
          <w:rFonts w:hint="eastAsia" w:cs="Times New Roman"/>
          <w:b w:val="0"/>
          <w:bCs w:val="0"/>
          <w:kern w:val="2"/>
          <w:sz w:val="32"/>
          <w:szCs w:val="24"/>
          <w:lang w:val="en-US" w:eastAsia="zh-CN" w:bidi="ar-SA"/>
        </w:rPr>
        <w:t>的品牌优势、渠道优势和技术优势，推动潜江淡水鱼产业发展，</w:t>
      </w:r>
      <w:r>
        <w:rPr>
          <w:rFonts w:hint="eastAsia" w:cs="Times New Roman"/>
          <w:b w:val="0"/>
          <w:bCs w:val="0"/>
          <w:kern w:val="2"/>
          <w:sz w:val="32"/>
          <w:szCs w:val="24"/>
          <w:highlight w:val="none"/>
          <w:lang w:val="en-US" w:eastAsia="zh-CN" w:bidi="ar-SA"/>
        </w:rPr>
        <w:t>推广“龙头企业+现代园区”“龙头企业+基地”模式，培育一批长江中游特有生态渔业产品，打造</w:t>
      </w:r>
      <w:r>
        <w:rPr>
          <w:rFonts w:hint="default" w:ascii="Times New Roman" w:hAnsi="Times New Roman" w:eastAsia="仿宋_GB2312" w:cs="Times New Roman"/>
          <w:b w:val="0"/>
          <w:bCs w:val="0"/>
          <w:kern w:val="2"/>
          <w:sz w:val="32"/>
          <w:szCs w:val="24"/>
          <w:highlight w:val="none"/>
          <w:lang w:val="en-US" w:eastAsia="zh-CN" w:bidi="ar-SA"/>
        </w:rPr>
        <w:t>鱼米之乡特色淡水鱼品牌</w:t>
      </w:r>
      <w:r>
        <w:rPr>
          <w:rFonts w:hint="eastAsia" w:cs="Times New Roman"/>
          <w:b w:val="0"/>
          <w:bCs w:val="0"/>
          <w:kern w:val="2"/>
          <w:sz w:val="32"/>
          <w:szCs w:val="24"/>
          <w:highlight w:val="none"/>
          <w:lang w:val="en-US" w:eastAsia="zh-CN" w:bidi="ar-SA"/>
        </w:rPr>
        <w:t>。加大对重点加工企业扶持力度，</w:t>
      </w:r>
      <w:r>
        <w:rPr>
          <w:rFonts w:hint="default" w:ascii="Times New Roman" w:hAnsi="Times New Roman" w:eastAsia="仿宋_GB2312" w:cs="Times New Roman"/>
          <w:b w:val="0"/>
          <w:bCs w:val="0"/>
          <w:kern w:val="2"/>
          <w:sz w:val="32"/>
          <w:szCs w:val="24"/>
          <w:lang w:val="en-US" w:eastAsia="zh-CN" w:bidi="ar-SA"/>
        </w:rPr>
        <w:t>打造全省最大的鱼糜生产基地</w:t>
      </w:r>
      <w:r>
        <w:rPr>
          <w:rFonts w:hint="eastAsia" w:cs="Times New Roman"/>
          <w:b w:val="0"/>
          <w:bCs w:val="0"/>
          <w:kern w:val="2"/>
          <w:sz w:val="32"/>
          <w:szCs w:val="24"/>
          <w:lang w:val="en-US" w:eastAsia="zh-CN" w:bidi="ar-SA"/>
        </w:rPr>
        <w:t>。紧密结合“鱼米之乡”和现代农业（水产）园区建设，积极发展休闲垂钓、观光体验、观赏渔业和展示教育等休闲渔业业态，打造一批一三产业融合发展的渔业示范乡村。</w:t>
      </w:r>
      <w:r>
        <w:rPr>
          <w:rFonts w:hint="default" w:ascii="Times New Roman" w:hAnsi="Times New Roman" w:eastAsia="仿宋_GB2312" w:cs="Times New Roman"/>
          <w:b w:val="0"/>
          <w:bCs w:val="0"/>
          <w:kern w:val="2"/>
          <w:sz w:val="32"/>
          <w:szCs w:val="24"/>
          <w:lang w:val="en-US" w:eastAsia="zh-CN" w:bidi="ar-SA"/>
        </w:rPr>
        <w:t>到2025年，</w:t>
      </w:r>
      <w:r>
        <w:rPr>
          <w:rFonts w:hint="eastAsia" w:cs="Times New Roman"/>
          <w:b w:val="0"/>
          <w:bCs w:val="0"/>
          <w:kern w:val="2"/>
          <w:sz w:val="32"/>
          <w:szCs w:val="24"/>
          <w:lang w:val="en-US" w:eastAsia="zh-CN" w:bidi="ar-SA"/>
        </w:rPr>
        <w:t>潜江淡水鱼全产业链综合产值达到</w:t>
      </w:r>
      <w:r>
        <w:rPr>
          <w:rFonts w:hint="eastAsia" w:cs="Times New Roman"/>
          <w:b w:val="0"/>
          <w:bCs w:val="0"/>
          <w:kern w:val="2"/>
          <w:sz w:val="32"/>
          <w:szCs w:val="24"/>
          <w:highlight w:val="none"/>
          <w:lang w:val="en-US" w:eastAsia="zh-CN" w:bidi="ar-SA"/>
        </w:rPr>
        <w:t>20</w:t>
      </w:r>
      <w:r>
        <w:rPr>
          <w:rFonts w:hint="eastAsia" w:cs="Times New Roman"/>
          <w:b w:val="0"/>
          <w:bCs w:val="0"/>
          <w:kern w:val="2"/>
          <w:sz w:val="32"/>
          <w:szCs w:val="24"/>
          <w:lang w:val="en-US" w:eastAsia="zh-CN" w:bidi="ar-SA"/>
        </w:rPr>
        <w:t>亿元。</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textAlignment w:val="auto"/>
        <w:outlineLvl w:val="2"/>
        <w:rPr>
          <w:rFonts w:hint="eastAsia" w:eastAsia="楷体" w:cs="Times New Roman"/>
          <w:b/>
          <w:bCs/>
          <w:color w:val="auto"/>
          <w:sz w:val="32"/>
          <w:szCs w:val="40"/>
          <w:lang w:val="en-US" w:eastAsia="zh-CN"/>
        </w:rPr>
      </w:pPr>
      <w:r>
        <w:rPr>
          <w:rFonts w:hint="eastAsia" w:eastAsia="楷体" w:cs="Times New Roman"/>
          <w:b/>
          <w:bCs/>
          <w:color w:val="auto"/>
          <w:sz w:val="32"/>
          <w:szCs w:val="40"/>
          <w:lang w:val="en-US" w:eastAsia="zh-CN"/>
        </w:rPr>
        <w:t xml:space="preserve">4.潜江生猪产业链                    </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outlineLvl w:val="9"/>
        <w:rPr>
          <w:rFonts w:hint="eastAsia" w:ascii="仿宋_GB2312" w:hAnsi="仿宋_GB2312" w:cs="仿宋_GB2312"/>
          <w:color w:val="000000"/>
          <w:kern w:val="2"/>
          <w:sz w:val="32"/>
          <w:szCs w:val="32"/>
          <w:lang w:val="en-US" w:eastAsia="zh-CN" w:bidi="ar-SA"/>
        </w:rPr>
      </w:pPr>
      <w:r>
        <w:rPr>
          <w:rFonts w:hint="eastAsia" w:ascii="Times New Roman" w:hAnsi="Times New Roman" w:eastAsia="仿宋_GB2312" w:cs="Times New Roman"/>
          <w:b w:val="0"/>
          <w:bCs w:val="0"/>
          <w:kern w:val="2"/>
          <w:sz w:val="32"/>
          <w:szCs w:val="24"/>
          <w:highlight w:val="none"/>
          <w:lang w:val="en-US" w:eastAsia="zh-CN" w:bidi="ar-SA"/>
        </w:rPr>
        <w:t>以生猪生产和猪肉保供稳价为核心，不断优化现代畜牧产业规划布局</w:t>
      </w:r>
      <w:r>
        <w:rPr>
          <w:rFonts w:hint="eastAsia" w:cs="Times New Roman"/>
          <w:b w:val="0"/>
          <w:bCs w:val="0"/>
          <w:kern w:val="2"/>
          <w:sz w:val="32"/>
          <w:szCs w:val="24"/>
          <w:highlight w:val="none"/>
          <w:lang w:val="en-US" w:eastAsia="zh-CN" w:bidi="ar-SA"/>
        </w:rPr>
        <w:t>，推进</w:t>
      </w:r>
      <w:r>
        <w:rPr>
          <w:rFonts w:hint="eastAsia" w:ascii="Times New Roman" w:hAnsi="Times New Roman" w:eastAsia="仿宋_GB2312" w:cs="Times New Roman"/>
          <w:b w:val="0"/>
          <w:bCs w:val="0"/>
          <w:kern w:val="2"/>
          <w:sz w:val="32"/>
          <w:szCs w:val="24"/>
          <w:highlight w:val="none"/>
          <w:lang w:val="en-US" w:eastAsia="zh-CN" w:bidi="ar-SA"/>
        </w:rPr>
        <w:t>以渔洋</w:t>
      </w:r>
      <w:r>
        <w:rPr>
          <w:rFonts w:hint="eastAsia" w:cs="Times New Roman"/>
          <w:b w:val="0"/>
          <w:bCs w:val="0"/>
          <w:kern w:val="2"/>
          <w:sz w:val="32"/>
          <w:szCs w:val="24"/>
          <w:highlight w:val="none"/>
          <w:lang w:val="en-US" w:eastAsia="zh-CN" w:bidi="ar-SA"/>
        </w:rPr>
        <w:t>镇</w:t>
      </w:r>
      <w:r>
        <w:rPr>
          <w:rFonts w:hint="eastAsia" w:ascii="Times New Roman" w:hAnsi="Times New Roman" w:eastAsia="仿宋_GB2312" w:cs="Times New Roman"/>
          <w:b w:val="0"/>
          <w:bCs w:val="0"/>
          <w:kern w:val="2"/>
          <w:sz w:val="32"/>
          <w:szCs w:val="24"/>
          <w:highlight w:val="none"/>
          <w:lang w:val="en-US" w:eastAsia="zh-CN" w:bidi="ar-SA"/>
        </w:rPr>
        <w:t>、总口</w:t>
      </w:r>
      <w:r>
        <w:rPr>
          <w:rFonts w:hint="eastAsia" w:cs="Times New Roman"/>
          <w:b w:val="0"/>
          <w:bCs w:val="0"/>
          <w:kern w:val="2"/>
          <w:sz w:val="32"/>
          <w:szCs w:val="24"/>
          <w:highlight w:val="none"/>
          <w:lang w:val="en-US" w:eastAsia="zh-CN" w:bidi="ar-SA"/>
        </w:rPr>
        <w:t>管理区</w:t>
      </w:r>
      <w:r>
        <w:rPr>
          <w:rFonts w:hint="eastAsia" w:ascii="Times New Roman" w:hAnsi="Times New Roman" w:eastAsia="仿宋_GB2312" w:cs="Times New Roman"/>
          <w:b w:val="0"/>
          <w:bCs w:val="0"/>
          <w:kern w:val="2"/>
          <w:sz w:val="32"/>
          <w:szCs w:val="24"/>
          <w:highlight w:val="none"/>
          <w:lang w:val="en-US" w:eastAsia="zh-CN" w:bidi="ar-SA"/>
        </w:rPr>
        <w:t>、老新</w:t>
      </w:r>
      <w:r>
        <w:rPr>
          <w:rFonts w:hint="eastAsia" w:cs="Times New Roman"/>
          <w:b w:val="0"/>
          <w:bCs w:val="0"/>
          <w:kern w:val="2"/>
          <w:sz w:val="32"/>
          <w:szCs w:val="24"/>
          <w:highlight w:val="none"/>
          <w:lang w:val="en-US" w:eastAsia="zh-CN" w:bidi="ar-SA"/>
        </w:rPr>
        <w:t>镇</w:t>
      </w:r>
      <w:r>
        <w:rPr>
          <w:rFonts w:hint="eastAsia" w:ascii="Times New Roman" w:hAnsi="Times New Roman" w:eastAsia="仿宋_GB2312" w:cs="Times New Roman"/>
          <w:b w:val="0"/>
          <w:bCs w:val="0"/>
          <w:kern w:val="2"/>
          <w:sz w:val="32"/>
          <w:szCs w:val="24"/>
          <w:highlight w:val="none"/>
          <w:lang w:val="en-US" w:eastAsia="zh-CN" w:bidi="ar-SA"/>
        </w:rPr>
        <w:t>、熊口</w:t>
      </w:r>
      <w:r>
        <w:rPr>
          <w:rFonts w:hint="eastAsia" w:cs="Times New Roman"/>
          <w:b w:val="0"/>
          <w:bCs w:val="0"/>
          <w:kern w:val="2"/>
          <w:sz w:val="32"/>
          <w:szCs w:val="24"/>
          <w:highlight w:val="none"/>
          <w:lang w:val="en-US" w:eastAsia="zh-CN" w:bidi="ar-SA"/>
        </w:rPr>
        <w:t>镇</w:t>
      </w:r>
      <w:r>
        <w:rPr>
          <w:rFonts w:hint="eastAsia" w:ascii="Times New Roman" w:hAnsi="Times New Roman" w:eastAsia="仿宋_GB2312" w:cs="Times New Roman"/>
          <w:b w:val="0"/>
          <w:bCs w:val="0"/>
          <w:kern w:val="2"/>
          <w:sz w:val="32"/>
          <w:szCs w:val="24"/>
          <w:highlight w:val="none"/>
          <w:lang w:val="en-US" w:eastAsia="zh-CN" w:bidi="ar-SA"/>
        </w:rPr>
        <w:t>、张金</w:t>
      </w:r>
      <w:r>
        <w:rPr>
          <w:rFonts w:hint="eastAsia" w:cs="Times New Roman"/>
          <w:b w:val="0"/>
          <w:bCs w:val="0"/>
          <w:kern w:val="2"/>
          <w:sz w:val="32"/>
          <w:szCs w:val="24"/>
          <w:highlight w:val="none"/>
          <w:lang w:val="en-US" w:eastAsia="zh-CN" w:bidi="ar-SA"/>
        </w:rPr>
        <w:t>镇、</w:t>
      </w:r>
      <w:r>
        <w:rPr>
          <w:rFonts w:hint="eastAsia" w:ascii="Times New Roman" w:hAnsi="Times New Roman" w:eastAsia="仿宋_GB2312" w:cs="Times New Roman"/>
          <w:b w:val="0"/>
          <w:bCs w:val="0"/>
          <w:kern w:val="2"/>
          <w:sz w:val="32"/>
          <w:szCs w:val="24"/>
          <w:highlight w:val="none"/>
          <w:lang w:val="en-US" w:eastAsia="zh-CN" w:bidi="ar-SA"/>
        </w:rPr>
        <w:t>龙湾</w:t>
      </w:r>
      <w:r>
        <w:rPr>
          <w:rFonts w:hint="eastAsia" w:cs="Times New Roman"/>
          <w:b w:val="0"/>
          <w:bCs w:val="0"/>
          <w:kern w:val="2"/>
          <w:sz w:val="32"/>
          <w:szCs w:val="24"/>
          <w:highlight w:val="none"/>
          <w:lang w:val="en-US" w:eastAsia="zh-CN" w:bidi="ar-SA"/>
        </w:rPr>
        <w:t>镇和周矶街道</w:t>
      </w:r>
      <w:r>
        <w:rPr>
          <w:rFonts w:hint="eastAsia" w:ascii="Times New Roman" w:hAnsi="Times New Roman" w:eastAsia="仿宋_GB2312" w:cs="Times New Roman"/>
          <w:b w:val="0"/>
          <w:bCs w:val="0"/>
          <w:kern w:val="2"/>
          <w:sz w:val="32"/>
          <w:szCs w:val="24"/>
          <w:highlight w:val="none"/>
          <w:lang w:val="en-US" w:eastAsia="zh-CN" w:bidi="ar-SA"/>
        </w:rPr>
        <w:t>等</w:t>
      </w:r>
      <w:r>
        <w:rPr>
          <w:rFonts w:hint="eastAsia" w:cs="Times New Roman"/>
          <w:b w:val="0"/>
          <w:bCs w:val="0"/>
          <w:kern w:val="2"/>
          <w:sz w:val="32"/>
          <w:szCs w:val="24"/>
          <w:highlight w:val="none"/>
          <w:lang w:val="en-US" w:eastAsia="zh-CN" w:bidi="ar-SA"/>
        </w:rPr>
        <w:t>为重点</w:t>
      </w:r>
      <w:r>
        <w:rPr>
          <w:rFonts w:hint="eastAsia" w:ascii="Times New Roman" w:hAnsi="Times New Roman" w:eastAsia="仿宋_GB2312" w:cs="Times New Roman"/>
          <w:b w:val="0"/>
          <w:bCs w:val="0"/>
          <w:kern w:val="2"/>
          <w:sz w:val="32"/>
          <w:szCs w:val="24"/>
          <w:highlight w:val="none"/>
          <w:lang w:val="en-US" w:eastAsia="zh-CN" w:bidi="ar-SA"/>
        </w:rPr>
        <w:t>，稳步发展生猪</w:t>
      </w:r>
      <w:r>
        <w:rPr>
          <w:rFonts w:hint="eastAsia" w:eastAsia="仿宋_GB2312" w:cs="Times New Roman"/>
          <w:b w:val="0"/>
          <w:bCs w:val="0"/>
          <w:kern w:val="2"/>
          <w:sz w:val="32"/>
          <w:szCs w:val="24"/>
          <w:highlight w:val="none"/>
          <w:lang w:val="en-US" w:eastAsia="zh-CN" w:bidi="ar-SA"/>
        </w:rPr>
        <w:t>养殖。</w:t>
      </w:r>
      <w:r>
        <w:rPr>
          <w:rFonts w:hint="eastAsia" w:cs="Times New Roman"/>
          <w:b w:val="0"/>
          <w:bCs w:val="0"/>
          <w:kern w:val="2"/>
          <w:sz w:val="32"/>
          <w:szCs w:val="24"/>
          <w:highlight w:val="none"/>
          <w:lang w:val="en-US" w:eastAsia="zh-CN" w:bidi="ar-SA"/>
        </w:rPr>
        <w:t>在全市选择符合非基本农田、非禁养区和满足动物疫病防疫条件的地区，建立适度规模的生猪养殖场。</w:t>
      </w:r>
      <w:r>
        <w:rPr>
          <w:rFonts w:hint="eastAsia" w:ascii="仿宋_GB2312" w:hAnsi="仿宋_GB2312" w:cs="仿宋_GB2312"/>
          <w:color w:val="000000"/>
          <w:kern w:val="2"/>
          <w:sz w:val="32"/>
          <w:szCs w:val="32"/>
          <w:lang w:val="en-US" w:eastAsia="zh-CN" w:bidi="ar-SA"/>
        </w:rPr>
        <w:t>紧盯国家产业扶持政策，大力推进标准化养殖基地、良繁体系和市场体系建设，</w:t>
      </w:r>
      <w:r>
        <w:rPr>
          <w:rFonts w:hint="eastAsia" w:cs="Times New Roman"/>
          <w:b w:val="0"/>
          <w:bCs w:val="0"/>
          <w:kern w:val="2"/>
          <w:sz w:val="32"/>
          <w:szCs w:val="24"/>
          <w:highlight w:val="none"/>
          <w:lang w:val="en-US" w:eastAsia="zh-CN" w:bidi="ar-SA"/>
        </w:rPr>
        <w:t>逐步</w:t>
      </w:r>
      <w:r>
        <w:rPr>
          <w:rFonts w:hint="eastAsia" w:ascii="Times New Roman" w:hAnsi="Times New Roman" w:eastAsia="仿宋_GB2312" w:cs="Times New Roman"/>
          <w:i w:val="0"/>
          <w:iCs w:val="0"/>
          <w:caps w:val="0"/>
          <w:color w:val="000000"/>
          <w:spacing w:val="0"/>
          <w:sz w:val="32"/>
          <w:szCs w:val="24"/>
          <w:highlight w:val="none"/>
        </w:rPr>
        <w:t>提高规模养殖场自动化装备水平、标准化生产水平和现代化管理水平</w:t>
      </w:r>
      <w:r>
        <w:rPr>
          <w:rFonts w:hint="eastAsia" w:cs="Times New Roman"/>
          <w:i w:val="0"/>
          <w:iCs w:val="0"/>
          <w:caps w:val="0"/>
          <w:color w:val="000000"/>
          <w:spacing w:val="0"/>
          <w:sz w:val="32"/>
          <w:szCs w:val="24"/>
          <w:highlight w:val="none"/>
          <w:lang w:eastAsia="zh-CN"/>
        </w:rPr>
        <w:t>。</w:t>
      </w:r>
      <w:r>
        <w:rPr>
          <w:rFonts w:hint="eastAsia" w:ascii="仿宋_GB2312" w:hAnsi="仿宋_GB2312" w:cs="仿宋_GB2312"/>
          <w:color w:val="000000"/>
          <w:kern w:val="2"/>
          <w:sz w:val="32"/>
          <w:szCs w:val="32"/>
          <w:lang w:val="en-US" w:eastAsia="zh-CN" w:bidi="ar-SA"/>
        </w:rPr>
        <w:t xml:space="preserve">统筹种养加协调发展，将规模养殖场与生态环保紧密结合，实现“四个同步”，即“同步规划、同步建设、同步验收、同步投产”，打造一批生态美丽猪场。引进支持大型企业进行生猪养殖、饲料生产和产品加工，健全完善生猪产业链。     </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outlineLvl w:val="9"/>
        <w:rPr>
          <w:rFonts w:hint="eastAsia"/>
          <w:lang w:val="en-US" w:eastAsia="zh-CN"/>
        </w:rPr>
      </w:pPr>
      <w:r>
        <w:rPr>
          <w:rFonts w:hint="eastAsia" w:ascii="仿宋_GB2312" w:hAnsi="仿宋_GB2312" w:cs="仿宋_GB2312"/>
          <w:color w:val="000000"/>
          <w:kern w:val="2"/>
          <w:sz w:val="32"/>
          <w:szCs w:val="32"/>
          <w:lang w:val="en-US" w:eastAsia="zh-CN" w:bidi="ar-SA"/>
        </w:rPr>
        <w:t>实施畜禽良种工程，落实数字乡村战略，鼓励发展设施畜牧业。健全市、镇、村三级动物防疫队伍，完善动物疫病预防控制中心、临床诊断实验室和乡镇畜牧兽医服务中心基础建设。加大生猪保险支持力度，提高生猪行业抗风险能力。到</w:t>
      </w:r>
      <w:r>
        <w:rPr>
          <w:rFonts w:hint="default" w:ascii="Times New Roman" w:hAnsi="Times New Roman" w:cs="Times New Roman"/>
          <w:color w:val="000000"/>
          <w:kern w:val="2"/>
          <w:sz w:val="32"/>
          <w:szCs w:val="32"/>
          <w:lang w:val="en-US" w:eastAsia="zh-CN" w:bidi="ar-SA"/>
        </w:rPr>
        <w:t>2025年，全市</w:t>
      </w:r>
      <w:r>
        <w:rPr>
          <w:rFonts w:hint="eastAsia" w:cs="Times New Roman"/>
          <w:color w:val="000000"/>
          <w:kern w:val="2"/>
          <w:sz w:val="32"/>
          <w:szCs w:val="32"/>
          <w:lang w:val="en-US" w:eastAsia="zh-CN" w:bidi="ar-SA"/>
        </w:rPr>
        <w:t>生猪产业</w:t>
      </w:r>
      <w:r>
        <w:rPr>
          <w:rFonts w:hint="default" w:ascii="Times New Roman" w:hAnsi="Times New Roman" w:cs="Times New Roman"/>
          <w:strike w:val="0"/>
          <w:color w:val="000000"/>
          <w:kern w:val="2"/>
          <w:sz w:val="32"/>
          <w:szCs w:val="32"/>
          <w:highlight w:val="none"/>
          <w:lang w:val="en-US" w:eastAsia="zh-CN" w:bidi="ar-SA"/>
        </w:rPr>
        <w:t>规模养殖比重提高10个百分点</w:t>
      </w:r>
      <w:r>
        <w:rPr>
          <w:rFonts w:hint="eastAsia" w:cs="Times New Roman"/>
          <w:strike w:val="0"/>
          <w:color w:val="000000"/>
          <w:kern w:val="2"/>
          <w:sz w:val="32"/>
          <w:szCs w:val="32"/>
          <w:highlight w:val="none"/>
          <w:lang w:val="en-US" w:eastAsia="zh-CN" w:bidi="ar-SA"/>
        </w:rPr>
        <w:t>，生猪出栏40万头，猪肉产量3.5万吨，全产业链综合产值达到50亿元。</w:t>
      </w:r>
      <w:bookmarkStart w:id="105" w:name="_Toc27981"/>
      <w:bookmarkStart w:id="106" w:name="_Toc8758"/>
      <w:bookmarkStart w:id="107" w:name="_Toc20120"/>
      <w:bookmarkStart w:id="108" w:name="_Toc31124"/>
      <w:bookmarkStart w:id="109" w:name="_Toc23058"/>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60" w:lineRule="exact"/>
        <w:ind w:left="0" w:leftChars="0" w:firstLine="0" w:firstLineChars="0"/>
        <w:jc w:val="center"/>
        <w:textAlignment w:val="auto"/>
        <w:outlineLvl w:val="1"/>
        <w:rPr>
          <w:rFonts w:hint="default" w:ascii="楷体" w:hAnsi="楷体" w:eastAsia="楷体" w:cs="楷体"/>
          <w:b/>
          <w:bCs/>
          <w:smallCaps w:val="0"/>
          <w:sz w:val="32"/>
          <w:szCs w:val="32"/>
          <w:highlight w:val="none"/>
          <w:lang w:val="en-US" w:eastAsia="zh-CN"/>
        </w:rPr>
      </w:pPr>
      <w:bookmarkStart w:id="110" w:name="_Toc3129"/>
      <w:r>
        <w:rPr>
          <w:rFonts w:hint="eastAsia" w:ascii="楷体" w:hAnsi="楷体" w:eastAsia="楷体" w:cs="楷体"/>
          <w:b/>
          <w:bCs/>
          <w:smallCaps w:val="0"/>
          <w:sz w:val="32"/>
          <w:szCs w:val="32"/>
          <w:highlight w:val="none"/>
          <w:lang w:val="en-US" w:eastAsia="zh-CN"/>
        </w:rPr>
        <w:t>第三节 大力推进农村电商物流业发展</w:t>
      </w:r>
      <w:bookmarkEnd w:id="105"/>
      <w:bookmarkEnd w:id="110"/>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default" w:eastAsia="楷体" w:cs="Times New Roman"/>
          <w:b/>
          <w:bCs/>
          <w:color w:val="auto"/>
          <w:sz w:val="32"/>
          <w:szCs w:val="40"/>
          <w:highlight w:val="none"/>
          <w:lang w:val="en-US" w:eastAsia="zh-CN"/>
        </w:rPr>
      </w:pPr>
      <w:r>
        <w:rPr>
          <w:rFonts w:hint="eastAsia" w:eastAsia="楷体" w:cs="Times New Roman"/>
          <w:b/>
          <w:bCs/>
          <w:color w:val="auto"/>
          <w:sz w:val="32"/>
          <w:szCs w:val="40"/>
          <w:highlight w:val="none"/>
          <w:lang w:val="en-US" w:eastAsia="zh-CN"/>
        </w:rPr>
        <w:t>一、推进农村电商产业高质量发展</w:t>
      </w:r>
    </w:p>
    <w:p>
      <w:pPr>
        <w:pStyle w:val="2"/>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outlineLvl w:val="9"/>
        <w:rPr>
          <w:rFonts w:hint="default"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t>巩固潜江“全国农村电商激励县”成果，通过政策引导，盘活农村电商网点资源，打造县域电商产业聚集区，扩大农村消费。加快建设电子商务产业园，引进全国知名的农产品电商企业落户潜江，</w:t>
      </w:r>
      <w:r>
        <w:rPr>
          <w:rFonts w:hint="eastAsia" w:cs="Times New Roman"/>
          <w:kern w:val="2"/>
          <w:sz w:val="32"/>
          <w:szCs w:val="24"/>
          <w:highlight w:val="none"/>
          <w:lang w:val="en-US" w:eastAsia="zh-CN" w:bidi="ar-SA"/>
        </w:rPr>
        <w:t>支持</w:t>
      </w:r>
      <w:r>
        <w:rPr>
          <w:rFonts w:hint="eastAsia" w:ascii="Times New Roman" w:hAnsi="Times New Roman" w:eastAsia="仿宋_GB2312" w:cs="Times New Roman"/>
          <w:kern w:val="2"/>
          <w:sz w:val="32"/>
          <w:szCs w:val="24"/>
          <w:highlight w:val="none"/>
          <w:lang w:val="en-US" w:eastAsia="zh-CN" w:bidi="ar-SA"/>
        </w:rPr>
        <w:t>虾谷360等</w:t>
      </w:r>
      <w:r>
        <w:rPr>
          <w:rFonts w:hint="eastAsia" w:cs="Times New Roman"/>
          <w:kern w:val="2"/>
          <w:sz w:val="32"/>
          <w:szCs w:val="24"/>
          <w:highlight w:val="none"/>
          <w:lang w:val="en-US" w:eastAsia="zh-CN" w:bidi="ar-SA"/>
        </w:rPr>
        <w:t>一批本土</w:t>
      </w:r>
      <w:r>
        <w:rPr>
          <w:rFonts w:hint="eastAsia" w:ascii="Times New Roman" w:hAnsi="Times New Roman" w:eastAsia="仿宋_GB2312" w:cs="Times New Roman"/>
          <w:kern w:val="2"/>
          <w:sz w:val="32"/>
          <w:szCs w:val="24"/>
          <w:highlight w:val="none"/>
          <w:lang w:val="en-US" w:eastAsia="zh-CN" w:bidi="ar-SA"/>
        </w:rPr>
        <w:t>平台</w:t>
      </w:r>
      <w:r>
        <w:rPr>
          <w:rFonts w:hint="eastAsia" w:cs="Times New Roman"/>
          <w:kern w:val="2"/>
          <w:sz w:val="32"/>
          <w:szCs w:val="24"/>
          <w:highlight w:val="none"/>
          <w:lang w:val="en-US" w:eastAsia="zh-CN" w:bidi="ar-SA"/>
        </w:rPr>
        <w:t>做大做强</w:t>
      </w:r>
      <w:r>
        <w:rPr>
          <w:rFonts w:hint="eastAsia" w:ascii="Times New Roman" w:hAnsi="Times New Roman" w:eastAsia="仿宋_GB2312" w:cs="Times New Roman"/>
          <w:kern w:val="2"/>
          <w:sz w:val="32"/>
          <w:szCs w:val="24"/>
          <w:highlight w:val="none"/>
          <w:lang w:val="en-US" w:eastAsia="zh-CN" w:bidi="ar-SA"/>
        </w:rPr>
        <w:t>，</w:t>
      </w:r>
      <w:r>
        <w:rPr>
          <w:rFonts w:hint="eastAsia" w:cs="Times New Roman"/>
          <w:kern w:val="2"/>
          <w:sz w:val="32"/>
          <w:szCs w:val="24"/>
          <w:highlight w:val="none"/>
          <w:lang w:val="en-US" w:eastAsia="zh-CN" w:bidi="ar-SA"/>
        </w:rPr>
        <w:t>依托</w:t>
      </w:r>
      <w:r>
        <w:rPr>
          <w:rFonts w:hint="eastAsia" w:ascii="Times New Roman" w:hAnsi="Times New Roman" w:eastAsia="仿宋_GB2312" w:cs="Times New Roman"/>
          <w:kern w:val="2"/>
          <w:sz w:val="32"/>
          <w:szCs w:val="24"/>
          <w:highlight w:val="none"/>
          <w:lang w:val="en-US" w:eastAsia="zh-CN" w:bidi="ar-SA"/>
        </w:rPr>
        <w:t>潜江</w:t>
      </w:r>
      <w:r>
        <w:rPr>
          <w:rFonts w:hint="eastAsia" w:cs="Times New Roman"/>
          <w:kern w:val="2"/>
          <w:sz w:val="32"/>
          <w:szCs w:val="24"/>
          <w:highlight w:val="none"/>
          <w:lang w:val="en-US" w:eastAsia="zh-CN" w:bidi="ar-SA"/>
        </w:rPr>
        <w:t>龙虾、</w:t>
      </w:r>
      <w:r>
        <w:rPr>
          <w:rFonts w:hint="eastAsia" w:ascii="Times New Roman" w:hAnsi="Times New Roman" w:eastAsia="仿宋_GB2312" w:cs="Times New Roman"/>
          <w:kern w:val="2"/>
          <w:sz w:val="32"/>
          <w:szCs w:val="24"/>
          <w:highlight w:val="none"/>
          <w:lang w:val="en-US" w:eastAsia="zh-CN" w:bidi="ar-SA"/>
        </w:rPr>
        <w:t>潜</w:t>
      </w:r>
      <w:r>
        <w:rPr>
          <w:rFonts w:hint="eastAsia" w:cs="Times New Roman"/>
          <w:kern w:val="2"/>
          <w:sz w:val="32"/>
          <w:szCs w:val="24"/>
          <w:highlight w:val="none"/>
          <w:lang w:val="en-US" w:eastAsia="zh-CN" w:bidi="ar-SA"/>
        </w:rPr>
        <w:t>江</w:t>
      </w:r>
      <w:r>
        <w:rPr>
          <w:rFonts w:hint="eastAsia" w:ascii="Times New Roman" w:hAnsi="Times New Roman" w:eastAsia="仿宋_GB2312" w:cs="Times New Roman"/>
          <w:kern w:val="2"/>
          <w:sz w:val="32"/>
          <w:szCs w:val="24"/>
          <w:highlight w:val="none"/>
          <w:lang w:val="en-US" w:eastAsia="zh-CN" w:bidi="ar-SA"/>
        </w:rPr>
        <w:t>半夏</w:t>
      </w:r>
      <w:r>
        <w:rPr>
          <w:rFonts w:hint="eastAsia" w:cs="Times New Roman"/>
          <w:kern w:val="2"/>
          <w:sz w:val="32"/>
          <w:szCs w:val="24"/>
          <w:highlight w:val="none"/>
          <w:lang w:val="en-US" w:eastAsia="zh-CN" w:bidi="ar-SA"/>
        </w:rPr>
        <w:t>和</w:t>
      </w:r>
      <w:r>
        <w:rPr>
          <w:rFonts w:hint="eastAsia" w:ascii="Times New Roman" w:hAnsi="Times New Roman" w:eastAsia="仿宋_GB2312" w:cs="Times New Roman"/>
          <w:kern w:val="2"/>
          <w:sz w:val="32"/>
          <w:szCs w:val="24"/>
          <w:highlight w:val="none"/>
          <w:lang w:val="en-US" w:eastAsia="zh-CN" w:bidi="ar-SA"/>
        </w:rPr>
        <w:t>潜江大豆</w:t>
      </w:r>
      <w:r>
        <w:rPr>
          <w:rFonts w:hint="eastAsia" w:cs="Times New Roman"/>
          <w:kern w:val="2"/>
          <w:sz w:val="32"/>
          <w:szCs w:val="24"/>
          <w:highlight w:val="none"/>
          <w:lang w:val="en-US" w:eastAsia="zh-CN" w:bidi="ar-SA"/>
        </w:rPr>
        <w:t>等</w:t>
      </w:r>
      <w:r>
        <w:rPr>
          <w:rFonts w:hint="eastAsia" w:ascii="Times New Roman" w:hAnsi="Times New Roman" w:eastAsia="仿宋_GB2312" w:cs="Times New Roman"/>
          <w:kern w:val="2"/>
          <w:sz w:val="32"/>
          <w:szCs w:val="24"/>
          <w:highlight w:val="none"/>
          <w:lang w:val="en-US" w:eastAsia="zh-CN" w:bidi="ar-SA"/>
        </w:rPr>
        <w:t>特色农产品优势</w:t>
      </w:r>
      <w:r>
        <w:rPr>
          <w:rFonts w:hint="eastAsia" w:cs="Times New Roman"/>
          <w:kern w:val="2"/>
          <w:sz w:val="32"/>
          <w:szCs w:val="24"/>
          <w:highlight w:val="none"/>
          <w:lang w:val="en-US" w:eastAsia="zh-CN" w:bidi="ar-SA"/>
        </w:rPr>
        <w:t>资源</w:t>
      </w:r>
      <w:r>
        <w:rPr>
          <w:rFonts w:hint="eastAsia" w:ascii="Times New Roman" w:hAnsi="Times New Roman" w:eastAsia="仿宋_GB2312" w:cs="Times New Roman"/>
          <w:kern w:val="2"/>
          <w:sz w:val="32"/>
          <w:szCs w:val="24"/>
          <w:highlight w:val="none"/>
          <w:lang w:val="en-US" w:eastAsia="zh-CN" w:bidi="ar-SA"/>
        </w:rPr>
        <w:t>，</w:t>
      </w:r>
      <w:r>
        <w:rPr>
          <w:rFonts w:hint="eastAsia" w:cs="Times New Roman"/>
          <w:kern w:val="2"/>
          <w:sz w:val="32"/>
          <w:szCs w:val="24"/>
          <w:highlight w:val="none"/>
          <w:lang w:val="en-US" w:eastAsia="zh-CN" w:bidi="ar-SA"/>
        </w:rPr>
        <w:t>统筹推进</w:t>
      </w:r>
      <w:r>
        <w:rPr>
          <w:rFonts w:hint="eastAsia" w:ascii="Times New Roman" w:hAnsi="Times New Roman" w:eastAsia="仿宋_GB2312" w:cs="Times New Roman"/>
          <w:kern w:val="2"/>
          <w:sz w:val="32"/>
          <w:szCs w:val="24"/>
          <w:highlight w:val="none"/>
          <w:lang w:val="en-US" w:eastAsia="zh-CN" w:bidi="ar-SA"/>
        </w:rPr>
        <w:t>潜江特色电商产品进行统一的开发、包装、设计</w:t>
      </w:r>
      <w:r>
        <w:rPr>
          <w:rFonts w:hint="eastAsia" w:cs="Times New Roman"/>
          <w:kern w:val="2"/>
          <w:sz w:val="32"/>
          <w:szCs w:val="24"/>
          <w:highlight w:val="none"/>
          <w:lang w:val="en-US" w:eastAsia="zh-CN" w:bidi="ar-SA"/>
        </w:rPr>
        <w:t>和</w:t>
      </w:r>
      <w:r>
        <w:rPr>
          <w:rFonts w:hint="eastAsia" w:ascii="Times New Roman" w:hAnsi="Times New Roman" w:eastAsia="仿宋_GB2312" w:cs="Times New Roman"/>
          <w:kern w:val="2"/>
          <w:sz w:val="32"/>
          <w:szCs w:val="24"/>
          <w:highlight w:val="none"/>
          <w:lang w:val="en-US" w:eastAsia="zh-CN" w:bidi="ar-SA"/>
        </w:rPr>
        <w:t>网上推广等，</w:t>
      </w:r>
      <w:r>
        <w:rPr>
          <w:rFonts w:hint="eastAsia" w:cs="Times New Roman"/>
          <w:kern w:val="2"/>
          <w:sz w:val="32"/>
          <w:szCs w:val="24"/>
          <w:highlight w:val="none"/>
          <w:lang w:val="en-US" w:eastAsia="zh-CN" w:bidi="ar-SA"/>
        </w:rPr>
        <w:t>打造“中国虾谷”“潜江半夏”“潜江大豆”等知名电商品牌。深入推进“潜江龙虾”省级区域公共品牌的子品牌建设，做好引流款、标准款和爆款商品的打造和销售，谋划建设全球小龙虾直销平台。</w:t>
      </w:r>
    </w:p>
    <w:p>
      <w:pPr>
        <w:pStyle w:val="2"/>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outlineLvl w:val="9"/>
        <w:rPr>
          <w:rFonts w:hint="eastAsia" w:ascii="Times New Roman" w:hAnsi="Times New Roman" w:eastAsia="仿宋_GB2312" w:cs="Times New Roman"/>
          <w:kern w:val="2"/>
          <w:sz w:val="32"/>
          <w:szCs w:val="24"/>
          <w:highlight w:val="yellow"/>
          <w:lang w:val="en-US" w:eastAsia="zh-CN" w:bidi="ar-SA"/>
        </w:rPr>
      </w:pPr>
      <w:r>
        <w:rPr>
          <w:rFonts w:hint="eastAsia"/>
          <w:highlight w:val="none"/>
          <w:lang w:val="en-US" w:eastAsia="zh-CN"/>
        </w:rPr>
        <w:t>深化以</w:t>
      </w:r>
      <w:r>
        <w:rPr>
          <w:rFonts w:hint="eastAsia"/>
          <w:highlight w:val="none"/>
        </w:rPr>
        <w:t>潜网集团</w:t>
      </w:r>
      <w:r>
        <w:rPr>
          <w:rFonts w:hint="eastAsia"/>
          <w:highlight w:val="none"/>
          <w:lang w:val="en-US" w:eastAsia="zh-CN"/>
        </w:rPr>
        <w:t>和</w:t>
      </w:r>
      <w:r>
        <w:rPr>
          <w:rFonts w:hint="eastAsia"/>
          <w:highlight w:val="none"/>
        </w:rPr>
        <w:t>华翼电商</w:t>
      </w:r>
      <w:r>
        <w:rPr>
          <w:rFonts w:hint="eastAsia"/>
          <w:highlight w:val="none"/>
          <w:lang w:val="en-US" w:eastAsia="zh-CN"/>
        </w:rPr>
        <w:t>等龙头企业为主体的</w:t>
      </w:r>
      <w:r>
        <w:rPr>
          <w:rFonts w:hint="eastAsia"/>
          <w:highlight w:val="none"/>
        </w:rPr>
        <w:t>“互联网+农村网点+超市+流通”</w:t>
      </w:r>
      <w:r>
        <w:rPr>
          <w:rFonts w:hint="eastAsia"/>
          <w:highlight w:val="none"/>
          <w:lang w:eastAsia="zh-CN"/>
        </w:rPr>
        <w:t>（</w:t>
      </w:r>
      <w:r>
        <w:rPr>
          <w:rFonts w:hint="eastAsia"/>
          <w:highlight w:val="none"/>
        </w:rPr>
        <w:t>O2O</w:t>
      </w:r>
      <w:r>
        <w:rPr>
          <w:rFonts w:hint="eastAsia"/>
          <w:highlight w:val="none"/>
          <w:lang w:eastAsia="zh-CN"/>
        </w:rPr>
        <w:t>）</w:t>
      </w:r>
      <w:r>
        <w:rPr>
          <w:rFonts w:hint="eastAsia"/>
          <w:highlight w:val="none"/>
        </w:rPr>
        <w:t>农村电商潜江模式</w:t>
      </w:r>
      <w:r>
        <w:rPr>
          <w:rFonts w:hint="eastAsia"/>
          <w:highlight w:val="none"/>
          <w:lang w:eastAsia="zh-CN"/>
        </w:rPr>
        <w:t>、</w:t>
      </w:r>
      <w:r>
        <w:rPr>
          <w:rFonts w:hint="eastAsia"/>
          <w:highlight w:val="none"/>
        </w:rPr>
        <w:t>“互联网+小龙虾+流通”</w:t>
      </w:r>
      <w:r>
        <w:rPr>
          <w:rFonts w:hint="eastAsia"/>
          <w:highlight w:val="none"/>
          <w:lang w:eastAsia="zh-CN"/>
        </w:rPr>
        <w:t>（</w:t>
      </w:r>
      <w:r>
        <w:rPr>
          <w:rFonts w:hint="eastAsia"/>
          <w:highlight w:val="none"/>
        </w:rPr>
        <w:t>S2B2C+O2O</w:t>
      </w:r>
      <w:r>
        <w:rPr>
          <w:rFonts w:hint="eastAsia"/>
          <w:highlight w:val="none"/>
          <w:lang w:eastAsia="zh-CN"/>
        </w:rPr>
        <w:t>）</w:t>
      </w:r>
      <w:r>
        <w:rPr>
          <w:rFonts w:hint="eastAsia"/>
          <w:highlight w:val="none"/>
        </w:rPr>
        <w:t>小龙虾线上线下销售模式</w:t>
      </w:r>
      <w:r>
        <w:rPr>
          <w:rFonts w:hint="eastAsia"/>
          <w:highlight w:val="none"/>
          <w:lang w:eastAsia="zh-CN"/>
        </w:rPr>
        <w:t>，不断探索</w:t>
      </w:r>
      <w:r>
        <w:rPr>
          <w:rFonts w:hint="eastAsia"/>
          <w:highlight w:val="none"/>
          <w:lang w:val="en-US" w:eastAsia="zh-CN"/>
        </w:rPr>
        <w:t>潜江农村</w:t>
      </w:r>
      <w:r>
        <w:rPr>
          <w:rFonts w:hint="eastAsia"/>
          <w:highlight w:val="none"/>
          <w:lang w:eastAsia="zh-CN"/>
        </w:rPr>
        <w:t>电商发展新路径。</w:t>
      </w:r>
      <w:r>
        <w:rPr>
          <w:rFonts w:hint="eastAsia"/>
          <w:highlight w:val="none"/>
          <w:lang w:val="en-US" w:eastAsia="zh-CN"/>
        </w:rPr>
        <w:t>打造一批电商</w:t>
      </w:r>
      <w:r>
        <w:rPr>
          <w:rFonts w:hint="eastAsia"/>
          <w:highlight w:val="none"/>
        </w:rPr>
        <w:t>示范乡镇、示范村、示范企业</w:t>
      </w:r>
      <w:r>
        <w:rPr>
          <w:rFonts w:hint="eastAsia"/>
          <w:highlight w:val="none"/>
          <w:lang w:val="en-US" w:eastAsia="zh-CN"/>
        </w:rPr>
        <w:t>和</w:t>
      </w:r>
      <w:r>
        <w:rPr>
          <w:rFonts w:hint="eastAsia"/>
          <w:highlight w:val="none"/>
        </w:rPr>
        <w:t>示范网商，发挥示范带动作用</w:t>
      </w:r>
      <w:r>
        <w:rPr>
          <w:rFonts w:hint="eastAsia"/>
          <w:highlight w:val="none"/>
          <w:lang w:eastAsia="zh-CN"/>
        </w:rPr>
        <w:t>。</w:t>
      </w:r>
      <w:r>
        <w:rPr>
          <w:rFonts w:hint="eastAsia"/>
          <w:highlight w:val="none"/>
          <w:lang w:val="en-US" w:eastAsia="zh-CN"/>
        </w:rPr>
        <w:t>到2025年，以</w:t>
      </w:r>
      <w:r>
        <w:rPr>
          <w:rFonts w:hint="eastAsia" w:ascii="Times New Roman" w:hAnsi="Times New Roman" w:eastAsia="仿宋_GB2312" w:cs="Times New Roman"/>
          <w:kern w:val="2"/>
          <w:sz w:val="32"/>
          <w:szCs w:val="24"/>
          <w:highlight w:val="none"/>
          <w:lang w:val="en-US" w:eastAsia="zh-CN" w:bidi="ar-SA"/>
        </w:rPr>
        <w:t>电子商务产业园</w:t>
      </w:r>
      <w:r>
        <w:rPr>
          <w:rFonts w:hint="eastAsia" w:cs="Times New Roman"/>
          <w:kern w:val="2"/>
          <w:sz w:val="32"/>
          <w:szCs w:val="24"/>
          <w:highlight w:val="none"/>
          <w:lang w:val="en-US" w:eastAsia="zh-CN" w:bidi="ar-SA"/>
        </w:rPr>
        <w:t>发展</w:t>
      </w:r>
      <w:r>
        <w:rPr>
          <w:rFonts w:hint="eastAsia" w:ascii="Times New Roman" w:hAnsi="Times New Roman" w:eastAsia="仿宋_GB2312" w:cs="Times New Roman"/>
          <w:kern w:val="2"/>
          <w:sz w:val="32"/>
          <w:szCs w:val="24"/>
          <w:highlight w:val="none"/>
          <w:lang w:val="en-US" w:eastAsia="zh-CN" w:bidi="ar-SA"/>
        </w:rPr>
        <w:t>建设</w:t>
      </w:r>
      <w:r>
        <w:rPr>
          <w:rFonts w:hint="eastAsia" w:cs="Times New Roman"/>
          <w:kern w:val="2"/>
          <w:sz w:val="32"/>
          <w:szCs w:val="24"/>
          <w:highlight w:val="none"/>
          <w:lang w:val="en-US" w:eastAsia="zh-CN" w:bidi="ar-SA"/>
        </w:rPr>
        <w:t>为抓手</w:t>
      </w:r>
      <w:r>
        <w:rPr>
          <w:rFonts w:hint="eastAsia" w:ascii="Times New Roman" w:hAnsi="Times New Roman" w:eastAsia="仿宋_GB2312" w:cs="Times New Roman"/>
          <w:kern w:val="2"/>
          <w:sz w:val="32"/>
          <w:szCs w:val="24"/>
          <w:highlight w:val="none"/>
          <w:lang w:val="en-US" w:eastAsia="zh-CN" w:bidi="ar-SA"/>
        </w:rPr>
        <w:t>，</w:t>
      </w:r>
      <w:r>
        <w:rPr>
          <w:rFonts w:hint="eastAsia" w:cs="Times New Roman"/>
          <w:kern w:val="2"/>
          <w:sz w:val="32"/>
          <w:szCs w:val="24"/>
          <w:highlight w:val="none"/>
          <w:lang w:val="en-US" w:eastAsia="zh-CN" w:bidi="ar-SA"/>
        </w:rPr>
        <w:t>力争</w:t>
      </w:r>
      <w:r>
        <w:rPr>
          <w:rFonts w:hint="eastAsia" w:ascii="Times New Roman" w:hAnsi="Times New Roman" w:eastAsia="仿宋_GB2312" w:cs="Times New Roman"/>
          <w:kern w:val="2"/>
          <w:sz w:val="32"/>
          <w:szCs w:val="24"/>
          <w:highlight w:val="none"/>
          <w:lang w:val="en-US" w:eastAsia="zh-CN" w:bidi="ar-SA"/>
        </w:rPr>
        <w:t>建设立足江汉平原、辐射湖北、面向全国的电子商务集聚区，建成全省电子商务示范城市。</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default" w:cs="Times New Roman"/>
          <w:kern w:val="2"/>
          <w:sz w:val="32"/>
          <w:szCs w:val="24"/>
          <w:highlight w:val="none"/>
          <w:lang w:val="en-US" w:eastAsia="zh-CN" w:bidi="ar-SA"/>
        </w:rPr>
      </w:pPr>
      <w:r>
        <w:rPr>
          <w:rFonts w:hint="eastAsia" w:eastAsia="楷体" w:cs="Times New Roman"/>
          <w:b/>
          <w:bCs/>
          <w:color w:val="auto"/>
          <w:sz w:val="32"/>
          <w:szCs w:val="40"/>
          <w:highlight w:val="none"/>
          <w:lang w:val="en-US" w:eastAsia="zh-CN"/>
        </w:rPr>
        <w:t>二、推进农产品仓储</w:t>
      </w:r>
      <w:r>
        <w:rPr>
          <w:rFonts w:hint="eastAsia" w:ascii="Times New Roman" w:hAnsi="Times New Roman" w:eastAsia="楷体" w:cs="Times New Roman"/>
          <w:b/>
          <w:bCs/>
          <w:color w:val="auto"/>
          <w:sz w:val="32"/>
          <w:szCs w:val="40"/>
          <w:highlight w:val="none"/>
          <w:lang w:val="en-US" w:eastAsia="zh-CN"/>
        </w:rPr>
        <w:t>物流</w:t>
      </w:r>
      <w:r>
        <w:rPr>
          <w:rFonts w:hint="eastAsia" w:eastAsia="楷体" w:cs="Times New Roman"/>
          <w:b/>
          <w:bCs/>
          <w:color w:val="auto"/>
          <w:sz w:val="32"/>
          <w:szCs w:val="40"/>
          <w:highlight w:val="none"/>
          <w:lang w:val="en-US" w:eastAsia="zh-CN"/>
        </w:rPr>
        <w:t>业融合发展</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cs="Times New Roman"/>
          <w:kern w:val="2"/>
          <w:sz w:val="32"/>
          <w:szCs w:val="24"/>
          <w:highlight w:val="none"/>
          <w:lang w:val="en-US" w:eastAsia="zh-CN" w:bidi="ar-SA"/>
        </w:rPr>
      </w:pPr>
      <w:r>
        <w:rPr>
          <w:rFonts w:hint="eastAsia" w:cs="Times New Roman"/>
          <w:kern w:val="2"/>
          <w:sz w:val="32"/>
          <w:szCs w:val="24"/>
          <w:highlight w:val="none"/>
          <w:lang w:val="en-US" w:eastAsia="zh-CN" w:bidi="ar-SA"/>
        </w:rPr>
        <w:t>统筹全市城乡物流建设与发展，按照“以干补支、以城带乡”的农村物流发展思路，加快构建“点线结合、干支互补、城乡一体”的潜江农村物流网络体系。</w:t>
      </w:r>
      <w:r>
        <w:rPr>
          <w:rFonts w:ascii="仿宋_GB2312" w:hAnsi="宋体" w:eastAsia="仿宋_GB2312" w:cs="仿宋_GB2312"/>
          <w:i w:val="0"/>
          <w:iCs w:val="0"/>
          <w:caps w:val="0"/>
          <w:color w:val="00000A"/>
          <w:spacing w:val="0"/>
          <w:sz w:val="32"/>
          <w:szCs w:val="32"/>
          <w:shd w:val="clear" w:fill="FFFFFF"/>
        </w:rPr>
        <w:t>统筹交通、邮政、商务、供销等农村物流资源，推广“多站合一”的农村物流服务模式</w:t>
      </w:r>
      <w:r>
        <w:rPr>
          <w:rFonts w:hint="eastAsia" w:ascii="仿宋_GB2312" w:hAnsi="宋体" w:cs="仿宋_GB2312"/>
          <w:i w:val="0"/>
          <w:iCs w:val="0"/>
          <w:caps w:val="0"/>
          <w:color w:val="00000A"/>
          <w:spacing w:val="0"/>
          <w:sz w:val="32"/>
          <w:szCs w:val="32"/>
          <w:shd w:val="clear" w:fill="FFFFFF"/>
          <w:lang w:eastAsia="zh-CN"/>
        </w:rPr>
        <w:t>。</w:t>
      </w:r>
      <w:r>
        <w:rPr>
          <w:rFonts w:hint="eastAsia" w:ascii="仿宋_GB2312" w:hAnsi="宋体" w:cs="仿宋_GB2312"/>
          <w:i w:val="0"/>
          <w:iCs w:val="0"/>
          <w:caps w:val="0"/>
          <w:color w:val="00000A"/>
          <w:spacing w:val="0"/>
          <w:sz w:val="32"/>
          <w:szCs w:val="32"/>
          <w:shd w:val="clear" w:fill="FFFFFF"/>
          <w:lang w:val="en-US" w:eastAsia="zh-CN"/>
        </w:rPr>
        <w:t>推进</w:t>
      </w:r>
      <w:r>
        <w:rPr>
          <w:rFonts w:hint="eastAsia" w:cs="Times New Roman"/>
          <w:kern w:val="2"/>
          <w:sz w:val="32"/>
          <w:szCs w:val="24"/>
          <w:highlight w:val="none"/>
          <w:lang w:val="en-US" w:eastAsia="zh-CN" w:bidi="ar-SA"/>
        </w:rPr>
        <w:t>全市乡镇（或经济发达的村）规划建设农村电商物流快递融合发展中心，整合各乡镇电商物流快递资源，建立村级物流快递点。依托乡镇综合服务站，开办邮政服务、客票代售等业务。</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cs="Times New Roman"/>
          <w:kern w:val="2"/>
          <w:sz w:val="32"/>
          <w:szCs w:val="24"/>
          <w:highlight w:val="none"/>
          <w:lang w:val="en-US" w:eastAsia="zh-CN" w:bidi="ar-SA"/>
        </w:rPr>
      </w:pPr>
      <w:r>
        <w:rPr>
          <w:rFonts w:hint="eastAsia" w:cs="Times New Roman"/>
          <w:kern w:val="2"/>
          <w:sz w:val="32"/>
          <w:szCs w:val="24"/>
          <w:highlight w:val="none"/>
          <w:lang w:val="en-US" w:eastAsia="zh-CN" w:bidi="ar-SA"/>
        </w:rPr>
        <w:t>加快推进三个市级</w:t>
      </w:r>
      <w:r>
        <w:rPr>
          <w:rFonts w:hint="eastAsia" w:ascii="Times New Roman" w:hAnsi="Times New Roman" w:eastAsia="仿宋_GB2312" w:cs="Times New Roman"/>
          <w:kern w:val="2"/>
          <w:sz w:val="32"/>
          <w:szCs w:val="24"/>
          <w:highlight w:val="none"/>
          <w:lang w:val="en-US" w:eastAsia="zh-CN" w:bidi="ar-SA"/>
        </w:rPr>
        <w:t>仓储保鲜冷链物流</w:t>
      </w:r>
      <w:r>
        <w:rPr>
          <w:rFonts w:hint="eastAsia" w:cs="Times New Roman"/>
          <w:kern w:val="2"/>
          <w:sz w:val="32"/>
          <w:szCs w:val="24"/>
          <w:highlight w:val="none"/>
          <w:lang w:val="en-US" w:eastAsia="zh-CN" w:bidi="ar-SA"/>
        </w:rPr>
        <w:t>中心</w:t>
      </w:r>
      <w:r>
        <w:rPr>
          <w:rFonts w:hint="eastAsia" w:ascii="Times New Roman" w:hAnsi="Times New Roman" w:eastAsia="仿宋_GB2312" w:cs="Times New Roman"/>
          <w:kern w:val="2"/>
          <w:sz w:val="32"/>
          <w:szCs w:val="24"/>
          <w:highlight w:val="none"/>
          <w:lang w:val="en-US" w:eastAsia="zh-CN" w:bidi="ar-SA"/>
        </w:rPr>
        <w:t>建设，</w:t>
      </w:r>
      <w:r>
        <w:rPr>
          <w:rFonts w:hint="eastAsia" w:cs="Times New Roman"/>
          <w:kern w:val="2"/>
          <w:sz w:val="32"/>
          <w:szCs w:val="24"/>
          <w:highlight w:val="none"/>
          <w:lang w:val="en-US" w:eastAsia="zh-CN" w:bidi="ar-SA"/>
        </w:rPr>
        <w:t>一是以</w:t>
      </w:r>
      <w:r>
        <w:rPr>
          <w:rFonts w:hint="eastAsia" w:ascii="Times New Roman" w:hAnsi="Times New Roman" w:eastAsia="仿宋_GB2312" w:cs="Times New Roman"/>
          <w:kern w:val="2"/>
          <w:sz w:val="32"/>
          <w:szCs w:val="24"/>
          <w:highlight w:val="none"/>
          <w:lang w:val="en-US" w:eastAsia="zh-CN" w:bidi="ar-SA"/>
        </w:rPr>
        <w:t>园林</w:t>
      </w:r>
      <w:r>
        <w:rPr>
          <w:rFonts w:hint="eastAsia" w:cs="Times New Roman"/>
          <w:kern w:val="2"/>
          <w:sz w:val="32"/>
          <w:szCs w:val="24"/>
          <w:highlight w:val="none"/>
          <w:lang w:val="en-US" w:eastAsia="zh-CN" w:bidi="ar-SA"/>
        </w:rPr>
        <w:t>街道</w:t>
      </w:r>
      <w:r>
        <w:rPr>
          <w:rFonts w:hint="eastAsia" w:ascii="Times New Roman" w:hAnsi="Times New Roman" w:eastAsia="仿宋_GB2312" w:cs="Times New Roman"/>
          <w:kern w:val="2"/>
          <w:sz w:val="32"/>
          <w:szCs w:val="24"/>
          <w:highlight w:val="none"/>
          <w:lang w:val="en-US" w:eastAsia="zh-CN" w:bidi="ar-SA"/>
        </w:rPr>
        <w:t>、杨</w:t>
      </w:r>
      <w:r>
        <w:rPr>
          <w:rFonts w:hint="eastAsia" w:cs="Times New Roman"/>
          <w:kern w:val="2"/>
          <w:sz w:val="32"/>
          <w:szCs w:val="24"/>
          <w:highlight w:val="none"/>
          <w:lang w:val="en-US" w:eastAsia="zh-CN" w:bidi="ar-SA"/>
        </w:rPr>
        <w:t>市街道和</w:t>
      </w:r>
      <w:r>
        <w:rPr>
          <w:rFonts w:hint="eastAsia" w:ascii="Times New Roman" w:hAnsi="Times New Roman" w:eastAsia="仿宋_GB2312" w:cs="Times New Roman"/>
          <w:kern w:val="2"/>
          <w:sz w:val="32"/>
          <w:szCs w:val="24"/>
          <w:highlight w:val="none"/>
          <w:lang w:val="en-US" w:eastAsia="zh-CN" w:bidi="ar-SA"/>
        </w:rPr>
        <w:t>总口</w:t>
      </w:r>
      <w:r>
        <w:rPr>
          <w:rFonts w:hint="eastAsia" w:cs="Times New Roman"/>
          <w:kern w:val="2"/>
          <w:sz w:val="32"/>
          <w:szCs w:val="24"/>
          <w:highlight w:val="none"/>
          <w:lang w:val="en-US" w:eastAsia="zh-CN" w:bidi="ar-SA"/>
        </w:rPr>
        <w:t>管理区为中心，建成</w:t>
      </w:r>
      <w:r>
        <w:rPr>
          <w:rFonts w:hint="eastAsia" w:cs="Times New Roman"/>
          <w:b/>
          <w:bCs/>
          <w:kern w:val="2"/>
          <w:sz w:val="32"/>
          <w:szCs w:val="24"/>
          <w:highlight w:val="none"/>
          <w:lang w:val="en-US" w:eastAsia="zh-CN" w:bidi="ar-SA"/>
        </w:rPr>
        <w:t>潜东农产品综合仓储保鲜冷链物流中心</w:t>
      </w:r>
      <w:r>
        <w:rPr>
          <w:rFonts w:hint="eastAsia" w:cs="Times New Roman"/>
          <w:b w:val="0"/>
          <w:bCs w:val="0"/>
          <w:kern w:val="2"/>
          <w:sz w:val="32"/>
          <w:szCs w:val="24"/>
          <w:highlight w:val="none"/>
          <w:lang w:val="en-US" w:eastAsia="zh-CN" w:bidi="ar-SA"/>
        </w:rPr>
        <w:t>；</w:t>
      </w:r>
      <w:r>
        <w:rPr>
          <w:rFonts w:hint="eastAsia" w:cs="Times New Roman"/>
          <w:kern w:val="2"/>
          <w:sz w:val="32"/>
          <w:szCs w:val="24"/>
          <w:highlight w:val="none"/>
          <w:lang w:val="en-US" w:eastAsia="zh-CN" w:bidi="ar-SA"/>
        </w:rPr>
        <w:t>二是以后湖管理区和高场街道为中心，建成</w:t>
      </w:r>
      <w:r>
        <w:rPr>
          <w:rFonts w:hint="eastAsia" w:cs="Times New Roman"/>
          <w:b/>
          <w:bCs/>
          <w:kern w:val="2"/>
          <w:sz w:val="32"/>
          <w:szCs w:val="24"/>
          <w:highlight w:val="none"/>
          <w:lang w:val="en-US" w:eastAsia="zh-CN" w:bidi="ar-SA"/>
        </w:rPr>
        <w:t>潜中小龙虾、蔬菜和粮油大宗农产品物流中心</w:t>
      </w:r>
      <w:r>
        <w:rPr>
          <w:rFonts w:hint="eastAsia" w:cs="Times New Roman"/>
          <w:kern w:val="2"/>
          <w:sz w:val="32"/>
          <w:szCs w:val="24"/>
          <w:highlight w:val="none"/>
          <w:lang w:val="en-US" w:eastAsia="zh-CN" w:bidi="ar-SA"/>
        </w:rPr>
        <w:t>；三是以运粮湖管理区为中心，建成</w:t>
      </w:r>
      <w:r>
        <w:rPr>
          <w:rFonts w:hint="eastAsia" w:cs="Times New Roman"/>
          <w:b/>
          <w:bCs/>
          <w:kern w:val="2"/>
          <w:sz w:val="32"/>
          <w:szCs w:val="24"/>
          <w:highlight w:val="none"/>
          <w:lang w:val="en-US" w:eastAsia="zh-CN" w:bidi="ar-SA"/>
        </w:rPr>
        <w:t>潜西高档农产品和食品仓储保鲜冷链物流中心</w:t>
      </w:r>
      <w:r>
        <w:rPr>
          <w:rFonts w:hint="eastAsia" w:cs="Times New Roman"/>
          <w:kern w:val="2"/>
          <w:sz w:val="32"/>
          <w:szCs w:val="24"/>
          <w:highlight w:val="none"/>
          <w:lang w:val="en-US" w:eastAsia="zh-CN" w:bidi="ar-SA"/>
        </w:rPr>
        <w:t>。依托地理区位优势，以“立足潜江、覆盖中部、服务全国”为视野，将潜江打造为</w:t>
      </w:r>
      <w:r>
        <w:rPr>
          <w:rFonts w:hint="eastAsia" w:cs="Times New Roman"/>
          <w:b/>
          <w:bCs/>
          <w:kern w:val="2"/>
          <w:sz w:val="32"/>
          <w:szCs w:val="24"/>
          <w:highlight w:val="none"/>
          <w:lang w:val="en-US" w:eastAsia="zh-CN" w:bidi="ar-SA"/>
        </w:rPr>
        <w:t>湖北省农产品冷链仓储物流枢纽中心</w:t>
      </w:r>
      <w:r>
        <w:rPr>
          <w:rFonts w:hint="eastAsia" w:cs="Times New Roman"/>
          <w:kern w:val="2"/>
          <w:sz w:val="32"/>
          <w:szCs w:val="24"/>
          <w:highlight w:val="none"/>
          <w:lang w:val="en-US" w:eastAsia="zh-CN" w:bidi="ar-SA"/>
        </w:rPr>
        <w:t>。</w:t>
      </w:r>
    </w:p>
    <w:p>
      <w:pPr>
        <w:pStyle w:val="2"/>
        <w:rPr>
          <w:rFonts w:hint="eastAsia" w:cs="Times New Roman"/>
          <w:kern w:val="2"/>
          <w:sz w:val="32"/>
          <w:szCs w:val="24"/>
          <w:highlight w:val="none"/>
          <w:lang w:val="en-US" w:eastAsia="zh-CN" w:bidi="ar-SA"/>
        </w:rPr>
      </w:pPr>
    </w:p>
    <w:p>
      <w:pPr>
        <w:rPr>
          <w:rFonts w:hint="eastAsia"/>
          <w:lang w:val="en-US" w:eastAsia="zh-CN"/>
        </w:rPr>
      </w:pPr>
      <w:r>
        <w:rPr>
          <w:rFonts w:hint="eastAsia"/>
          <w:lang w:val="en-US" w:eastAsia="zh-CN"/>
        </w:rPr>
        <w:drawing>
          <wp:anchor distT="0" distB="0" distL="114300" distR="114300" simplePos="0" relativeHeight="251659264" behindDoc="1" locked="0" layoutInCell="1" allowOverlap="1">
            <wp:simplePos x="0" y="0"/>
            <wp:positionH relativeFrom="column">
              <wp:posOffset>228600</wp:posOffset>
            </wp:positionH>
            <wp:positionV relativeFrom="paragraph">
              <wp:posOffset>-11430</wp:posOffset>
            </wp:positionV>
            <wp:extent cx="4945380" cy="3984625"/>
            <wp:effectExtent l="0" t="0" r="7620" b="15875"/>
            <wp:wrapNone/>
            <wp:docPr id="4" name="图片 4" descr="e7adbda6af901c8607d2d73d4d63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7adbda6af901c8607d2d73d4d632c8"/>
                    <pic:cNvPicPr>
                      <a:picLocks noChangeAspect="1"/>
                    </pic:cNvPicPr>
                  </pic:nvPicPr>
                  <pic:blipFill>
                    <a:blip r:embed="rId16"/>
                    <a:stretch>
                      <a:fillRect/>
                    </a:stretch>
                  </pic:blipFill>
                  <pic:spPr>
                    <a:xfrm>
                      <a:off x="0" y="0"/>
                      <a:ext cx="4945380" cy="3984625"/>
                    </a:xfrm>
                    <a:prstGeom prst="rect">
                      <a:avLst/>
                    </a:prstGeom>
                  </pic:spPr>
                </pic:pic>
              </a:graphicData>
            </a:graphic>
          </wp:anchor>
        </w:drawing>
      </w:r>
    </w:p>
    <w:p>
      <w:pPr>
        <w:rPr>
          <w:rFonts w:hint="eastAsia" w:cs="Times New Roman"/>
          <w:kern w:val="2"/>
          <w:sz w:val="32"/>
          <w:szCs w:val="24"/>
          <w:highlight w:val="none"/>
          <w:lang w:val="en-US" w:eastAsia="zh-CN" w:bidi="ar-SA"/>
        </w:rPr>
      </w:pPr>
    </w:p>
    <w:p>
      <w:pPr>
        <w:pStyle w:val="2"/>
        <w:rPr>
          <w:rFonts w:hint="eastAsia"/>
          <w:lang w:val="en-US" w:eastAsia="zh-CN"/>
        </w:rPr>
      </w:pPr>
    </w:p>
    <w:p>
      <w:pPr>
        <w:pStyle w:val="2"/>
        <w:rPr>
          <w:rFonts w:hint="eastAsia" w:cs="Times New Roman"/>
          <w:kern w:val="2"/>
          <w:sz w:val="32"/>
          <w:szCs w:val="24"/>
          <w:highlight w:val="none"/>
          <w:lang w:val="en-US" w:eastAsia="zh-CN" w:bidi="ar-SA"/>
        </w:rPr>
      </w:pPr>
    </w:p>
    <w:p>
      <w:pPr>
        <w:rPr>
          <w:rFonts w:hint="eastAsia" w:cs="Times New Roman"/>
          <w:kern w:val="2"/>
          <w:sz w:val="32"/>
          <w:szCs w:val="24"/>
          <w:highlight w:val="none"/>
          <w:lang w:val="en-US" w:eastAsia="zh-CN" w:bidi="ar-SA"/>
        </w:rPr>
      </w:pPr>
    </w:p>
    <w:p>
      <w:pPr>
        <w:pStyle w:val="2"/>
        <w:rPr>
          <w:rFonts w:hint="eastAsia" w:cs="Times New Roman"/>
          <w:kern w:val="2"/>
          <w:sz w:val="32"/>
          <w:szCs w:val="24"/>
          <w:highlight w:val="none"/>
          <w:lang w:val="en-US" w:eastAsia="zh-CN" w:bidi="ar-SA"/>
        </w:rPr>
      </w:pPr>
    </w:p>
    <w:p>
      <w:pPr>
        <w:rPr>
          <w:rFonts w:hint="eastAsia" w:cs="Times New Roman"/>
          <w:kern w:val="2"/>
          <w:sz w:val="32"/>
          <w:szCs w:val="24"/>
          <w:highlight w:val="none"/>
          <w:lang w:val="en-US" w:eastAsia="zh-CN" w:bidi="ar-SA"/>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pStyle w:val="2"/>
        <w:keepNext w:val="0"/>
        <w:keepLines w:val="0"/>
        <w:pageBreakBefore w:val="0"/>
        <w:widowControl/>
        <w:kinsoku/>
        <w:wordWrap/>
        <w:overflowPunct/>
        <w:topLinePunct w:val="0"/>
        <w:autoSpaceDE/>
        <w:autoSpaceDN/>
        <w:bidi w:val="0"/>
        <w:adjustRightInd/>
        <w:snapToGrid/>
        <w:spacing w:before="160" w:beforeLines="50" w:after="160" w:afterLines="50" w:line="360" w:lineRule="auto"/>
        <w:ind w:left="0" w:leftChars="0" w:firstLine="0" w:firstLineChars="0"/>
        <w:jc w:val="center"/>
        <w:textAlignment w:val="auto"/>
        <w:outlineLvl w:val="9"/>
        <w:rPr>
          <w:rFonts w:hint="eastAsia" w:ascii="楷体" w:hAnsi="楷体" w:eastAsia="楷体" w:cs="楷体"/>
          <w:b/>
          <w:bCs/>
          <w:smallCaps w:val="0"/>
          <w:sz w:val="32"/>
          <w:szCs w:val="32"/>
          <w:highlight w:val="none"/>
          <w:lang w:val="en-US" w:eastAsia="zh-CN"/>
        </w:rPr>
      </w:pPr>
      <w:r>
        <w:rPr>
          <w:rFonts w:hint="default" w:ascii="Times New Roman" w:hAnsi="Times New Roman" w:cs="Times New Roman"/>
          <w:sz w:val="28"/>
          <w:szCs w:val="22"/>
          <w:highlight w:val="none"/>
          <w:lang w:val="en-US" w:eastAsia="zh-CN"/>
        </w:rPr>
        <w:t>图</w:t>
      </w:r>
      <w:r>
        <w:rPr>
          <w:rFonts w:hint="eastAsia" w:cs="Times New Roman"/>
          <w:sz w:val="28"/>
          <w:szCs w:val="22"/>
          <w:highlight w:val="none"/>
          <w:lang w:val="en-US" w:eastAsia="zh-CN"/>
        </w:rPr>
        <w:t>3</w:t>
      </w:r>
      <w:r>
        <w:rPr>
          <w:rFonts w:hint="default" w:ascii="Times New Roman" w:hAnsi="Times New Roman" w:cs="Times New Roman"/>
          <w:sz w:val="28"/>
          <w:szCs w:val="22"/>
          <w:highlight w:val="none"/>
          <w:lang w:val="en-US" w:eastAsia="zh-CN"/>
        </w:rPr>
        <w:t>-</w:t>
      </w:r>
      <w:r>
        <w:rPr>
          <w:rFonts w:hint="eastAsia" w:cs="Times New Roman"/>
          <w:sz w:val="28"/>
          <w:szCs w:val="22"/>
          <w:highlight w:val="none"/>
          <w:lang w:val="en-US" w:eastAsia="zh-CN"/>
        </w:rPr>
        <w:t>4</w:t>
      </w:r>
      <w:r>
        <w:rPr>
          <w:rFonts w:hint="eastAsia"/>
          <w:sz w:val="28"/>
          <w:szCs w:val="22"/>
          <w:highlight w:val="none"/>
          <w:lang w:val="en-US" w:eastAsia="zh-CN"/>
        </w:rPr>
        <w:t>潜江农产品冷链仓储物流建设示意图</w:t>
      </w:r>
      <w:bookmarkStart w:id="111" w:name="_Toc9296"/>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60" w:lineRule="exact"/>
        <w:ind w:left="0" w:leftChars="0" w:firstLine="0" w:firstLineChars="0"/>
        <w:jc w:val="center"/>
        <w:textAlignment w:val="auto"/>
        <w:outlineLvl w:val="1"/>
        <w:rPr>
          <w:rFonts w:hint="default" w:ascii="楷体" w:hAnsi="楷体" w:eastAsia="楷体" w:cs="楷体"/>
          <w:b/>
          <w:bCs/>
          <w:smallCaps w:val="0"/>
          <w:sz w:val="32"/>
          <w:szCs w:val="32"/>
          <w:highlight w:val="none"/>
          <w:lang w:val="en-US" w:eastAsia="zh-CN"/>
        </w:rPr>
      </w:pPr>
      <w:bookmarkStart w:id="112" w:name="_Toc3234"/>
      <w:r>
        <w:rPr>
          <w:rFonts w:hint="eastAsia" w:ascii="楷体" w:hAnsi="楷体" w:eastAsia="楷体" w:cs="楷体"/>
          <w:b/>
          <w:bCs/>
          <w:smallCaps w:val="0"/>
          <w:sz w:val="32"/>
          <w:szCs w:val="32"/>
          <w:highlight w:val="none"/>
          <w:lang w:val="en-US" w:eastAsia="zh-CN"/>
        </w:rPr>
        <w:t>第四节 着力推动农业数字经济发展</w:t>
      </w:r>
      <w:bookmarkEnd w:id="111"/>
      <w:bookmarkEnd w:id="112"/>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cs="Times New Roman"/>
          <w:b w:val="0"/>
          <w:smallCaps w:val="0"/>
          <w:kern w:val="2"/>
          <w:sz w:val="32"/>
          <w:szCs w:val="24"/>
          <w:highlight w:val="none"/>
          <w:lang w:val="en-US" w:eastAsia="zh-CN" w:bidi="ar-SA"/>
        </w:rPr>
      </w:pPr>
      <w:r>
        <w:rPr>
          <w:rFonts w:hint="eastAsia" w:ascii="Times New Roman" w:hAnsi="Times New Roman" w:eastAsia="仿宋_GB2312" w:cs="Times New Roman"/>
          <w:b w:val="0"/>
          <w:smallCaps w:val="0"/>
          <w:kern w:val="2"/>
          <w:sz w:val="32"/>
          <w:szCs w:val="24"/>
          <w:highlight w:val="none"/>
          <w:lang w:val="en-US" w:eastAsia="zh-CN" w:bidi="ar-SA"/>
        </w:rPr>
        <w:t>大力推进</w:t>
      </w:r>
      <w:r>
        <w:rPr>
          <w:rFonts w:hint="eastAsia" w:ascii="Times New Roman" w:hAnsi="Times New Roman" w:cs="Times New Roman"/>
          <w:b w:val="0"/>
          <w:smallCaps w:val="0"/>
          <w:kern w:val="2"/>
          <w:sz w:val="32"/>
          <w:szCs w:val="24"/>
          <w:highlight w:val="none"/>
          <w:lang w:val="en-US" w:eastAsia="zh-CN" w:bidi="ar-SA"/>
        </w:rPr>
        <w:t>乡村</w:t>
      </w:r>
      <w:r>
        <w:rPr>
          <w:rFonts w:hint="eastAsia" w:ascii="Times New Roman" w:hAnsi="Times New Roman" w:eastAsia="仿宋_GB2312" w:cs="Times New Roman"/>
          <w:b w:val="0"/>
          <w:smallCaps w:val="0"/>
          <w:kern w:val="2"/>
          <w:sz w:val="32"/>
          <w:szCs w:val="24"/>
          <w:highlight w:val="none"/>
          <w:lang w:val="en-US" w:eastAsia="zh-CN" w:bidi="ar-SA"/>
        </w:rPr>
        <w:t>智慧农业发展</w:t>
      </w:r>
      <w:r>
        <w:rPr>
          <w:rFonts w:hint="eastAsia" w:ascii="Times New Roman" w:hAnsi="Times New Roman" w:cs="Times New Roman"/>
          <w:b w:val="0"/>
          <w:smallCaps w:val="0"/>
          <w:kern w:val="2"/>
          <w:sz w:val="32"/>
          <w:szCs w:val="24"/>
          <w:highlight w:val="none"/>
          <w:lang w:val="en-US" w:eastAsia="zh-CN" w:bidi="ar-SA"/>
        </w:rPr>
        <w:t>。推进虾稻大数据中心提档升级，建成集大数据收集整合、种养模式培训及电子商务运营体验于一体的湖北省虾－稻产业大数据中心，构建全省虾－稻产业数据资源一张图，实现“应急预案管理”“市场供销价格管理”“虾稻全生长周期管理”“虾稻品牌追溯（溯源）管理”等应用功能。以国家现代农业产业园和潜江虾－稻田园综合体基地为核心，试点建设1-3万亩国家数字农业应用推广基地。利用大数据、云计算和物联网等技术，打造集数字化虾稻智慧种植养殖、标准化生产和品牌化销售等为一体的数字农业三产融合发展先行示范区，推动全程数据化管理，促进潜江虾稻研发、生产、加工、物流、示范和服务等融合发展。建设湖北网翼（湖北翼之虾）潜江虾稻数字农业产业园，完善潜网集团小龙虾数字化营销平台。</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b w:val="0"/>
          <w:smallCaps w:val="0"/>
          <w:kern w:val="2"/>
          <w:sz w:val="32"/>
          <w:szCs w:val="24"/>
          <w:highlight w:val="none"/>
          <w:lang w:val="en-US" w:eastAsia="zh-CN" w:bidi="ar-SA"/>
        </w:rPr>
      </w:pPr>
      <w:r>
        <w:rPr>
          <w:rFonts w:hint="eastAsia" w:ascii="Times New Roman" w:hAnsi="Times New Roman" w:cs="Times New Roman"/>
          <w:b w:val="0"/>
          <w:smallCaps w:val="0"/>
          <w:kern w:val="2"/>
          <w:sz w:val="32"/>
          <w:szCs w:val="24"/>
          <w:highlight w:val="none"/>
          <w:lang w:val="en-US" w:eastAsia="zh-CN" w:bidi="ar-SA"/>
        </w:rPr>
        <w:t>统筹全市重要农业种质资源数据、重要农产品生产数据</w:t>
      </w:r>
      <w:r>
        <w:rPr>
          <w:rFonts w:hint="eastAsia" w:ascii="Times New Roman" w:hAnsi="Times New Roman" w:eastAsia="仿宋_GB2312" w:cs="Times New Roman"/>
          <w:b w:val="0"/>
          <w:smallCaps w:val="0"/>
          <w:kern w:val="2"/>
          <w:sz w:val="32"/>
          <w:szCs w:val="24"/>
          <w:highlight w:val="none"/>
          <w:lang w:val="en-US" w:eastAsia="zh-CN" w:bidi="ar-SA"/>
        </w:rPr>
        <w:t>、农业病虫害及疫病监测预警</w:t>
      </w:r>
      <w:r>
        <w:rPr>
          <w:rFonts w:hint="eastAsia" w:ascii="Times New Roman" w:hAnsi="Times New Roman" w:cs="Times New Roman"/>
          <w:b w:val="0"/>
          <w:smallCaps w:val="0"/>
          <w:kern w:val="2"/>
          <w:sz w:val="32"/>
          <w:szCs w:val="24"/>
          <w:highlight w:val="none"/>
          <w:lang w:val="en-US" w:eastAsia="zh-CN" w:bidi="ar-SA"/>
        </w:rPr>
        <w:t>数据、农技推广服务数据、农产品质量安全监管数据、农产品仓储保鲜冷链物流数据、农产品消费数据和</w:t>
      </w:r>
      <w:r>
        <w:rPr>
          <w:rFonts w:hint="eastAsia" w:ascii="Times New Roman" w:hAnsi="Times New Roman" w:eastAsia="仿宋_GB2312" w:cs="Times New Roman"/>
          <w:b w:val="0"/>
          <w:smallCaps w:val="0"/>
          <w:kern w:val="2"/>
          <w:sz w:val="32"/>
          <w:szCs w:val="24"/>
          <w:highlight w:val="none"/>
          <w:lang w:val="en-US" w:eastAsia="zh-CN" w:bidi="ar-SA"/>
        </w:rPr>
        <w:t>农村集体资产</w:t>
      </w:r>
      <w:r>
        <w:rPr>
          <w:rFonts w:hint="eastAsia" w:ascii="Times New Roman" w:hAnsi="Times New Roman" w:cs="Times New Roman"/>
          <w:b w:val="0"/>
          <w:smallCaps w:val="0"/>
          <w:kern w:val="2"/>
          <w:sz w:val="32"/>
          <w:szCs w:val="24"/>
          <w:highlight w:val="none"/>
          <w:lang w:val="en-US" w:eastAsia="zh-CN" w:bidi="ar-SA"/>
        </w:rPr>
        <w:t>数据及农村</w:t>
      </w:r>
      <w:r>
        <w:rPr>
          <w:rFonts w:hint="eastAsia" w:ascii="Times New Roman" w:hAnsi="Times New Roman" w:eastAsia="仿宋_GB2312" w:cs="Times New Roman"/>
          <w:b w:val="0"/>
          <w:smallCaps w:val="0"/>
          <w:kern w:val="2"/>
          <w:sz w:val="32"/>
          <w:szCs w:val="24"/>
          <w:highlight w:val="none"/>
          <w:lang w:val="en-US" w:eastAsia="zh-CN" w:bidi="ar-SA"/>
        </w:rPr>
        <w:t>宅基地数据</w:t>
      </w:r>
      <w:r>
        <w:rPr>
          <w:rFonts w:hint="eastAsia" w:ascii="Times New Roman" w:hAnsi="Times New Roman" w:cs="Times New Roman"/>
          <w:b w:val="0"/>
          <w:smallCaps w:val="0"/>
          <w:kern w:val="2"/>
          <w:sz w:val="32"/>
          <w:szCs w:val="24"/>
          <w:highlight w:val="none"/>
          <w:lang w:val="en-US" w:eastAsia="zh-CN" w:bidi="ar-SA"/>
        </w:rPr>
        <w:t>等</w:t>
      </w:r>
      <w:r>
        <w:rPr>
          <w:rFonts w:hint="eastAsia" w:ascii="Times New Roman" w:hAnsi="Times New Roman" w:eastAsia="仿宋_GB2312" w:cs="Times New Roman"/>
          <w:b w:val="0"/>
          <w:smallCaps w:val="0"/>
          <w:kern w:val="2"/>
          <w:sz w:val="32"/>
          <w:szCs w:val="24"/>
          <w:highlight w:val="none"/>
          <w:lang w:val="en-US" w:eastAsia="zh-CN" w:bidi="ar-SA"/>
        </w:rPr>
        <w:t>，逐步整合</w:t>
      </w:r>
      <w:r>
        <w:rPr>
          <w:rFonts w:hint="eastAsia" w:ascii="Times New Roman" w:hAnsi="Times New Roman" w:cs="Times New Roman"/>
          <w:b w:val="0"/>
          <w:smallCaps w:val="0"/>
          <w:kern w:val="2"/>
          <w:sz w:val="32"/>
          <w:szCs w:val="24"/>
          <w:highlight w:val="none"/>
          <w:lang w:val="en-US" w:eastAsia="zh-CN" w:bidi="ar-SA"/>
        </w:rPr>
        <w:t>各类涉农数据平台和数据资源，</w:t>
      </w:r>
      <w:r>
        <w:rPr>
          <w:rFonts w:hint="eastAsia" w:ascii="Times New Roman" w:hAnsi="Times New Roman" w:eastAsia="仿宋_GB2312" w:cs="仿宋_GB2312"/>
          <w:b w:val="0"/>
          <w:smallCaps w:val="0"/>
          <w:kern w:val="2"/>
          <w:sz w:val="32"/>
          <w:szCs w:val="32"/>
          <w:highlight w:val="none"/>
          <w:lang w:val="en-US" w:eastAsia="zh-CN" w:bidi="ar-SA"/>
        </w:rPr>
        <w:t>建立</w:t>
      </w:r>
      <w:r>
        <w:rPr>
          <w:rFonts w:hint="eastAsia" w:ascii="Times New Roman" w:hAnsi="Times New Roman" w:cs="仿宋_GB2312"/>
          <w:b w:val="0"/>
          <w:smallCaps w:val="0"/>
          <w:kern w:val="2"/>
          <w:sz w:val="32"/>
          <w:szCs w:val="32"/>
          <w:highlight w:val="none"/>
          <w:lang w:val="en-US" w:eastAsia="zh-CN" w:bidi="ar-SA"/>
        </w:rPr>
        <w:t>1</w:t>
      </w:r>
      <w:r>
        <w:rPr>
          <w:rFonts w:hint="eastAsia" w:ascii="Times New Roman" w:hAnsi="Times New Roman" w:eastAsia="仿宋_GB2312" w:cs="仿宋_GB2312"/>
          <w:b w:val="0"/>
          <w:bCs w:val="0"/>
          <w:sz w:val="32"/>
          <w:szCs w:val="32"/>
          <w:highlight w:val="none"/>
          <w:lang w:val="en-US" w:eastAsia="zh-CN"/>
        </w:rPr>
        <w:t>个</w:t>
      </w:r>
      <w:r>
        <w:rPr>
          <w:rFonts w:hint="eastAsia" w:ascii="Times New Roman" w:hAnsi="Times New Roman" w:cs="仿宋_GB2312"/>
          <w:b w:val="0"/>
          <w:bCs w:val="0"/>
          <w:sz w:val="32"/>
          <w:szCs w:val="32"/>
          <w:highlight w:val="none"/>
          <w:lang w:val="en-US" w:eastAsia="zh-CN"/>
        </w:rPr>
        <w:t>市</w:t>
      </w:r>
      <w:r>
        <w:rPr>
          <w:rFonts w:hint="eastAsia" w:ascii="Times New Roman" w:hAnsi="Times New Roman" w:eastAsia="仿宋_GB2312" w:cs="仿宋_GB2312"/>
          <w:b w:val="0"/>
          <w:bCs w:val="0"/>
          <w:sz w:val="32"/>
          <w:szCs w:val="32"/>
          <w:highlight w:val="none"/>
          <w:lang w:val="en-US" w:eastAsia="zh-CN"/>
        </w:rPr>
        <w:t>级</w:t>
      </w:r>
      <w:r>
        <w:rPr>
          <w:rFonts w:hint="eastAsia" w:ascii="Times New Roman" w:hAnsi="Times New Roman" w:cs="仿宋_GB2312"/>
          <w:b w:val="0"/>
          <w:bCs w:val="0"/>
          <w:sz w:val="32"/>
          <w:szCs w:val="32"/>
          <w:highlight w:val="none"/>
          <w:lang w:val="en-US" w:eastAsia="zh-CN"/>
        </w:rPr>
        <w:t>大数据综合服务</w:t>
      </w:r>
      <w:r>
        <w:rPr>
          <w:rFonts w:hint="eastAsia" w:ascii="Times New Roman" w:hAnsi="Times New Roman" w:eastAsia="仿宋_GB2312" w:cs="仿宋_GB2312"/>
          <w:b w:val="0"/>
          <w:bCs w:val="0"/>
          <w:sz w:val="32"/>
          <w:szCs w:val="32"/>
          <w:highlight w:val="none"/>
          <w:lang w:val="en-US" w:eastAsia="zh-CN"/>
        </w:rPr>
        <w:t>平台</w:t>
      </w:r>
      <w:r>
        <w:rPr>
          <w:rFonts w:hint="eastAsia" w:ascii="Times New Roman" w:hAnsi="Times New Roman" w:cs="仿宋_GB2312"/>
          <w:b w:val="0"/>
          <w:bCs w:val="0"/>
          <w:sz w:val="32"/>
          <w:szCs w:val="32"/>
          <w:highlight w:val="none"/>
          <w:lang w:val="en-US" w:eastAsia="zh-CN"/>
        </w:rPr>
        <w:t>，以数字赋能，点燃全市农业农村高质量发展新引擎。</w:t>
      </w:r>
    </w:p>
    <w:p>
      <w:pPr>
        <w:keepNext w:val="0"/>
        <w:keepLines w:val="0"/>
        <w:pageBreakBefore w:val="0"/>
        <w:kinsoku/>
        <w:wordWrap/>
        <w:overflowPunct/>
        <w:topLinePunct w:val="0"/>
        <w:autoSpaceDE/>
        <w:autoSpaceDN/>
        <w:bidi w:val="0"/>
        <w:adjustRightInd/>
        <w:snapToGrid/>
        <w:spacing w:line="560" w:lineRule="exact"/>
        <w:textAlignment w:val="auto"/>
        <w:outlineLvl w:val="9"/>
        <w:rPr>
          <w:rFonts w:hint="eastAsia"/>
          <w:highlight w:val="none"/>
          <w:lang w:eastAsia="zh-CN"/>
        </w:rPr>
      </w:pPr>
      <w:bookmarkStart w:id="113" w:name="_Toc13502"/>
      <w:r>
        <w:rPr>
          <w:rFonts w:hint="eastAsia" w:ascii="Times New Roman" w:hAnsi="Times New Roman" w:cs="Times New Roman"/>
          <w:b w:val="0"/>
          <w:smallCaps w:val="0"/>
          <w:kern w:val="2"/>
          <w:sz w:val="32"/>
          <w:szCs w:val="24"/>
          <w:highlight w:val="none"/>
          <w:lang w:val="en-US" w:eastAsia="zh-CN" w:bidi="ar-SA"/>
        </w:rPr>
        <w:t>力争到2025年，全市数字农业建设取得重要进展，</w:t>
      </w:r>
      <w:r>
        <w:rPr>
          <w:rFonts w:hint="eastAsia"/>
        </w:rPr>
        <w:t>潜江大数据</w:t>
      </w:r>
      <w:r>
        <w:rPr>
          <w:rFonts w:hint="eastAsia"/>
          <w:lang w:val="en-US" w:eastAsia="zh-CN"/>
        </w:rPr>
        <w:t>中心</w:t>
      </w:r>
      <w:r>
        <w:rPr>
          <w:rFonts w:hint="eastAsia"/>
        </w:rPr>
        <w:t>全面</w:t>
      </w:r>
      <w:r>
        <w:rPr>
          <w:rFonts w:hint="eastAsia"/>
          <w:lang w:val="en-US" w:eastAsia="zh-CN"/>
        </w:rPr>
        <w:t>升级为</w:t>
      </w:r>
      <w:r>
        <w:rPr>
          <w:rFonts w:hint="eastAsia"/>
        </w:rPr>
        <w:t>湖北省虾稻产业大数据中心</w:t>
      </w:r>
      <w:r>
        <w:rPr>
          <w:rFonts w:hint="eastAsia"/>
          <w:lang w:eastAsia="zh-CN"/>
        </w:rPr>
        <w:t>。</w:t>
      </w:r>
      <w:r>
        <w:rPr>
          <w:rFonts w:hint="eastAsia"/>
        </w:rPr>
        <w:t>全市</w:t>
      </w:r>
      <w:r>
        <w:rPr>
          <w:rFonts w:hint="eastAsia"/>
          <w:lang w:val="en-US" w:eastAsia="zh-CN"/>
        </w:rPr>
        <w:t>农业信息化覆盖率达到90</w:t>
      </w:r>
      <w:r>
        <w:rPr>
          <w:rFonts w:hint="eastAsia"/>
        </w:rPr>
        <w:t>%</w:t>
      </w:r>
      <w:r>
        <w:rPr>
          <w:rFonts w:hint="eastAsia"/>
          <w:lang w:eastAsia="zh-CN"/>
        </w:rPr>
        <w:t>。</w:t>
      </w:r>
      <w:r>
        <w:rPr>
          <w:rFonts w:hint="eastAsia" w:ascii="Times New Roman" w:hAnsi="Times New Roman" w:cs="Times New Roman"/>
          <w:b w:val="0"/>
          <w:smallCaps w:val="0"/>
          <w:kern w:val="2"/>
          <w:sz w:val="32"/>
          <w:szCs w:val="24"/>
          <w:highlight w:val="none"/>
          <w:lang w:val="en-US" w:eastAsia="zh-CN" w:bidi="ar-SA"/>
        </w:rPr>
        <w:t>农业数据采集体系建立健全，天空地一体化观测网络、农业基础数据资源体系、农业云平台基本建成。数字技术与农业产业体系、生产体系、经营体系加快融合，农业生产经营数字化转型取得明显进展，管理服务数字化水平明显提升，农业数字经济比重大幅提升</w:t>
      </w:r>
      <w:r>
        <w:rPr>
          <w:rFonts w:hint="eastAsia" w:cs="Times New Roman"/>
          <w:b w:val="0"/>
          <w:smallCaps w:val="0"/>
          <w:kern w:val="2"/>
          <w:sz w:val="32"/>
          <w:szCs w:val="24"/>
          <w:highlight w:val="none"/>
          <w:lang w:val="en-US" w:eastAsia="zh-CN" w:bidi="ar-SA"/>
        </w:rPr>
        <w:t>，</w:t>
      </w:r>
      <w:r>
        <w:rPr>
          <w:rFonts w:hint="eastAsia" w:ascii="Times New Roman" w:hAnsi="Times New Roman" w:cs="Times New Roman"/>
          <w:b w:val="0"/>
          <w:smallCaps w:val="0"/>
          <w:kern w:val="2"/>
          <w:sz w:val="32"/>
          <w:szCs w:val="24"/>
          <w:highlight w:val="none"/>
          <w:lang w:val="en-US" w:eastAsia="zh-CN" w:bidi="ar-SA"/>
        </w:rPr>
        <w:t>成功</w:t>
      </w:r>
      <w:r>
        <w:rPr>
          <w:rFonts w:hint="eastAsia"/>
          <w:lang w:val="en-US" w:eastAsia="zh-CN"/>
        </w:rPr>
        <w:t>创建</w:t>
      </w:r>
      <w:r>
        <w:rPr>
          <w:rFonts w:hint="eastAsia"/>
          <w:highlight w:val="none"/>
          <w:lang w:eastAsia="zh-CN"/>
        </w:rPr>
        <w:t>国家级数字农业示范区。</w:t>
      </w:r>
      <w:bookmarkEnd w:id="113"/>
      <w:bookmarkStart w:id="114" w:name="_Toc23045"/>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ind w:leftChars="0"/>
        <w:jc w:val="center"/>
        <w:textAlignment w:val="auto"/>
        <w:outlineLvl w:val="1"/>
        <w:rPr>
          <w:rFonts w:hint="default" w:cs="Times New Roman"/>
          <w:highlight w:val="none"/>
          <w:lang w:val="en-US" w:eastAsia="zh-CN"/>
        </w:rPr>
      </w:pPr>
      <w:bookmarkStart w:id="115" w:name="_Toc19375"/>
      <w:r>
        <w:rPr>
          <w:rFonts w:hint="eastAsia" w:ascii="楷体" w:hAnsi="楷体" w:eastAsia="楷体" w:cs="楷体"/>
          <w:b/>
          <w:bCs/>
          <w:smallCaps w:val="0"/>
          <w:sz w:val="32"/>
          <w:szCs w:val="32"/>
          <w:lang w:val="en-US" w:eastAsia="zh-CN"/>
        </w:rPr>
        <w:t xml:space="preserve">第五节 </w:t>
      </w:r>
      <w:r>
        <w:rPr>
          <w:rFonts w:hint="eastAsia" w:eastAsia="楷体" w:cs="Times New Roman"/>
          <w:b/>
          <w:bCs/>
          <w:color w:val="auto"/>
          <w:sz w:val="32"/>
          <w:szCs w:val="40"/>
          <w:highlight w:val="none"/>
          <w:lang w:val="en-US" w:eastAsia="zh-CN"/>
        </w:rPr>
        <w:t>加快推进乡村服务业</w:t>
      </w:r>
      <w:bookmarkEnd w:id="114"/>
      <w:r>
        <w:rPr>
          <w:rFonts w:hint="eastAsia" w:eastAsia="楷体" w:cs="Times New Roman"/>
          <w:b/>
          <w:bCs/>
          <w:color w:val="auto"/>
          <w:sz w:val="32"/>
          <w:szCs w:val="40"/>
          <w:highlight w:val="none"/>
          <w:lang w:val="en-US" w:eastAsia="zh-CN"/>
        </w:rPr>
        <w:t>升级发展</w:t>
      </w:r>
      <w:bookmarkEnd w:id="115"/>
    </w:p>
    <w:p>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outlineLvl w:val="9"/>
        <w:rPr>
          <w:rFonts w:hint="default" w:ascii="楷体" w:hAnsi="楷体" w:eastAsia="楷体" w:cs="楷体"/>
          <w:b/>
          <w:bCs/>
          <w:smallCaps w:val="0"/>
          <w:sz w:val="32"/>
          <w:szCs w:val="32"/>
          <w:lang w:val="en-US" w:eastAsia="zh-CN"/>
        </w:rPr>
      </w:pPr>
      <w:r>
        <w:rPr>
          <w:rFonts w:hint="eastAsia" w:cs="Times New Roman"/>
          <w:highlight w:val="none"/>
          <w:lang w:val="en-US" w:eastAsia="zh-CN"/>
        </w:rPr>
        <w:t>围绕打造江汉平原乡村服务业发展的新高地和样板区，以全市“一区、两带、四组团”</w:t>
      </w:r>
      <w:r>
        <w:rPr>
          <w:rStyle w:val="32"/>
          <w:rFonts w:hint="eastAsia" w:cs="Times New Roman"/>
          <w:highlight w:val="none"/>
          <w:lang w:val="en-US" w:eastAsia="zh-CN"/>
        </w:rPr>
        <w:footnoteReference w:id="5"/>
      </w:r>
      <w:r>
        <w:rPr>
          <w:rFonts w:hint="eastAsia" w:cs="Times New Roman"/>
          <w:highlight w:val="none"/>
          <w:lang w:val="en-US" w:eastAsia="zh-CN"/>
        </w:rPr>
        <w:t>服务业空间布局为指引，聚焦新技术、新产业、新业态和新商业模式，推动生产性服务业向专业化和价值链高端延伸，推动生活性服务业向高品质和多样化升级，不断推进现代服务业与现代农业深度融合发展。</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default" w:eastAsia="楷体" w:cs="Times New Roman"/>
          <w:b/>
          <w:bCs/>
          <w:color w:val="auto"/>
          <w:sz w:val="32"/>
          <w:szCs w:val="40"/>
          <w:highlight w:val="none"/>
          <w:lang w:val="en-US" w:eastAsia="zh-CN"/>
        </w:rPr>
      </w:pPr>
      <w:r>
        <w:rPr>
          <w:rFonts w:hint="eastAsia" w:eastAsia="楷体" w:cs="Times New Roman"/>
          <w:b/>
          <w:bCs/>
          <w:color w:val="auto"/>
          <w:sz w:val="32"/>
          <w:szCs w:val="40"/>
          <w:highlight w:val="none"/>
          <w:lang w:val="en-US" w:eastAsia="zh-CN"/>
        </w:rPr>
        <w:t>一、推动生产性服务业专业化发展</w:t>
      </w:r>
    </w:p>
    <w:p>
      <w:pPr>
        <w:keepNext w:val="0"/>
        <w:keepLines w:val="0"/>
        <w:pageBreakBefore w:val="0"/>
        <w:widowControl w:val="0"/>
        <w:kinsoku/>
        <w:wordWrap/>
        <w:overflowPunct/>
        <w:topLinePunct w:val="0"/>
        <w:autoSpaceDE/>
        <w:autoSpaceDN/>
        <w:bidi w:val="0"/>
        <w:adjustRightInd/>
        <w:snapToGrid/>
        <w:ind w:left="0" w:leftChars="0" w:firstLine="640" w:firstLineChars="200"/>
        <w:jc w:val="both"/>
        <w:textAlignment w:val="auto"/>
        <w:outlineLvl w:val="9"/>
        <w:rPr>
          <w:rFonts w:hint="eastAsia"/>
          <w:lang w:val="en-US" w:eastAsia="zh-CN"/>
        </w:rPr>
      </w:pPr>
      <w:r>
        <w:rPr>
          <w:rFonts w:hint="eastAsia" w:cs="Times New Roman"/>
          <w:highlight w:val="none"/>
          <w:lang w:val="en-US" w:eastAsia="zh-CN"/>
        </w:rPr>
        <w:t>健全小龙虾等重要农产品市场信息采集、分析、发布和服务体系。</w:t>
      </w:r>
      <w:r>
        <w:rPr>
          <w:rFonts w:hint="eastAsia"/>
          <w:lang w:val="en-US" w:eastAsia="zh-CN"/>
        </w:rPr>
        <w:t xml:space="preserve">支持服务组织与育繁推一体化种业企业在良种研发、展示示范、集中育秧（苗）、标准化供种和用种技术指导等环节向农户和生产者提供全程服务。支持服务组织开展种子种苗、畜禽种及水产苗种的保存、运输等物流服务。推广兽药、农药和肥料连锁经营、区域性集中配送等供应模式，方便农户购买。支持服务组织开展深翻、深松、秸秆还田等田间作业服务，集成推广绿色高产高效技术模式。鼓励畜禽水产养殖企业、兽药生产企业、动物诊疗机构和相关科研院所等提供专业化动物疫病防治服务。鼓励通过政府购买服务的方式，支持专业服务组织收集处理病死畜禽。推进农机服务领域从传统粮食作物向特色作物的潜江龙虾、潜江半夏和潜江蔬果产业等生产配套拓展，服务环节从耕种收为主向专业化植保、秸秆处理和产地烘干等农业生产全过程延伸。持续推进“金融下乡”“金融支农”，发展互联网金融。     </w:t>
      </w:r>
    </w:p>
    <w:p>
      <w:pPr>
        <w:keepNext w:val="0"/>
        <w:keepLines w:val="0"/>
        <w:pageBreakBefore w:val="0"/>
        <w:widowControl w:val="0"/>
        <w:kinsoku/>
        <w:wordWrap/>
        <w:overflowPunct/>
        <w:topLinePunct w:val="0"/>
        <w:autoSpaceDE/>
        <w:autoSpaceDN/>
        <w:bidi w:val="0"/>
        <w:adjustRightInd/>
        <w:snapToGrid/>
        <w:ind w:left="0" w:leftChars="0" w:firstLine="640" w:firstLineChars="200"/>
        <w:jc w:val="both"/>
        <w:textAlignment w:val="auto"/>
        <w:outlineLvl w:val="9"/>
        <w:rPr>
          <w:rFonts w:hint="eastAsia" w:ascii="楷体" w:hAnsi="楷体" w:eastAsia="楷体" w:cs="楷体"/>
          <w:b/>
          <w:bCs/>
          <w:smallCaps w:val="0"/>
          <w:sz w:val="32"/>
          <w:szCs w:val="32"/>
          <w:lang w:val="en-US" w:eastAsia="zh-CN"/>
        </w:rPr>
      </w:pPr>
      <w:r>
        <w:rPr>
          <w:rFonts w:hint="eastAsia"/>
          <w:lang w:val="en-US" w:eastAsia="zh-CN"/>
        </w:rPr>
        <w:t>支持农产品加工流通企业和服务组织提供储藏、烘干、清选分级和包装等初加工服务，提高商品化处理能力。加强农产品贮藏保鲜冷链体系建设，着力推进全市三大区域冷链仓储物流中心建设。鼓励农产品批发市场提供农产品预选分级、加工配送、包装仓储、信息服务、标准化交易、电子结算和检验检测等服务。完善农产品物流服务，推进农超对接、农社对接，利用农业展会开展多种形式的产销衔接，拓宽农产品流通渠道。</w:t>
      </w:r>
      <w:r>
        <w:rPr>
          <w:rFonts w:hint="eastAsia" w:cs="Times New Roman"/>
          <w:highlight w:val="none"/>
          <w:lang w:val="en-US" w:eastAsia="zh-CN"/>
        </w:rPr>
        <w:t>到2025年，全市农业生产性服务业产值占农业总产值比重明显提高，服务市场化、专业化、信息化水平显著提升，形成服务结构合理、专业水平较高、服务能力较强、服务行为规范、覆盖全产业链的农业生产性服务业，打造要素集聚、主体多元、机制高效、体系完整的农业农村新业态。</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hint="default" w:eastAsia="楷体" w:cs="Times New Roman"/>
          <w:b/>
          <w:bCs/>
          <w:color w:val="auto"/>
          <w:sz w:val="32"/>
          <w:szCs w:val="40"/>
          <w:highlight w:val="none"/>
          <w:lang w:val="en-US" w:eastAsia="zh-CN"/>
        </w:rPr>
      </w:pPr>
      <w:bookmarkStart w:id="116" w:name="_Toc8350"/>
      <w:r>
        <w:rPr>
          <w:rFonts w:hint="eastAsia" w:eastAsia="楷体" w:cs="Times New Roman"/>
          <w:b/>
          <w:bCs/>
          <w:color w:val="auto"/>
          <w:sz w:val="32"/>
          <w:szCs w:val="40"/>
          <w:highlight w:val="none"/>
          <w:lang w:val="en-US" w:eastAsia="zh-CN"/>
        </w:rPr>
        <w:t>二、推动生活性服务业品质化发展</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cs="Times New Roman"/>
          <w:b w:val="0"/>
          <w:smallCaps w:val="0"/>
          <w:kern w:val="2"/>
          <w:sz w:val="32"/>
          <w:szCs w:val="24"/>
          <w:highlight w:val="none"/>
          <w:lang w:val="en-US" w:eastAsia="zh-CN" w:bidi="ar-SA"/>
        </w:rPr>
      </w:pPr>
      <w:r>
        <w:rPr>
          <w:rFonts w:hint="eastAsia" w:cs="Times New Roman"/>
          <w:b w:val="0"/>
          <w:smallCaps w:val="0"/>
          <w:kern w:val="2"/>
          <w:sz w:val="32"/>
          <w:szCs w:val="24"/>
          <w:highlight w:val="none"/>
          <w:lang w:val="en-US" w:eastAsia="zh-CN" w:bidi="ar-SA"/>
        </w:rPr>
        <w:t>大力发展乡村休闲旅游业，着力推进一批农旅融合示范项目建设，全面融入江汉平原水乡田园乡村旅游片区。推进返湾湖湿地度假区、生态龙虾城四期项目建设；推进楚国盐泉项目、云梦章华项目、兴隆水利风景区项目、潜江田园·小龙虾田园综合体项目、东荆河生态文化休闲带和“潜江印象·非遗小镇”旅游项目等落实落地。重点提升汉江堤岸·潜江时光道、兴隆水杉绿道、G318潜江风情廊道、潜江园林－返湾湖战备公路、小龙虾观光大道和G234文化遗产廊道风景带。坚持乡村旅游与美丽乡村紧密结合。打造浩口非遗小镇、积玉口古城乡村景区、后湖运动小镇等特色小镇；推动高石碑窑岭村、王场杨湖村等特色村落建设；推动楚潜村韵、爱夏农业园、凤林苑和三园生态园等乡村农庄、采摘旅游提质发展；串联乡村旅游景点，推出精品乡村旅游线路，开展乡村旅游节庆活动，扩大乡村旅游美誉度和影响力。推动红色旅游开发，重点开发熊口红军街、渔洋拖船埠村等重点红色旅游资源富集区。</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cs="Times New Roman"/>
          <w:b w:val="0"/>
          <w:smallCaps w:val="0"/>
          <w:kern w:val="2"/>
          <w:sz w:val="32"/>
          <w:szCs w:val="24"/>
          <w:highlight w:val="none"/>
          <w:lang w:val="en-US" w:eastAsia="zh-CN" w:bidi="ar-SA"/>
        </w:rPr>
      </w:pPr>
      <w:r>
        <w:rPr>
          <w:rFonts w:hint="eastAsia" w:cs="Times New Roman"/>
          <w:b w:val="0"/>
          <w:smallCaps w:val="0"/>
          <w:kern w:val="2"/>
          <w:sz w:val="32"/>
          <w:szCs w:val="24"/>
          <w:highlight w:val="none"/>
          <w:lang w:val="en-US" w:eastAsia="zh-CN" w:bidi="ar-SA"/>
        </w:rPr>
        <w:t>统筹推进各区、镇、街道商贸服务业和健康服务业发展。以小城镇建设为抓手，</w:t>
      </w:r>
      <w:r>
        <w:rPr>
          <w:rFonts w:ascii="仿宋_GB2312" w:hAnsi="宋体" w:eastAsia="仿宋_GB2312" w:cs="仿宋_GB2312"/>
          <w:i w:val="0"/>
          <w:iCs w:val="0"/>
          <w:caps w:val="0"/>
          <w:color w:val="00000A"/>
          <w:spacing w:val="0"/>
          <w:sz w:val="32"/>
          <w:szCs w:val="32"/>
          <w:highlight w:val="none"/>
          <w:shd w:val="clear" w:fill="FFFFFF"/>
        </w:rPr>
        <w:t>依托潜江</w:t>
      </w:r>
      <w:r>
        <w:rPr>
          <w:rFonts w:hint="eastAsia" w:ascii="仿宋_GB2312" w:hAnsi="宋体" w:eastAsia="仿宋_GB2312" w:cs="仿宋_GB2312"/>
          <w:i w:val="0"/>
          <w:iCs w:val="0"/>
          <w:caps w:val="0"/>
          <w:color w:val="00000A"/>
          <w:spacing w:val="0"/>
          <w:sz w:val="32"/>
          <w:szCs w:val="32"/>
          <w:highlight w:val="none"/>
          <w:shd w:val="clear" w:fill="FFFFFF"/>
        </w:rPr>
        <w:t>龙虾等美食，建成</w:t>
      </w:r>
      <w:r>
        <w:rPr>
          <w:rFonts w:hint="eastAsia" w:ascii="仿宋_GB2312" w:hAnsi="宋体" w:cs="仿宋_GB2312"/>
          <w:i w:val="0"/>
          <w:iCs w:val="0"/>
          <w:caps w:val="0"/>
          <w:color w:val="00000A"/>
          <w:spacing w:val="0"/>
          <w:sz w:val="32"/>
          <w:szCs w:val="32"/>
          <w:highlight w:val="none"/>
          <w:shd w:val="clear" w:fill="FFFFFF"/>
          <w:lang w:val="en-US" w:eastAsia="zh-CN"/>
        </w:rPr>
        <w:t>一批</w:t>
      </w:r>
      <w:r>
        <w:rPr>
          <w:rFonts w:hint="eastAsia" w:ascii="仿宋_GB2312" w:hAnsi="宋体" w:eastAsia="仿宋_GB2312" w:cs="仿宋_GB2312"/>
          <w:i w:val="0"/>
          <w:iCs w:val="0"/>
          <w:caps w:val="0"/>
          <w:color w:val="00000A"/>
          <w:spacing w:val="0"/>
          <w:sz w:val="32"/>
          <w:szCs w:val="32"/>
          <w:highlight w:val="none"/>
          <w:shd w:val="clear" w:fill="FFFFFF"/>
        </w:rPr>
        <w:t>独具特色的夜市经济街区</w:t>
      </w:r>
      <w:r>
        <w:rPr>
          <w:rFonts w:hint="eastAsia" w:ascii="仿宋_GB2312" w:hAnsi="宋体" w:cs="仿宋_GB2312"/>
          <w:i w:val="0"/>
          <w:iCs w:val="0"/>
          <w:caps w:val="0"/>
          <w:color w:val="00000A"/>
          <w:spacing w:val="0"/>
          <w:sz w:val="32"/>
          <w:szCs w:val="32"/>
          <w:highlight w:val="none"/>
          <w:shd w:val="clear" w:fill="FFFFFF"/>
          <w:lang w:eastAsia="zh-CN"/>
        </w:rPr>
        <w:t>。以</w:t>
      </w:r>
      <w:r>
        <w:rPr>
          <w:rFonts w:hint="eastAsia" w:ascii="仿宋_GB2312" w:hAnsi="宋体" w:cs="仿宋_GB2312"/>
          <w:i w:val="0"/>
          <w:iCs w:val="0"/>
          <w:caps w:val="0"/>
          <w:color w:val="00000A"/>
          <w:spacing w:val="0"/>
          <w:sz w:val="32"/>
          <w:szCs w:val="32"/>
          <w:highlight w:val="none"/>
          <w:shd w:val="clear" w:fill="FFFFFF"/>
          <w:lang w:val="en-US" w:eastAsia="zh-CN"/>
        </w:rPr>
        <w:t>破解乡村人口老龄化</w:t>
      </w:r>
      <w:r>
        <w:rPr>
          <w:rFonts w:hint="eastAsia" w:ascii="仿宋_GB2312" w:hAnsi="宋体" w:cs="仿宋_GB2312"/>
          <w:i w:val="0"/>
          <w:iCs w:val="0"/>
          <w:caps w:val="0"/>
          <w:color w:val="00000A"/>
          <w:spacing w:val="0"/>
          <w:sz w:val="32"/>
          <w:szCs w:val="32"/>
          <w:highlight w:val="none"/>
          <w:shd w:val="clear" w:fill="FFFFFF"/>
          <w:lang w:eastAsia="zh-CN"/>
        </w:rPr>
        <w:t>为出发点和落脚点，推动医养融合化发展、居家社区医疗服务社会化发展、养老机构多元化发展、康养基地品质化发展，培育一批富有</w:t>
      </w:r>
      <w:r>
        <w:rPr>
          <w:rFonts w:hint="eastAsia" w:ascii="仿宋_GB2312" w:hAnsi="宋体" w:cs="仿宋_GB2312"/>
          <w:i w:val="0"/>
          <w:iCs w:val="0"/>
          <w:caps w:val="0"/>
          <w:color w:val="00000A"/>
          <w:spacing w:val="0"/>
          <w:sz w:val="32"/>
          <w:szCs w:val="32"/>
          <w:highlight w:val="none"/>
          <w:shd w:val="clear" w:fill="FFFFFF"/>
          <w:lang w:val="en-US" w:eastAsia="zh-CN"/>
        </w:rPr>
        <w:t>潜江</w:t>
      </w:r>
      <w:r>
        <w:rPr>
          <w:rFonts w:hint="eastAsia" w:ascii="仿宋_GB2312" w:hAnsi="宋体" w:cs="仿宋_GB2312"/>
          <w:i w:val="0"/>
          <w:iCs w:val="0"/>
          <w:caps w:val="0"/>
          <w:color w:val="00000A"/>
          <w:spacing w:val="0"/>
          <w:sz w:val="32"/>
          <w:szCs w:val="32"/>
          <w:highlight w:val="none"/>
          <w:shd w:val="clear" w:fill="FFFFFF"/>
          <w:lang w:eastAsia="zh-CN"/>
        </w:rPr>
        <w:t>特色的健康旅游</w:t>
      </w:r>
      <w:r>
        <w:rPr>
          <w:rFonts w:hint="eastAsia" w:ascii="仿宋_GB2312" w:hAnsi="宋体" w:cs="仿宋_GB2312"/>
          <w:i w:val="0"/>
          <w:iCs w:val="0"/>
          <w:caps w:val="0"/>
          <w:color w:val="00000A"/>
          <w:spacing w:val="0"/>
          <w:sz w:val="32"/>
          <w:szCs w:val="32"/>
          <w:highlight w:val="none"/>
          <w:shd w:val="clear" w:fill="FFFFFF"/>
          <w:lang w:val="en-US" w:eastAsia="zh-CN"/>
        </w:rPr>
        <w:t>村</w:t>
      </w:r>
      <w:r>
        <w:rPr>
          <w:rFonts w:hint="eastAsia" w:ascii="仿宋_GB2312" w:hAnsi="宋体" w:cs="仿宋_GB2312"/>
          <w:i w:val="0"/>
          <w:iCs w:val="0"/>
          <w:caps w:val="0"/>
          <w:color w:val="00000A"/>
          <w:spacing w:val="0"/>
          <w:sz w:val="32"/>
          <w:szCs w:val="32"/>
          <w:highlight w:val="none"/>
          <w:shd w:val="clear" w:fill="FFFFFF"/>
          <w:lang w:eastAsia="zh-CN"/>
        </w:rPr>
        <w:t>镇，建设一批特色鲜明的健康旅游基地和医疗康养服务产业集聚区。重点推进高石碑医养结合型健康服务业集聚区、积玉口生态康养小镇、后湖湿地康养小镇、楚国盐泉康养文旅区</w:t>
      </w:r>
      <w:r>
        <w:rPr>
          <w:rFonts w:hint="eastAsia" w:ascii="仿宋_GB2312" w:hAnsi="宋体" w:cs="仿宋_GB2312"/>
          <w:i w:val="0"/>
          <w:iCs w:val="0"/>
          <w:caps w:val="0"/>
          <w:color w:val="00000A"/>
          <w:spacing w:val="0"/>
          <w:sz w:val="32"/>
          <w:szCs w:val="32"/>
          <w:highlight w:val="none"/>
          <w:shd w:val="clear" w:fill="FFFFFF"/>
          <w:lang w:val="en-US" w:eastAsia="zh-CN"/>
        </w:rPr>
        <w:t>和</w:t>
      </w:r>
      <w:r>
        <w:rPr>
          <w:rFonts w:hint="eastAsia" w:ascii="仿宋_GB2312" w:hAnsi="宋体" w:cs="仿宋_GB2312"/>
          <w:i w:val="0"/>
          <w:iCs w:val="0"/>
          <w:caps w:val="0"/>
          <w:color w:val="00000A"/>
          <w:spacing w:val="0"/>
          <w:sz w:val="32"/>
          <w:szCs w:val="32"/>
          <w:highlight w:val="none"/>
          <w:shd w:val="clear" w:fill="FFFFFF"/>
          <w:lang w:eastAsia="zh-CN"/>
        </w:rPr>
        <w:t>保障性卫生健康养老康复综合示范产业园等项目建设。培育一批有竞争力的企业、个体经营组织和社会服务机构，支持建设一批农村生活服务业发展示范</w:t>
      </w:r>
      <w:r>
        <w:rPr>
          <w:rFonts w:hint="eastAsia" w:ascii="仿宋_GB2312" w:hAnsi="宋体" w:cs="仿宋_GB2312"/>
          <w:i w:val="0"/>
          <w:iCs w:val="0"/>
          <w:caps w:val="0"/>
          <w:color w:val="00000A"/>
          <w:spacing w:val="0"/>
          <w:sz w:val="32"/>
          <w:szCs w:val="32"/>
          <w:highlight w:val="none"/>
          <w:shd w:val="clear" w:fill="FFFFFF"/>
          <w:lang w:val="en-US" w:eastAsia="zh-CN"/>
        </w:rPr>
        <w:t>村镇。</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cs="Times New Roman"/>
          <w:b w:val="0"/>
          <w:smallCaps w:val="0"/>
          <w:kern w:val="2"/>
          <w:sz w:val="32"/>
          <w:szCs w:val="24"/>
          <w:highlight w:val="none"/>
          <w:lang w:val="en-US" w:eastAsia="zh-CN" w:bidi="ar-SA"/>
        </w:rPr>
        <w:t>到2025年，将我市建成江汉平原乡村旅游目的地。通过国家、省、市三级品牌联创，推行“乡村旅游551”</w:t>
      </w:r>
      <w:r>
        <w:rPr>
          <w:rStyle w:val="32"/>
          <w:rFonts w:hint="eastAsia" w:cs="Times New Roman"/>
          <w:b w:val="0"/>
          <w:smallCaps w:val="0"/>
          <w:kern w:val="2"/>
          <w:sz w:val="32"/>
          <w:szCs w:val="24"/>
          <w:highlight w:val="none"/>
          <w:lang w:val="en-US" w:eastAsia="zh-CN" w:bidi="ar-SA"/>
        </w:rPr>
        <w:footnoteReference w:id="6"/>
      </w:r>
      <w:r>
        <w:rPr>
          <w:rFonts w:hint="eastAsia" w:cs="Times New Roman"/>
          <w:b w:val="0"/>
          <w:smallCaps w:val="0"/>
          <w:kern w:val="2"/>
          <w:sz w:val="32"/>
          <w:szCs w:val="24"/>
          <w:highlight w:val="none"/>
          <w:lang w:val="en-US" w:eastAsia="zh-CN" w:bidi="ar-SA"/>
        </w:rPr>
        <w:t>品牌创建计划。建设精品民宿100家，休闲农庄、特色农家餐饮店1000家，创造乡村旅游就业岗位1万个，全市乡村旅游接待游客总量达到500万人次，乡村旅游总收入达到20亿元，实现乡村旅游“百千万亿”美丽经济发展目标。</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ind w:leftChars="0"/>
        <w:jc w:val="center"/>
        <w:textAlignment w:val="auto"/>
        <w:outlineLvl w:val="1"/>
        <w:rPr>
          <w:rFonts w:hint="default" w:ascii="楷体" w:hAnsi="楷体" w:eastAsia="楷体" w:cs="楷体"/>
          <w:b/>
          <w:bCs/>
          <w:smallCaps w:val="0"/>
          <w:sz w:val="32"/>
          <w:szCs w:val="32"/>
          <w:lang w:val="en-US" w:eastAsia="zh-CN"/>
        </w:rPr>
      </w:pPr>
      <w:bookmarkStart w:id="117" w:name="_Toc24092"/>
      <w:r>
        <w:rPr>
          <w:rFonts w:hint="eastAsia" w:ascii="楷体" w:hAnsi="楷体" w:eastAsia="楷体" w:cs="楷体"/>
          <w:b/>
          <w:bCs/>
          <w:smallCaps w:val="0"/>
          <w:sz w:val="32"/>
          <w:szCs w:val="32"/>
          <w:lang w:val="en-US" w:eastAsia="zh-CN"/>
        </w:rPr>
        <w:t>第六节 全面加强农产品质量安全建设</w:t>
      </w:r>
      <w:bookmarkEnd w:id="116"/>
      <w:bookmarkEnd w:id="117"/>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推进农业标准化生产。推进</w:t>
      </w:r>
      <w:r>
        <w:rPr>
          <w:rFonts w:hint="eastAsia"/>
          <w:lang w:val="en-US" w:eastAsia="zh-CN"/>
        </w:rPr>
        <w:t>以</w:t>
      </w:r>
      <w:r>
        <w:rPr>
          <w:rFonts w:hint="eastAsia"/>
        </w:rPr>
        <w:t>“五有一追溯”</w:t>
      </w:r>
      <w:r>
        <w:rPr>
          <w:rStyle w:val="32"/>
          <w:rFonts w:hint="eastAsia"/>
        </w:rPr>
        <w:footnoteReference w:id="7"/>
      </w:r>
      <w:r>
        <w:rPr>
          <w:rFonts w:hint="eastAsia"/>
        </w:rPr>
        <w:t>为重点的全过程标准化管理。围绕优势特色产品</w:t>
      </w:r>
      <w:r>
        <w:rPr>
          <w:rFonts w:hint="eastAsia"/>
          <w:lang w:eastAsia="zh-CN"/>
        </w:rPr>
        <w:t>，</w:t>
      </w:r>
      <w:r>
        <w:rPr>
          <w:rFonts w:hint="eastAsia"/>
        </w:rPr>
        <w:t>建设一批农业标准化生产示范园、畜禽标准化养殖场、水产健康养殖示范场。探索全域推行建制按标生产。全面推行农产品合格证生产制度，实行农产品生产上市合格证贴签制，支持农业龙头企业开展GMP、GAP、HACCP等国际通行的产品质量管理体系认证。加大农资市场监管常态化监管力度，严把农资市场准入关。开展农产品质量安全可追溯信息平台建设，</w:t>
      </w:r>
      <w:r>
        <w:rPr>
          <w:rFonts w:hint="eastAsia"/>
          <w:lang w:val="en-US" w:eastAsia="zh-CN"/>
        </w:rPr>
        <w:t>推进</w:t>
      </w:r>
      <w:r>
        <w:rPr>
          <w:rFonts w:hint="eastAsia"/>
        </w:rPr>
        <w:t>农产品质量安全信用体系建设。</w:t>
      </w: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b/>
          <w:bCs/>
          <w:smallCaps w:val="0"/>
          <w:sz w:val="32"/>
          <w:szCs w:val="32"/>
          <w:highlight w:val="none"/>
          <w:lang w:val="en-US" w:eastAsia="zh-CN"/>
        </w:rPr>
      </w:pPr>
      <w:r>
        <w:rPr>
          <w:rFonts w:hint="eastAsia"/>
          <w:lang w:val="en-US" w:eastAsia="zh-CN"/>
        </w:rPr>
        <w:t>加快整合全市农产品质量安全检测资源。</w:t>
      </w:r>
      <w:r>
        <w:rPr>
          <w:rFonts w:hint="eastAsia"/>
        </w:rPr>
        <w:t>推进市镇</w:t>
      </w:r>
      <w:r>
        <w:rPr>
          <w:rFonts w:hint="eastAsia"/>
          <w:lang w:val="en-US" w:eastAsia="zh-CN"/>
        </w:rPr>
        <w:t>两级</w:t>
      </w:r>
      <w:r>
        <w:rPr>
          <w:rFonts w:hint="eastAsia"/>
        </w:rPr>
        <w:t>农产品质量安全</w:t>
      </w:r>
      <w:r>
        <w:rPr>
          <w:rFonts w:hint="eastAsia"/>
          <w:lang w:val="en-US" w:eastAsia="zh-CN"/>
        </w:rPr>
        <w:t>管理能力</w:t>
      </w:r>
      <w:r>
        <w:rPr>
          <w:rFonts w:hint="eastAsia"/>
        </w:rPr>
        <w:t>建设</w:t>
      </w:r>
      <w:r>
        <w:rPr>
          <w:rFonts w:hint="eastAsia"/>
          <w:lang w:eastAsia="zh-CN"/>
        </w:rPr>
        <w:t>。</w:t>
      </w:r>
      <w:r>
        <w:rPr>
          <w:rFonts w:hint="eastAsia"/>
          <w:lang w:val="en-US" w:eastAsia="zh-CN"/>
        </w:rPr>
        <w:t>推进</w:t>
      </w:r>
      <w:r>
        <w:rPr>
          <w:rFonts w:hint="eastAsia"/>
        </w:rPr>
        <w:t>小龙虾</w:t>
      </w:r>
      <w:r>
        <w:rPr>
          <w:rFonts w:hint="eastAsia"/>
          <w:lang w:val="en-US" w:eastAsia="zh-CN"/>
        </w:rPr>
        <w:t>省级</w:t>
      </w:r>
      <w:r>
        <w:rPr>
          <w:rFonts w:hint="eastAsia"/>
        </w:rPr>
        <w:t>检验检测中心</w:t>
      </w:r>
      <w:r>
        <w:rPr>
          <w:rFonts w:hint="eastAsia"/>
          <w:lang w:val="en-US" w:eastAsia="zh-CN"/>
        </w:rPr>
        <w:t>建设。</w:t>
      </w:r>
      <w:r>
        <w:rPr>
          <w:rFonts w:hint="eastAsia"/>
        </w:rPr>
        <w:t>提高农产品质量安全管理能力，力争全市主要农产品质量安全抽检合格率达到99</w:t>
      </w:r>
      <w:r>
        <w:rPr>
          <w:rFonts w:hint="eastAsia"/>
          <w:lang w:val="en-US" w:eastAsia="zh-CN"/>
        </w:rPr>
        <w:t>.2</w:t>
      </w:r>
      <w:r>
        <w:rPr>
          <w:rFonts w:hint="eastAsia"/>
        </w:rPr>
        <w:t>%，高于全国平均水平</w:t>
      </w:r>
      <w:r>
        <w:rPr>
          <w:rFonts w:hint="eastAsia"/>
          <w:lang w:eastAsia="zh-CN"/>
        </w:rPr>
        <w:t>。</w:t>
      </w:r>
      <w:bookmarkEnd w:id="106"/>
      <w:bookmarkEnd w:id="107"/>
      <w:bookmarkEnd w:id="108"/>
      <w:bookmarkEnd w:id="109"/>
      <w:bookmarkStart w:id="118" w:name="_Toc22812"/>
      <w:bookmarkStart w:id="119" w:name="_Toc1106"/>
      <w:bookmarkStart w:id="120" w:name="_Toc32077"/>
      <w:bookmarkStart w:id="121" w:name="_Toc19624"/>
      <w:bookmarkStart w:id="122" w:name="_Toc12400"/>
      <w:bookmarkStart w:id="123" w:name="_Toc28122"/>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ind w:leftChars="0"/>
        <w:jc w:val="center"/>
        <w:textAlignment w:val="auto"/>
        <w:outlineLvl w:val="1"/>
        <w:rPr>
          <w:rFonts w:hint="default" w:ascii="楷体" w:hAnsi="楷体" w:eastAsia="楷体" w:cs="楷体"/>
          <w:b/>
          <w:bCs/>
          <w:smallCaps w:val="0"/>
          <w:sz w:val="32"/>
          <w:szCs w:val="32"/>
          <w:highlight w:val="none"/>
          <w:lang w:val="en-US" w:eastAsia="zh-CN"/>
        </w:rPr>
      </w:pPr>
      <w:bookmarkStart w:id="124" w:name="_Toc18122"/>
      <w:r>
        <w:rPr>
          <w:rFonts w:hint="eastAsia" w:ascii="楷体" w:hAnsi="楷体" w:eastAsia="楷体" w:cs="楷体"/>
          <w:b/>
          <w:bCs/>
          <w:smallCaps w:val="0"/>
          <w:sz w:val="32"/>
          <w:szCs w:val="32"/>
          <w:highlight w:val="none"/>
          <w:lang w:val="en-US" w:eastAsia="zh-CN"/>
        </w:rPr>
        <w:t>第七节 持续推进</w:t>
      </w:r>
      <w:bookmarkEnd w:id="118"/>
      <w:bookmarkEnd w:id="119"/>
      <w:bookmarkEnd w:id="120"/>
      <w:bookmarkEnd w:id="121"/>
      <w:r>
        <w:rPr>
          <w:rFonts w:hint="eastAsia" w:ascii="楷体" w:hAnsi="楷体" w:eastAsia="楷体" w:cs="楷体"/>
          <w:b/>
          <w:bCs/>
          <w:smallCaps w:val="0"/>
          <w:sz w:val="32"/>
          <w:szCs w:val="32"/>
          <w:highlight w:val="none"/>
          <w:lang w:val="en-US" w:eastAsia="zh-CN"/>
        </w:rPr>
        <w:t>现代农业绿色发展</w:t>
      </w:r>
      <w:bookmarkEnd w:id="122"/>
      <w:bookmarkEnd w:id="123"/>
      <w:bookmarkEnd w:id="124"/>
    </w:p>
    <w:bookmarkEnd w:id="85"/>
    <w:bookmarkEnd w:id="86"/>
    <w:p>
      <w:pPr>
        <w:rPr>
          <w:rFonts w:hint="eastAsia" w:eastAsia="仿宋_GB2312"/>
          <w:highlight w:val="none"/>
          <w:lang w:eastAsia="zh-CN"/>
        </w:rPr>
      </w:pPr>
      <w:r>
        <w:rPr>
          <w:rFonts w:hint="eastAsia"/>
          <w:highlight w:val="none"/>
        </w:rPr>
        <w:t>大力推进农业生产标准化，扩大标准化技术覆盖面和到位率，培育壮大绿色食品和有机食品产业</w:t>
      </w:r>
      <w:r>
        <w:rPr>
          <w:rFonts w:hint="eastAsia"/>
          <w:highlight w:val="none"/>
          <w:lang w:eastAsia="zh-CN"/>
        </w:rPr>
        <w:t>。</w:t>
      </w:r>
      <w:r>
        <w:rPr>
          <w:rFonts w:hint="eastAsia"/>
          <w:highlight w:val="none"/>
          <w:lang w:val="en-US" w:eastAsia="zh-CN"/>
        </w:rPr>
        <w:t>紧扣“一控两减三基本”，</w:t>
      </w:r>
      <w:r>
        <w:rPr>
          <w:rFonts w:hint="eastAsia"/>
          <w:highlight w:val="none"/>
        </w:rPr>
        <w:t>统筹推进农业面源污染治理，持续推进化肥农药减量增效行动，推广生物农药等绿色防控产品和技术。抓好“白色污染”治理，加强畜禽粪污资源化利用和农作物秸秆、农膜、农药肥料包装废弃物回收利用</w:t>
      </w:r>
      <w:r>
        <w:rPr>
          <w:rFonts w:hint="eastAsia"/>
          <w:highlight w:val="none"/>
          <w:lang w:eastAsia="zh-CN"/>
        </w:rPr>
        <w:t>，加强耕地资源保护利用。开展农业绿色发展五大行动，启动市级农业可持续发展试验乡镇创建工作。创新发展循环农业，探索“畜禽养殖－小龙虾养殖－经济作物种植”循环利用模式，创新以虾稻共作为基础的“虾稻+N”生态</w:t>
      </w:r>
      <w:r>
        <w:rPr>
          <w:rFonts w:hint="eastAsia"/>
          <w:highlight w:val="none"/>
          <w:lang w:val="en-US" w:eastAsia="zh-CN"/>
        </w:rPr>
        <w:t>养殖</w:t>
      </w:r>
      <w:r>
        <w:rPr>
          <w:rFonts w:hint="eastAsia"/>
          <w:highlight w:val="none"/>
          <w:lang w:eastAsia="zh-CN"/>
        </w:rPr>
        <w:t>模式，打造一批废弃物资源化生态循环利用典型。加强农用地环境保护，切实抓好农用地分类管理，持续推进受污染耕地安全利用。</w:t>
      </w:r>
    </w:p>
    <w:p>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Times New Roman"/>
          <w:color w:val="auto"/>
          <w:kern w:val="2"/>
          <w:sz w:val="32"/>
          <w:szCs w:val="24"/>
          <w:highlight w:val="none"/>
          <w:lang w:val="en-US" w:eastAsia="zh-CN" w:bidi="ar-SA"/>
        </w:rPr>
      </w:pPr>
      <w:r>
        <w:rPr>
          <w:rFonts w:hint="eastAsia"/>
          <w:highlight w:val="none"/>
        </w:rPr>
        <w:t>按照科学划定的畜禽禁养区、限养区和</w:t>
      </w:r>
      <w:r>
        <w:rPr>
          <w:rFonts w:hint="eastAsia"/>
          <w:highlight w:val="none"/>
          <w:lang w:val="en-US" w:eastAsia="zh-CN"/>
        </w:rPr>
        <w:t>适养</w:t>
      </w:r>
      <w:r>
        <w:rPr>
          <w:rFonts w:hint="eastAsia"/>
          <w:highlight w:val="none"/>
        </w:rPr>
        <w:t>区，全面落实畜禽产业转型升级，重点从转型发展、粪污资源化利用、病死畜禽无害化处理、兽用抗菌药综合治理等方面推进畜牧业绿色发展。以优化渔业生产布局、增强渔业可持续发展能力为目标，通过转</w:t>
      </w:r>
      <w:r>
        <w:rPr>
          <w:rFonts w:hint="eastAsia"/>
          <w:highlight w:val="none"/>
          <w:lang w:val="en-US" w:eastAsia="zh-CN"/>
        </w:rPr>
        <w:t>变</w:t>
      </w:r>
      <w:r>
        <w:rPr>
          <w:rFonts w:hint="eastAsia"/>
          <w:highlight w:val="none"/>
        </w:rPr>
        <w:t>生产方式、调</w:t>
      </w:r>
      <w:r>
        <w:rPr>
          <w:rFonts w:hint="eastAsia"/>
          <w:highlight w:val="none"/>
          <w:lang w:val="en-US" w:eastAsia="zh-CN"/>
        </w:rPr>
        <w:t>整</w:t>
      </w:r>
      <w:r>
        <w:rPr>
          <w:rFonts w:hint="eastAsia"/>
          <w:highlight w:val="none"/>
        </w:rPr>
        <w:t>产业结构、加大科技投入、养护渔业资源、提升渔业综合效益等措施，推进渔业</w:t>
      </w:r>
      <w:r>
        <w:rPr>
          <w:rFonts w:hint="eastAsia"/>
          <w:highlight w:val="none"/>
          <w:lang w:val="en-US" w:eastAsia="zh-CN"/>
        </w:rPr>
        <w:t>绿色、</w:t>
      </w:r>
      <w:r>
        <w:rPr>
          <w:rFonts w:hint="eastAsia"/>
          <w:highlight w:val="none"/>
        </w:rPr>
        <w:t>高质量发展</w:t>
      </w:r>
      <w:r>
        <w:rPr>
          <w:rFonts w:hint="eastAsia"/>
          <w:highlight w:val="none"/>
          <w:lang w:eastAsia="zh-CN"/>
        </w:rPr>
        <w:t>。</w:t>
      </w:r>
      <w:r>
        <w:rPr>
          <w:rFonts w:hint="eastAsia" w:ascii="Times New Roman" w:hAnsi="Times New Roman" w:eastAsia="仿宋_GB2312" w:cs="Times New Roman"/>
          <w:color w:val="auto"/>
          <w:kern w:val="2"/>
          <w:sz w:val="32"/>
          <w:szCs w:val="24"/>
          <w:highlight w:val="none"/>
          <w:lang w:val="en-US" w:eastAsia="zh-CN" w:bidi="ar-SA"/>
        </w:rPr>
        <w:t>到2025年，成功创建国家农业绿色发展先行区</w:t>
      </w:r>
      <w:r>
        <w:rPr>
          <w:rFonts w:hint="eastAsia" w:eastAsia="仿宋_GB2312" w:cs="Times New Roman"/>
          <w:color w:val="auto"/>
          <w:kern w:val="2"/>
          <w:sz w:val="32"/>
          <w:szCs w:val="24"/>
          <w:highlight w:val="none"/>
          <w:lang w:val="en-US" w:eastAsia="zh-CN" w:bidi="ar-SA"/>
        </w:rPr>
        <w:t>，</w:t>
      </w:r>
      <w:r>
        <w:rPr>
          <w:rFonts w:hint="eastAsia" w:ascii="Times New Roman" w:hAnsi="Times New Roman" w:eastAsia="仿宋_GB2312" w:cs="Times New Roman"/>
          <w:color w:val="auto"/>
          <w:kern w:val="2"/>
          <w:sz w:val="32"/>
          <w:szCs w:val="24"/>
          <w:highlight w:val="none"/>
          <w:lang w:val="en-US" w:eastAsia="zh-CN" w:bidi="ar-SA"/>
        </w:rPr>
        <w:t>建立符合</w:t>
      </w:r>
      <w:r>
        <w:rPr>
          <w:rFonts w:hint="eastAsia" w:eastAsia="仿宋_GB2312" w:cs="Times New Roman"/>
          <w:color w:val="auto"/>
          <w:kern w:val="2"/>
          <w:sz w:val="32"/>
          <w:szCs w:val="24"/>
          <w:highlight w:val="none"/>
          <w:lang w:val="en-US" w:eastAsia="zh-CN" w:bidi="ar-SA"/>
        </w:rPr>
        <w:t>潜江</w:t>
      </w:r>
      <w:r>
        <w:rPr>
          <w:rFonts w:hint="eastAsia" w:ascii="Times New Roman" w:hAnsi="Times New Roman" w:eastAsia="仿宋_GB2312" w:cs="Times New Roman"/>
          <w:color w:val="auto"/>
          <w:kern w:val="2"/>
          <w:sz w:val="32"/>
          <w:szCs w:val="24"/>
          <w:highlight w:val="none"/>
          <w:lang w:val="en-US" w:eastAsia="zh-CN" w:bidi="ar-SA"/>
        </w:rPr>
        <w:t>实际的农业绿色发展体制机制，形成可推广、可复制的农业绿色发展经验和做法，为全国资源枯竭型城市农业绿色转型发展打造样板。</w:t>
      </w:r>
    </w:p>
    <w:p>
      <w:pPr>
        <w:spacing w:line="480" w:lineRule="auto"/>
        <w:ind w:firstLine="0" w:firstLineChars="0"/>
        <w:jc w:val="center"/>
        <w:rPr>
          <w:rFonts w:hint="eastAsia" w:eastAsia="黑体" w:cs="Times New Roman"/>
          <w:b/>
          <w:bCs/>
          <w:sz w:val="24"/>
          <w:szCs w:val="21"/>
          <w:highlight w:val="none"/>
          <w:lang w:val="en-US" w:eastAsia="zh-CN"/>
        </w:rPr>
      </w:pPr>
      <w:r>
        <w:rPr>
          <w:rFonts w:hint="eastAsia" w:ascii="Times New Roman" w:hAnsi="Times New Roman" w:eastAsia="黑体" w:cs="Times New Roman"/>
          <w:b/>
          <w:bCs/>
          <w:sz w:val="24"/>
          <w:szCs w:val="21"/>
          <w:highlight w:val="none"/>
          <w:lang w:val="en-US" w:eastAsia="zh-CN"/>
        </w:rPr>
        <w:t>表</w:t>
      </w:r>
      <w:r>
        <w:rPr>
          <w:rFonts w:hint="eastAsia" w:eastAsia="黑体" w:cs="Times New Roman"/>
          <w:b/>
          <w:bCs/>
          <w:sz w:val="24"/>
          <w:szCs w:val="21"/>
          <w:highlight w:val="none"/>
          <w:lang w:val="en-US" w:eastAsia="zh-CN"/>
        </w:rPr>
        <w:t>3</w:t>
      </w:r>
      <w:r>
        <w:rPr>
          <w:rFonts w:hint="eastAsia" w:ascii="Times New Roman" w:hAnsi="Times New Roman" w:eastAsia="黑体" w:cs="Times New Roman"/>
          <w:b/>
          <w:bCs/>
          <w:sz w:val="24"/>
          <w:szCs w:val="21"/>
          <w:highlight w:val="none"/>
          <w:lang w:val="en-US" w:eastAsia="zh-CN"/>
        </w:rPr>
        <w:t>-</w:t>
      </w:r>
      <w:r>
        <w:rPr>
          <w:rFonts w:hint="eastAsia" w:eastAsia="黑体" w:cs="Times New Roman"/>
          <w:b/>
          <w:bCs/>
          <w:sz w:val="24"/>
          <w:szCs w:val="21"/>
          <w:highlight w:val="none"/>
          <w:lang w:val="en-US" w:eastAsia="zh-CN"/>
        </w:rPr>
        <w:t>1</w:t>
      </w:r>
      <w:r>
        <w:rPr>
          <w:rFonts w:hint="eastAsia" w:ascii="Times New Roman" w:hAnsi="Times New Roman" w:eastAsia="黑体" w:cs="Times New Roman"/>
          <w:b/>
          <w:bCs/>
          <w:sz w:val="24"/>
          <w:szCs w:val="21"/>
          <w:highlight w:val="none"/>
          <w:lang w:val="en-US" w:eastAsia="zh-CN"/>
        </w:rPr>
        <w:t xml:space="preserve"> 潜江</w:t>
      </w:r>
      <w:r>
        <w:rPr>
          <w:rFonts w:hint="eastAsia" w:eastAsia="黑体" w:cs="Times New Roman"/>
          <w:b/>
          <w:bCs/>
          <w:sz w:val="24"/>
          <w:szCs w:val="21"/>
          <w:highlight w:val="none"/>
          <w:lang w:val="en-US" w:eastAsia="zh-CN"/>
        </w:rPr>
        <w:t>市</w:t>
      </w:r>
      <w:r>
        <w:rPr>
          <w:rFonts w:hint="eastAsia" w:ascii="Times New Roman" w:hAnsi="Times New Roman" w:eastAsia="黑体" w:cs="Times New Roman"/>
          <w:b/>
          <w:bCs/>
          <w:sz w:val="24"/>
          <w:szCs w:val="21"/>
          <w:highlight w:val="none"/>
          <w:lang w:val="en-US" w:eastAsia="zh-CN"/>
        </w:rPr>
        <w:t>现代农业绿色发展五大行动</w:t>
      </w:r>
    </w:p>
    <w:tbl>
      <w:tblPr>
        <w:tblStyle w:val="24"/>
        <w:tblW w:w="8500" w:type="dxa"/>
        <w:jc w:val="center"/>
        <w:shd w:val="clear" w:color="auto" w:fill="auto"/>
        <w:tblLayout w:type="fixed"/>
        <w:tblCellMar>
          <w:top w:w="0" w:type="dxa"/>
          <w:left w:w="0" w:type="dxa"/>
          <w:bottom w:w="0" w:type="dxa"/>
          <w:right w:w="0" w:type="dxa"/>
        </w:tblCellMar>
      </w:tblPr>
      <w:tblGrid>
        <w:gridCol w:w="880"/>
        <w:gridCol w:w="1932"/>
        <w:gridCol w:w="5688"/>
      </w:tblGrid>
      <w:tr>
        <w:tblPrEx>
          <w:shd w:val="clear" w:color="auto" w:fill="auto"/>
          <w:tblCellMar>
            <w:top w:w="0" w:type="dxa"/>
            <w:left w:w="0" w:type="dxa"/>
            <w:bottom w:w="0" w:type="dxa"/>
            <w:right w:w="0" w:type="dxa"/>
          </w:tblCellMar>
        </w:tblPrEx>
        <w:trPr>
          <w:trHeight w:val="1062" w:hRule="atLeast"/>
          <w:jc w:val="center"/>
        </w:trPr>
        <w:tc>
          <w:tcPr>
            <w:tcW w:w="880" w:type="dxa"/>
            <w:tcBorders>
              <w:top w:val="single" w:color="000000" w:sz="8" w:space="0"/>
              <w:left w:val="single" w:color="000000" w:sz="8"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color w:val="000000"/>
                <w:sz w:val="20"/>
                <w:szCs w:val="20"/>
                <w:u w:val="none"/>
              </w:rPr>
            </w:pPr>
            <w:r>
              <w:rPr>
                <w:rFonts w:hint="eastAsia" w:ascii="宋体" w:hAnsi="宋体" w:eastAsia="宋体" w:cs="宋体"/>
                <w:b/>
                <w:bCs/>
                <w:i w:val="0"/>
                <w:color w:val="000000"/>
                <w:kern w:val="0"/>
                <w:sz w:val="20"/>
                <w:szCs w:val="20"/>
                <w:u w:val="none"/>
                <w:lang w:val="en-US" w:eastAsia="zh-CN" w:bidi="ar"/>
              </w:rPr>
              <w:t>行动一</w:t>
            </w:r>
          </w:p>
        </w:tc>
        <w:tc>
          <w:tcPr>
            <w:tcW w:w="1932" w:type="dxa"/>
            <w:tcBorders>
              <w:top w:val="single" w:color="000000" w:sz="8"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b/>
                <w:bCs/>
                <w:i w:val="0"/>
                <w:color w:val="000000"/>
                <w:kern w:val="0"/>
                <w:sz w:val="20"/>
                <w:szCs w:val="20"/>
                <w:u w:val="none"/>
                <w:lang w:val="en-US" w:eastAsia="zh-CN" w:bidi="ar"/>
              </w:rPr>
              <w:t>农业灌溉节水行动</w:t>
            </w:r>
          </w:p>
        </w:tc>
        <w:tc>
          <w:tcPr>
            <w:tcW w:w="5688" w:type="dxa"/>
            <w:tcBorders>
              <w:top w:val="single" w:color="000000" w:sz="8" w:space="0"/>
              <w:left w:val="single" w:color="000000" w:sz="4" w:space="0"/>
              <w:bottom w:val="single" w:color="000000" w:sz="4" w:space="0"/>
              <w:right w:val="single" w:color="000000" w:sz="8" w:space="0"/>
            </w:tcBorders>
            <w:shd w:val="clear" w:color="auto" w:fill="FFFFFF"/>
            <w:tcMar>
              <w:top w:w="17" w:type="dxa"/>
              <w:left w:w="113" w:type="dxa"/>
              <w:bottom w:w="17" w:type="dxa"/>
              <w:right w:w="1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完善农田灌溉基础设施建设，全面推进农业用水综合改革，推进在蔬菜功能区、林果种植基地、中药材基地开展水肥一体化设施建设，力争五年全覆盖</w:t>
            </w:r>
            <w:r>
              <w:rPr>
                <w:rFonts w:hint="eastAsia" w:eastAsia="宋体" w:cs="Times New Roman"/>
                <w:i w:val="0"/>
                <w:color w:val="000000"/>
                <w:kern w:val="0"/>
                <w:sz w:val="20"/>
                <w:szCs w:val="20"/>
                <w:u w:val="none"/>
                <w:lang w:val="en-US" w:eastAsia="zh-CN" w:bidi="ar"/>
              </w:rPr>
              <w:t>，</w:t>
            </w:r>
            <w:r>
              <w:rPr>
                <w:rFonts w:hint="default" w:ascii="Times New Roman" w:hAnsi="Times New Roman" w:eastAsia="宋体" w:cs="Times New Roman"/>
                <w:i w:val="0"/>
                <w:color w:val="000000"/>
                <w:kern w:val="0"/>
                <w:sz w:val="20"/>
                <w:szCs w:val="20"/>
                <w:u w:val="none"/>
                <w:lang w:val="en-US" w:eastAsia="zh-CN" w:bidi="ar"/>
              </w:rPr>
              <w:t>到2025年，农田灌溉水有效利用系数达到</w:t>
            </w:r>
            <w:r>
              <w:rPr>
                <w:rFonts w:hint="eastAsia" w:eastAsia="宋体" w:cs="Times New Roman"/>
                <w:i w:val="0"/>
                <w:color w:val="000000"/>
                <w:kern w:val="0"/>
                <w:sz w:val="20"/>
                <w:szCs w:val="20"/>
                <w:u w:val="none"/>
                <w:lang w:val="en-US" w:eastAsia="zh-CN" w:bidi="ar"/>
              </w:rPr>
              <w:t>0.52。</w:t>
            </w:r>
          </w:p>
        </w:tc>
      </w:tr>
      <w:tr>
        <w:tblPrEx>
          <w:shd w:val="clear" w:color="auto" w:fill="auto"/>
          <w:tblCellMar>
            <w:top w:w="0" w:type="dxa"/>
            <w:left w:w="0" w:type="dxa"/>
            <w:bottom w:w="0" w:type="dxa"/>
            <w:right w:w="0" w:type="dxa"/>
          </w:tblCellMar>
        </w:tblPrEx>
        <w:trPr>
          <w:trHeight w:val="416" w:hRule="atLeast"/>
          <w:jc w:val="center"/>
        </w:trPr>
        <w:tc>
          <w:tcPr>
            <w:tcW w:w="880" w:type="dxa"/>
            <w:tcBorders>
              <w:top w:val="single" w:color="000000" w:sz="4" w:space="0"/>
              <w:left w:val="single" w:color="000000" w:sz="8"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b/>
                <w:bCs/>
                <w:i w:val="0"/>
                <w:color w:val="000000"/>
                <w:sz w:val="20"/>
                <w:szCs w:val="20"/>
                <w:u w:val="none"/>
              </w:rPr>
            </w:pPr>
            <w:r>
              <w:rPr>
                <w:rFonts w:hint="eastAsia" w:ascii="宋体" w:hAnsi="宋体" w:eastAsia="宋体" w:cs="宋体"/>
                <w:b/>
                <w:bCs/>
                <w:i w:val="0"/>
                <w:color w:val="000000"/>
                <w:kern w:val="0"/>
                <w:sz w:val="20"/>
                <w:szCs w:val="20"/>
                <w:u w:val="none"/>
                <w:lang w:val="en-US" w:eastAsia="zh-CN" w:bidi="ar"/>
              </w:rPr>
              <w:t>行动二</w:t>
            </w:r>
          </w:p>
        </w:tc>
        <w:tc>
          <w:tcPr>
            <w:tcW w:w="1932" w:type="dxa"/>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b/>
                <w:bCs/>
                <w:i w:val="0"/>
                <w:iCs w:val="0"/>
                <w:caps w:val="0"/>
                <w:color w:val="333333"/>
                <w:spacing w:val="0"/>
                <w:kern w:val="0"/>
                <w:sz w:val="20"/>
                <w:szCs w:val="20"/>
                <w:u w:val="none"/>
                <w:shd w:val="clear" w:fill="auto"/>
                <w:lang w:val="en-US" w:eastAsia="zh-CN" w:bidi="ar"/>
              </w:rPr>
            </w:pPr>
            <w:r>
              <w:rPr>
                <w:rFonts w:hint="eastAsia" w:ascii="宋体" w:hAnsi="宋体" w:eastAsia="宋体" w:cs="宋体"/>
                <w:b/>
                <w:bCs/>
                <w:i w:val="0"/>
                <w:iCs w:val="0"/>
                <w:caps w:val="0"/>
                <w:color w:val="333333"/>
                <w:spacing w:val="0"/>
                <w:kern w:val="0"/>
                <w:sz w:val="20"/>
                <w:szCs w:val="20"/>
                <w:u w:val="none"/>
                <w:shd w:val="clear" w:fill="auto"/>
                <w:lang w:bidi="ar"/>
              </w:rPr>
              <w:t>化肥</w:t>
            </w:r>
            <w:r>
              <w:rPr>
                <w:rFonts w:hint="eastAsia" w:ascii="宋体" w:hAnsi="宋体" w:eastAsia="宋体" w:cs="宋体"/>
                <w:b/>
                <w:bCs/>
                <w:i w:val="0"/>
                <w:iCs w:val="0"/>
                <w:caps w:val="0"/>
                <w:color w:val="333333"/>
                <w:spacing w:val="0"/>
                <w:kern w:val="0"/>
                <w:sz w:val="20"/>
                <w:szCs w:val="20"/>
                <w:u w:val="none"/>
                <w:shd w:val="clear" w:fill="auto"/>
                <w:lang w:eastAsia="zh-CN" w:bidi="ar"/>
              </w:rPr>
              <w:t>、</w:t>
            </w:r>
            <w:r>
              <w:rPr>
                <w:rFonts w:hint="eastAsia" w:ascii="宋体" w:hAnsi="宋体" w:eastAsia="宋体" w:cs="宋体"/>
                <w:b/>
                <w:bCs/>
                <w:i w:val="0"/>
                <w:iCs w:val="0"/>
                <w:caps w:val="0"/>
                <w:color w:val="333333"/>
                <w:spacing w:val="0"/>
                <w:kern w:val="0"/>
                <w:sz w:val="20"/>
                <w:szCs w:val="20"/>
                <w:u w:val="none"/>
                <w:shd w:val="clear" w:fill="auto"/>
                <w:lang w:bidi="ar"/>
              </w:rPr>
              <w:t>农药</w:t>
            </w:r>
            <w:r>
              <w:rPr>
                <w:rFonts w:hint="eastAsia" w:ascii="宋体" w:hAnsi="宋体" w:eastAsia="宋体" w:cs="宋体"/>
                <w:b/>
                <w:bCs/>
                <w:i w:val="0"/>
                <w:iCs w:val="0"/>
                <w:caps w:val="0"/>
                <w:color w:val="333333"/>
                <w:spacing w:val="0"/>
                <w:kern w:val="0"/>
                <w:sz w:val="20"/>
                <w:szCs w:val="20"/>
                <w:u w:val="none"/>
                <w:shd w:val="clear" w:fill="auto"/>
                <w:lang w:val="en-US" w:eastAsia="zh-CN" w:bidi="ar"/>
              </w:rPr>
              <w:t>减量</w:t>
            </w:r>
          </w:p>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b/>
                <w:bCs/>
                <w:i w:val="0"/>
                <w:color w:val="000000"/>
                <w:kern w:val="0"/>
                <w:sz w:val="20"/>
                <w:szCs w:val="20"/>
                <w:u w:val="none"/>
                <w:lang w:bidi="ar"/>
              </w:rPr>
            </w:pPr>
            <w:r>
              <w:rPr>
                <w:rFonts w:hint="eastAsia" w:ascii="宋体" w:hAnsi="宋体" w:eastAsia="宋体" w:cs="宋体"/>
                <w:b/>
                <w:bCs/>
                <w:i w:val="0"/>
                <w:iCs w:val="0"/>
                <w:caps w:val="0"/>
                <w:color w:val="333333"/>
                <w:spacing w:val="0"/>
                <w:kern w:val="0"/>
                <w:sz w:val="20"/>
                <w:szCs w:val="20"/>
                <w:u w:val="none"/>
                <w:shd w:val="clear" w:fill="auto"/>
                <w:lang w:val="en-US" w:eastAsia="zh-CN" w:bidi="ar"/>
              </w:rPr>
              <w:t>行动</w:t>
            </w:r>
          </w:p>
        </w:tc>
        <w:tc>
          <w:tcPr>
            <w:tcW w:w="5688" w:type="dxa"/>
            <w:tcBorders>
              <w:top w:val="single" w:color="000000" w:sz="4" w:space="0"/>
              <w:left w:val="single" w:color="000000" w:sz="4" w:space="0"/>
              <w:bottom w:val="single" w:color="000000" w:sz="4" w:space="0"/>
              <w:right w:val="single" w:color="000000" w:sz="8" w:space="0"/>
            </w:tcBorders>
            <w:shd w:val="clear" w:color="auto" w:fill="FFFFFF"/>
            <w:tcMar>
              <w:top w:w="17" w:type="dxa"/>
              <w:left w:w="113" w:type="dxa"/>
              <w:bottom w:w="17" w:type="dxa"/>
              <w:right w:w="1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鼓励使用生物有机肥和生物农药，创新探索供应、托管服务于一体的生产管理模式，集中打造一批生产基地（园区）。到2025年，主要农作物病虫害绿色防控覆盖率达到</w:t>
            </w:r>
            <w:r>
              <w:rPr>
                <w:rFonts w:hint="eastAsia" w:eastAsia="宋体" w:cs="Times New Roman"/>
                <w:i w:val="0"/>
                <w:color w:val="000000"/>
                <w:kern w:val="0"/>
                <w:sz w:val="20"/>
                <w:szCs w:val="20"/>
                <w:u w:val="none"/>
                <w:lang w:val="en-US" w:eastAsia="zh-CN" w:bidi="ar"/>
              </w:rPr>
              <w:t>45.5</w:t>
            </w:r>
            <w:r>
              <w:rPr>
                <w:rFonts w:hint="default" w:ascii="Times New Roman" w:hAnsi="Times New Roman" w:eastAsia="宋体" w:cs="Times New Roman"/>
                <w:i w:val="0"/>
                <w:color w:val="000000"/>
                <w:kern w:val="0"/>
                <w:sz w:val="20"/>
                <w:szCs w:val="20"/>
                <w:u w:val="none"/>
                <w:lang w:val="en-US" w:eastAsia="zh-CN" w:bidi="ar"/>
              </w:rPr>
              <w:t>%，主要农作物测土配方施肥技术推广覆盖率达到</w:t>
            </w:r>
            <w:r>
              <w:rPr>
                <w:rFonts w:hint="eastAsia" w:eastAsia="宋体" w:cs="Times New Roman"/>
                <w:i w:val="0"/>
                <w:color w:val="000000"/>
                <w:kern w:val="0"/>
                <w:sz w:val="20"/>
                <w:szCs w:val="20"/>
                <w:u w:val="none"/>
                <w:lang w:val="en-US" w:eastAsia="zh-CN" w:bidi="ar"/>
              </w:rPr>
              <w:t>97</w:t>
            </w:r>
            <w:r>
              <w:rPr>
                <w:rFonts w:hint="default" w:ascii="Times New Roman" w:hAnsi="Times New Roman" w:eastAsia="宋体" w:cs="Times New Roman"/>
                <w:i w:val="0"/>
                <w:color w:val="000000"/>
                <w:kern w:val="0"/>
                <w:sz w:val="20"/>
                <w:szCs w:val="20"/>
                <w:u w:val="none"/>
                <w:lang w:val="en-US" w:eastAsia="zh-CN" w:bidi="ar"/>
              </w:rPr>
              <w:t>%以上</w:t>
            </w:r>
            <w:r>
              <w:rPr>
                <w:rFonts w:hint="eastAsia" w:eastAsia="宋体" w:cs="Times New Roman"/>
                <w:i w:val="0"/>
                <w:color w:val="000000"/>
                <w:kern w:val="0"/>
                <w:sz w:val="20"/>
                <w:szCs w:val="20"/>
                <w:u w:val="none"/>
                <w:lang w:val="en-US" w:eastAsia="zh-CN" w:bidi="ar"/>
              </w:rPr>
              <w:t>，</w:t>
            </w:r>
            <w:r>
              <w:rPr>
                <w:rFonts w:hint="default" w:ascii="Times New Roman" w:hAnsi="Times New Roman" w:eastAsia="宋体" w:cs="Times New Roman"/>
                <w:i w:val="0"/>
                <w:color w:val="000000"/>
                <w:kern w:val="0"/>
                <w:sz w:val="20"/>
                <w:szCs w:val="20"/>
                <w:u w:val="none"/>
                <w:lang w:val="en-US" w:eastAsia="zh-CN" w:bidi="ar"/>
              </w:rPr>
              <w:t>主要农作物化肥使用量进一步减少，每亩控制用量</w:t>
            </w:r>
            <w:r>
              <w:rPr>
                <w:rFonts w:hint="eastAsia" w:eastAsia="宋体" w:cs="Times New Roman"/>
                <w:i w:val="0"/>
                <w:color w:val="000000"/>
                <w:kern w:val="0"/>
                <w:sz w:val="20"/>
                <w:szCs w:val="20"/>
                <w:u w:val="none"/>
                <w:lang w:val="en-US" w:eastAsia="zh-CN" w:bidi="ar"/>
              </w:rPr>
              <w:t>25</w:t>
            </w:r>
            <w:r>
              <w:rPr>
                <w:rFonts w:hint="default" w:ascii="Times New Roman" w:hAnsi="Times New Roman" w:eastAsia="宋体" w:cs="Times New Roman"/>
                <w:i w:val="0"/>
                <w:color w:val="000000"/>
                <w:kern w:val="0"/>
                <w:sz w:val="20"/>
                <w:szCs w:val="20"/>
                <w:u w:val="none"/>
                <w:lang w:val="en-US" w:eastAsia="zh-CN" w:bidi="ar"/>
              </w:rPr>
              <w:t>公斤，果茶蔬有机肥替代化肥全面覆盖，主要农作物使用低毒低残留农药面积比达到</w:t>
            </w:r>
            <w:r>
              <w:rPr>
                <w:rFonts w:hint="eastAsia" w:eastAsia="宋体" w:cs="Times New Roman"/>
                <w:i w:val="0"/>
                <w:color w:val="000000"/>
                <w:kern w:val="0"/>
                <w:sz w:val="20"/>
                <w:szCs w:val="20"/>
                <w:u w:val="none"/>
                <w:lang w:val="en-US" w:eastAsia="zh-CN" w:bidi="ar"/>
              </w:rPr>
              <w:t>100</w:t>
            </w:r>
            <w:r>
              <w:rPr>
                <w:rFonts w:hint="default" w:ascii="Times New Roman" w:hAnsi="Times New Roman" w:eastAsia="宋体" w:cs="Times New Roman"/>
                <w:i w:val="0"/>
                <w:color w:val="000000"/>
                <w:kern w:val="0"/>
                <w:sz w:val="20"/>
                <w:szCs w:val="20"/>
                <w:u w:val="none"/>
                <w:lang w:val="en-US" w:eastAsia="zh-CN" w:bidi="ar"/>
              </w:rPr>
              <w:t>%。</w:t>
            </w:r>
          </w:p>
        </w:tc>
      </w:tr>
      <w:tr>
        <w:tblPrEx>
          <w:shd w:val="clear" w:color="auto" w:fill="auto"/>
          <w:tblCellMar>
            <w:top w:w="0" w:type="dxa"/>
            <w:left w:w="0" w:type="dxa"/>
            <w:bottom w:w="0" w:type="dxa"/>
            <w:right w:w="0" w:type="dxa"/>
          </w:tblCellMar>
        </w:tblPrEx>
        <w:trPr>
          <w:trHeight w:val="1114" w:hRule="atLeast"/>
          <w:jc w:val="center"/>
        </w:trPr>
        <w:tc>
          <w:tcPr>
            <w:tcW w:w="880" w:type="dxa"/>
            <w:tcBorders>
              <w:top w:val="single" w:color="000000" w:sz="4" w:space="0"/>
              <w:left w:val="single" w:color="000000" w:sz="8"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b/>
                <w:bCs/>
                <w:i w:val="0"/>
                <w:color w:val="000000"/>
                <w:sz w:val="20"/>
                <w:szCs w:val="20"/>
                <w:u w:val="none"/>
              </w:rPr>
            </w:pPr>
            <w:r>
              <w:rPr>
                <w:rFonts w:hint="eastAsia" w:ascii="宋体" w:hAnsi="宋体" w:eastAsia="宋体" w:cs="宋体"/>
                <w:b/>
                <w:bCs/>
                <w:i w:val="0"/>
                <w:color w:val="000000"/>
                <w:kern w:val="0"/>
                <w:sz w:val="20"/>
                <w:szCs w:val="20"/>
                <w:u w:val="none"/>
                <w:lang w:val="en-US" w:eastAsia="zh-CN" w:bidi="ar"/>
              </w:rPr>
              <w:t>行动三</w:t>
            </w:r>
          </w:p>
        </w:tc>
        <w:tc>
          <w:tcPr>
            <w:tcW w:w="1932" w:type="dxa"/>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b/>
                <w:bCs/>
                <w:i w:val="0"/>
                <w:color w:val="000000"/>
                <w:sz w:val="20"/>
                <w:szCs w:val="20"/>
                <w:u w:val="none"/>
              </w:rPr>
            </w:pPr>
            <w:r>
              <w:rPr>
                <w:rFonts w:hint="eastAsia" w:ascii="宋体" w:hAnsi="宋体" w:eastAsia="宋体" w:cs="宋体"/>
                <w:b/>
                <w:bCs/>
                <w:i w:val="0"/>
                <w:color w:val="000000"/>
                <w:kern w:val="0"/>
                <w:sz w:val="20"/>
                <w:szCs w:val="20"/>
                <w:u w:val="none"/>
                <w:lang w:val="en-US" w:eastAsia="zh-CN" w:bidi="ar"/>
              </w:rPr>
              <w:t>秸秆综合利用产业化行动</w:t>
            </w:r>
          </w:p>
        </w:tc>
        <w:tc>
          <w:tcPr>
            <w:tcW w:w="5688" w:type="dxa"/>
            <w:tcBorders>
              <w:top w:val="single" w:color="000000" w:sz="4" w:space="0"/>
              <w:left w:val="single" w:color="000000" w:sz="4" w:space="0"/>
              <w:bottom w:val="single" w:color="000000" w:sz="4" w:space="0"/>
              <w:right w:val="single" w:color="000000" w:sz="8" w:space="0"/>
            </w:tcBorders>
            <w:shd w:val="clear" w:color="auto" w:fill="FFFFFF"/>
            <w:tcMar>
              <w:top w:w="17" w:type="dxa"/>
              <w:left w:w="113" w:type="dxa"/>
              <w:bottom w:w="17" w:type="dxa"/>
              <w:right w:w="1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推进水稻、大豆</w:t>
            </w:r>
            <w:r>
              <w:rPr>
                <w:rFonts w:hint="eastAsia" w:eastAsia="宋体" w:cs="Times New Roman"/>
                <w:i w:val="0"/>
                <w:color w:val="000000"/>
                <w:kern w:val="0"/>
                <w:sz w:val="20"/>
                <w:szCs w:val="20"/>
                <w:u w:val="none"/>
                <w:lang w:val="en-US" w:eastAsia="zh-CN" w:bidi="ar"/>
              </w:rPr>
              <w:t>和小麦</w:t>
            </w:r>
            <w:r>
              <w:rPr>
                <w:rFonts w:hint="default" w:ascii="Times New Roman" w:hAnsi="Times New Roman" w:eastAsia="宋体" w:cs="Times New Roman"/>
                <w:i w:val="0"/>
                <w:color w:val="000000"/>
                <w:kern w:val="0"/>
                <w:sz w:val="20"/>
                <w:szCs w:val="20"/>
                <w:u w:val="none"/>
                <w:lang w:val="en-US" w:eastAsia="zh-CN" w:bidi="ar"/>
              </w:rPr>
              <w:t>原料化利用。力争到2025年，培育秸秆收储运专业化组织达到10个，培育年可利用秸秆10万吨以上龙头企业1家，农作物秸秆综合利用率达到</w:t>
            </w:r>
            <w:r>
              <w:rPr>
                <w:rFonts w:hint="eastAsia" w:eastAsia="宋体" w:cs="Times New Roman"/>
                <w:i w:val="0"/>
                <w:color w:val="000000"/>
                <w:kern w:val="0"/>
                <w:sz w:val="20"/>
                <w:szCs w:val="20"/>
                <w:u w:val="none"/>
                <w:lang w:val="en-US" w:eastAsia="zh-CN" w:bidi="ar"/>
              </w:rPr>
              <w:t>100</w:t>
            </w:r>
            <w:r>
              <w:rPr>
                <w:rFonts w:hint="default" w:ascii="Times New Roman" w:hAnsi="Times New Roman" w:eastAsia="宋体" w:cs="Times New Roman"/>
                <w:i w:val="0"/>
                <w:color w:val="000000"/>
                <w:kern w:val="0"/>
                <w:sz w:val="20"/>
                <w:szCs w:val="20"/>
                <w:u w:val="none"/>
                <w:lang w:val="en-US" w:eastAsia="zh-CN" w:bidi="ar"/>
              </w:rPr>
              <w:t>%。</w:t>
            </w:r>
          </w:p>
        </w:tc>
      </w:tr>
      <w:tr>
        <w:tblPrEx>
          <w:shd w:val="clear" w:color="auto" w:fill="auto"/>
          <w:tblCellMar>
            <w:top w:w="0" w:type="dxa"/>
            <w:left w:w="0" w:type="dxa"/>
            <w:bottom w:w="0" w:type="dxa"/>
            <w:right w:w="0" w:type="dxa"/>
          </w:tblCellMar>
        </w:tblPrEx>
        <w:trPr>
          <w:trHeight w:val="90" w:hRule="atLeast"/>
          <w:jc w:val="center"/>
        </w:trPr>
        <w:tc>
          <w:tcPr>
            <w:tcW w:w="880" w:type="dxa"/>
            <w:tcBorders>
              <w:top w:val="single" w:color="000000" w:sz="4" w:space="0"/>
              <w:left w:val="single" w:color="000000" w:sz="8"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b/>
                <w:bCs/>
                <w:i w:val="0"/>
                <w:color w:val="000000"/>
                <w:sz w:val="20"/>
                <w:szCs w:val="20"/>
                <w:u w:val="none"/>
              </w:rPr>
            </w:pPr>
            <w:r>
              <w:rPr>
                <w:rFonts w:hint="eastAsia" w:ascii="宋体" w:hAnsi="宋体" w:eastAsia="宋体" w:cs="宋体"/>
                <w:b/>
                <w:bCs/>
                <w:i w:val="0"/>
                <w:color w:val="000000"/>
                <w:kern w:val="0"/>
                <w:sz w:val="20"/>
                <w:szCs w:val="20"/>
                <w:u w:val="none"/>
                <w:lang w:val="en-US" w:eastAsia="zh-CN" w:bidi="ar"/>
              </w:rPr>
              <w:t>行动四</w:t>
            </w:r>
          </w:p>
        </w:tc>
        <w:tc>
          <w:tcPr>
            <w:tcW w:w="1932" w:type="dxa"/>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b/>
                <w:bCs/>
                <w:i w:val="0"/>
                <w:color w:val="000000"/>
                <w:sz w:val="20"/>
                <w:szCs w:val="20"/>
                <w:u w:val="none"/>
              </w:rPr>
            </w:pPr>
            <w:r>
              <w:rPr>
                <w:rFonts w:hint="eastAsia" w:ascii="宋体" w:hAnsi="宋体" w:eastAsia="宋体" w:cs="宋体"/>
                <w:b/>
                <w:bCs/>
                <w:i w:val="0"/>
                <w:color w:val="000000"/>
                <w:kern w:val="0"/>
                <w:sz w:val="20"/>
                <w:szCs w:val="20"/>
                <w:u w:val="none"/>
                <w:lang w:val="en-US" w:eastAsia="zh-CN" w:bidi="ar"/>
              </w:rPr>
              <w:t>畜禽粪污资源化利用行动</w:t>
            </w:r>
          </w:p>
        </w:tc>
        <w:tc>
          <w:tcPr>
            <w:tcW w:w="5688" w:type="dxa"/>
            <w:tcBorders>
              <w:top w:val="single" w:color="000000" w:sz="4" w:space="0"/>
              <w:left w:val="single" w:color="000000" w:sz="4" w:space="0"/>
              <w:bottom w:val="single" w:color="000000" w:sz="4" w:space="0"/>
              <w:right w:val="single" w:color="000000" w:sz="8" w:space="0"/>
            </w:tcBorders>
            <w:shd w:val="clear" w:color="auto" w:fill="FFFFFF"/>
            <w:tcMar>
              <w:top w:w="17" w:type="dxa"/>
              <w:left w:w="113" w:type="dxa"/>
              <w:bottom w:w="17" w:type="dxa"/>
              <w:right w:w="1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按照5种畜禽粪污资源化处理模式，支持</w:t>
            </w:r>
            <w:r>
              <w:rPr>
                <w:rFonts w:hint="default" w:ascii="Times New Roman" w:hAnsi="Times New Roman" w:eastAsia="宋体" w:cs="Times New Roman"/>
                <w:color w:val="000000" w:themeColor="text1"/>
                <w:kern w:val="0"/>
                <w:sz w:val="20"/>
                <w:szCs w:val="20"/>
                <w:lang w:bidi="ar"/>
                <w14:textFill>
                  <w14:solidFill>
                    <w14:schemeClr w14:val="tx1"/>
                  </w14:solidFill>
                </w14:textFill>
              </w:rPr>
              <w:t>各区、镇、街道办事处辖区内畜禽养殖场配套</w:t>
            </w:r>
            <w:r>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t>建设</w:t>
            </w:r>
            <w:r>
              <w:rPr>
                <w:rFonts w:hint="default" w:ascii="Times New Roman" w:hAnsi="Times New Roman" w:eastAsia="宋体" w:cs="Times New Roman"/>
                <w:color w:val="000000" w:themeColor="text1"/>
                <w:kern w:val="0"/>
                <w:sz w:val="20"/>
                <w:szCs w:val="20"/>
                <w:lang w:bidi="ar"/>
                <w14:textFill>
                  <w14:solidFill>
                    <w14:schemeClr w14:val="tx1"/>
                  </w14:solidFill>
                </w14:textFill>
              </w:rPr>
              <w:t>粪污处理设施</w:t>
            </w:r>
            <w:r>
              <w:rPr>
                <w:rFonts w:hint="default" w:ascii="Times New Roman" w:hAnsi="Times New Roman" w:eastAsia="宋体" w:cs="Times New Roman"/>
                <w:i w:val="0"/>
                <w:color w:val="000000" w:themeColor="text1"/>
                <w:kern w:val="0"/>
                <w:sz w:val="20"/>
                <w:szCs w:val="20"/>
                <w:u w:val="none"/>
                <w:lang w:val="en-US" w:eastAsia="zh-CN" w:bidi="ar"/>
                <w14:textFill>
                  <w14:solidFill>
                    <w14:schemeClr w14:val="tx1"/>
                  </w14:solidFill>
                </w14:textFill>
              </w:rPr>
              <w:t>。</w:t>
            </w:r>
            <w:r>
              <w:rPr>
                <w:rFonts w:hint="default" w:ascii="Times New Roman" w:hAnsi="Times New Roman" w:eastAsia="宋体" w:cs="Times New Roman"/>
                <w:i w:val="0"/>
                <w:color w:val="000000"/>
                <w:kern w:val="0"/>
                <w:sz w:val="20"/>
                <w:szCs w:val="20"/>
                <w:u w:val="none"/>
                <w:lang w:val="en-US" w:eastAsia="zh-CN" w:bidi="ar"/>
              </w:rPr>
              <w:t>到2025年，畜禽粪污无害化处理和资源化利用率达到95%。</w:t>
            </w:r>
          </w:p>
        </w:tc>
      </w:tr>
      <w:tr>
        <w:tblPrEx>
          <w:tblCellMar>
            <w:top w:w="0" w:type="dxa"/>
            <w:left w:w="0" w:type="dxa"/>
            <w:bottom w:w="0" w:type="dxa"/>
            <w:right w:w="0" w:type="dxa"/>
          </w:tblCellMar>
        </w:tblPrEx>
        <w:trPr>
          <w:trHeight w:val="742" w:hRule="atLeast"/>
          <w:jc w:val="center"/>
        </w:trPr>
        <w:tc>
          <w:tcPr>
            <w:tcW w:w="880" w:type="dxa"/>
            <w:tcBorders>
              <w:top w:val="single" w:color="000000" w:sz="4" w:space="0"/>
              <w:left w:val="single" w:color="000000" w:sz="8"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b/>
                <w:bCs/>
                <w:i w:val="0"/>
                <w:color w:val="000000"/>
                <w:sz w:val="20"/>
                <w:szCs w:val="20"/>
                <w:u w:val="none"/>
              </w:rPr>
            </w:pPr>
            <w:r>
              <w:rPr>
                <w:rFonts w:hint="eastAsia" w:ascii="宋体" w:hAnsi="宋体" w:eastAsia="宋体" w:cs="宋体"/>
                <w:b/>
                <w:bCs/>
                <w:i w:val="0"/>
                <w:color w:val="000000"/>
                <w:kern w:val="0"/>
                <w:sz w:val="20"/>
                <w:szCs w:val="20"/>
                <w:u w:val="none"/>
                <w:lang w:val="en-US" w:eastAsia="zh-CN" w:bidi="ar"/>
              </w:rPr>
              <w:t>行动五</w:t>
            </w:r>
          </w:p>
        </w:tc>
        <w:tc>
          <w:tcPr>
            <w:tcW w:w="1932" w:type="dxa"/>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b/>
                <w:bCs/>
                <w:i w:val="0"/>
                <w:color w:val="000000"/>
                <w:sz w:val="20"/>
                <w:szCs w:val="20"/>
                <w:u w:val="none"/>
              </w:rPr>
            </w:pPr>
            <w:r>
              <w:rPr>
                <w:rFonts w:hint="eastAsia" w:ascii="宋体" w:hAnsi="宋体" w:eastAsia="宋体" w:cs="宋体"/>
                <w:b/>
                <w:bCs/>
                <w:i w:val="0"/>
                <w:color w:val="000000"/>
                <w:kern w:val="0"/>
                <w:sz w:val="20"/>
                <w:szCs w:val="20"/>
                <w:u w:val="none"/>
                <w:lang w:val="en-US" w:eastAsia="zh-CN" w:bidi="ar"/>
              </w:rPr>
              <w:t>废旧农膜回收利用行动</w:t>
            </w:r>
          </w:p>
        </w:tc>
        <w:tc>
          <w:tcPr>
            <w:tcW w:w="5688" w:type="dxa"/>
            <w:tcBorders>
              <w:top w:val="single" w:color="000000" w:sz="4" w:space="0"/>
              <w:left w:val="single" w:color="000000" w:sz="4" w:space="0"/>
              <w:bottom w:val="single" w:color="000000" w:sz="4" w:space="0"/>
              <w:right w:val="single" w:color="000000" w:sz="8" w:space="0"/>
            </w:tcBorders>
            <w:shd w:val="clear" w:color="auto" w:fill="FFFFFF"/>
            <w:tcMar>
              <w:top w:w="17" w:type="dxa"/>
              <w:left w:w="113" w:type="dxa"/>
              <w:bottom w:w="17" w:type="dxa"/>
              <w:right w:w="1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开展农田残膜回收处理和再利用体系建设。大力实施可降解地膜试验示范和推广，到2025年，废旧农膜回收率</w:t>
            </w:r>
            <w:r>
              <w:rPr>
                <w:rFonts w:hint="eastAsia" w:eastAsia="宋体" w:cs="Times New Roman"/>
                <w:i w:val="0"/>
                <w:color w:val="000000"/>
                <w:kern w:val="0"/>
                <w:sz w:val="20"/>
                <w:szCs w:val="20"/>
                <w:u w:val="none"/>
                <w:lang w:val="en-US" w:eastAsia="zh-CN" w:bidi="ar"/>
              </w:rPr>
              <w:t>达到100</w:t>
            </w:r>
            <w:r>
              <w:rPr>
                <w:rFonts w:hint="default" w:ascii="Times New Roman" w:hAnsi="Times New Roman" w:eastAsia="宋体" w:cs="Times New Roman"/>
                <w:i w:val="0"/>
                <w:color w:val="000000"/>
                <w:kern w:val="0"/>
                <w:sz w:val="20"/>
                <w:szCs w:val="20"/>
                <w:u w:val="none"/>
                <w:lang w:val="en-US" w:eastAsia="zh-CN" w:bidi="ar"/>
              </w:rPr>
              <w:t>%。</w:t>
            </w:r>
          </w:p>
        </w:tc>
      </w:tr>
    </w:tbl>
    <w:p>
      <w:pPr>
        <w:pStyle w:val="4"/>
        <w:keepNext/>
        <w:keepLines/>
        <w:pageBreakBefore w:val="0"/>
        <w:widowControl w:val="0"/>
        <w:kinsoku/>
        <w:wordWrap/>
        <w:overflowPunct/>
        <w:topLinePunct w:val="0"/>
        <w:autoSpaceDE/>
        <w:autoSpaceDN/>
        <w:bidi w:val="0"/>
        <w:adjustRightInd/>
        <w:snapToGrid/>
        <w:spacing w:before="0" w:after="220" w:afterLines="50"/>
        <w:ind w:left="0" w:leftChars="0" w:firstLine="0" w:firstLineChars="0"/>
        <w:jc w:val="center"/>
        <w:textAlignment w:val="auto"/>
        <w:rPr>
          <w:rFonts w:hint="eastAsia" w:ascii="Times New Roman" w:hAnsi="Times New Roman" w:cs="Times New Roman"/>
          <w:highlight w:val="none"/>
          <w:lang w:val="en-US" w:eastAsia="zh-CN"/>
        </w:rPr>
      </w:pPr>
      <w:bookmarkStart w:id="125" w:name="_Toc16594"/>
      <w:bookmarkStart w:id="126" w:name="_Toc21989"/>
      <w:r>
        <w:rPr>
          <w:rFonts w:hint="eastAsia" w:ascii="Times New Roman" w:hAnsi="Times New Roman" w:cs="Times New Roman"/>
          <w:highlight w:val="none"/>
          <w:lang w:val="en-US" w:eastAsia="zh-CN"/>
        </w:rPr>
        <w:t>第</w:t>
      </w:r>
      <w:r>
        <w:rPr>
          <w:rFonts w:hint="eastAsia" w:cs="Times New Roman"/>
          <w:highlight w:val="none"/>
          <w:lang w:val="en-US" w:eastAsia="zh-CN"/>
        </w:rPr>
        <w:t>五</w:t>
      </w:r>
      <w:r>
        <w:rPr>
          <w:rFonts w:hint="eastAsia" w:ascii="Times New Roman" w:hAnsi="Times New Roman" w:cs="Times New Roman"/>
          <w:highlight w:val="none"/>
          <w:lang w:val="en-US" w:eastAsia="zh-CN"/>
        </w:rPr>
        <w:t>章 夯实现代农业基础，增强农业持续发展动力</w:t>
      </w:r>
      <w:bookmarkEnd w:id="125"/>
    </w:p>
    <w:p>
      <w:pPr>
        <w:pStyle w:val="21"/>
        <w:keepNext w:val="0"/>
        <w:keepLines w:val="0"/>
        <w:pageBreakBefore w:val="0"/>
        <w:widowControl/>
        <w:tabs>
          <w:tab w:val="right" w:leader="dot" w:pos="8306"/>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smallCaps w:val="0"/>
          <w:kern w:val="2"/>
          <w:sz w:val="32"/>
          <w:szCs w:val="24"/>
          <w:lang w:val="en-US" w:eastAsia="zh-CN" w:bidi="ar-SA"/>
        </w:rPr>
      </w:pPr>
      <w:r>
        <w:rPr>
          <w:rFonts w:hint="eastAsia" w:ascii="Times New Roman" w:hAnsi="Times New Roman" w:cs="Times New Roman"/>
          <w:b w:val="0"/>
          <w:smallCaps w:val="0"/>
          <w:kern w:val="2"/>
          <w:sz w:val="32"/>
          <w:szCs w:val="24"/>
          <w:lang w:val="en-US" w:eastAsia="zh-CN" w:bidi="ar-SA"/>
        </w:rPr>
        <w:t>深入</w:t>
      </w:r>
      <w:r>
        <w:rPr>
          <w:rFonts w:hint="default" w:ascii="Times New Roman" w:hAnsi="Times New Roman" w:eastAsia="仿宋_GB2312" w:cs="Times New Roman"/>
          <w:b w:val="0"/>
          <w:smallCaps w:val="0"/>
          <w:kern w:val="2"/>
          <w:sz w:val="32"/>
          <w:szCs w:val="24"/>
          <w:lang w:val="en-US" w:eastAsia="zh-CN" w:bidi="ar-SA"/>
        </w:rPr>
        <w:t>贯彻实施</w:t>
      </w:r>
      <w:r>
        <w:rPr>
          <w:rFonts w:hint="eastAsia" w:ascii="Times New Roman" w:hAnsi="Times New Roman" w:cs="Times New Roman"/>
          <w:b w:val="0"/>
          <w:smallCaps w:val="0"/>
          <w:kern w:val="2"/>
          <w:sz w:val="32"/>
          <w:szCs w:val="24"/>
          <w:lang w:val="en-US" w:eastAsia="zh-CN" w:bidi="ar-SA"/>
        </w:rPr>
        <w:t>“</w:t>
      </w:r>
      <w:r>
        <w:rPr>
          <w:rFonts w:hint="default" w:ascii="Times New Roman" w:hAnsi="Times New Roman" w:eastAsia="仿宋_GB2312" w:cs="Times New Roman"/>
          <w:b w:val="0"/>
          <w:smallCaps w:val="0"/>
          <w:kern w:val="2"/>
          <w:sz w:val="32"/>
          <w:szCs w:val="24"/>
          <w:lang w:val="en-US" w:eastAsia="zh-CN" w:bidi="ar-SA"/>
        </w:rPr>
        <w:t>藏粮于地、藏粮于技</w:t>
      </w:r>
      <w:r>
        <w:rPr>
          <w:rFonts w:hint="eastAsia" w:ascii="Times New Roman" w:hAnsi="Times New Roman" w:cs="Times New Roman"/>
          <w:b w:val="0"/>
          <w:smallCaps w:val="0"/>
          <w:kern w:val="2"/>
          <w:sz w:val="32"/>
          <w:szCs w:val="24"/>
          <w:lang w:val="en-US" w:eastAsia="zh-CN" w:bidi="ar-SA"/>
        </w:rPr>
        <w:t>”</w:t>
      </w:r>
      <w:r>
        <w:rPr>
          <w:rFonts w:hint="default" w:ascii="Times New Roman" w:hAnsi="Times New Roman" w:eastAsia="仿宋_GB2312" w:cs="Times New Roman"/>
          <w:b w:val="0"/>
          <w:smallCaps w:val="0"/>
          <w:kern w:val="2"/>
          <w:sz w:val="32"/>
          <w:szCs w:val="24"/>
          <w:lang w:val="en-US" w:eastAsia="zh-CN" w:bidi="ar-SA"/>
        </w:rPr>
        <w:t>战略，把建设农田水利基础设施、高标准农田、仓储保鲜冷链物流设施等作为补齐农业基础设施短板</w:t>
      </w:r>
      <w:r>
        <w:rPr>
          <w:rFonts w:hint="eastAsia" w:ascii="Times New Roman" w:hAnsi="Times New Roman" w:cs="Times New Roman"/>
          <w:b w:val="0"/>
          <w:smallCaps w:val="0"/>
          <w:kern w:val="2"/>
          <w:sz w:val="32"/>
          <w:szCs w:val="24"/>
          <w:lang w:val="en-US" w:eastAsia="zh-CN" w:bidi="ar-SA"/>
        </w:rPr>
        <w:t>、</w:t>
      </w:r>
      <w:r>
        <w:rPr>
          <w:rFonts w:hint="default" w:ascii="Times New Roman" w:hAnsi="Times New Roman" w:eastAsia="仿宋_GB2312" w:cs="Times New Roman"/>
          <w:b w:val="0"/>
          <w:smallCaps w:val="0"/>
          <w:kern w:val="2"/>
          <w:sz w:val="32"/>
          <w:szCs w:val="24"/>
          <w:lang w:val="en-US" w:eastAsia="zh-CN" w:bidi="ar-SA"/>
        </w:rPr>
        <w:t>提高农业综合生产能力的重要抓手。强化</w:t>
      </w:r>
      <w:r>
        <w:rPr>
          <w:rFonts w:hint="eastAsia" w:ascii="Times New Roman" w:hAnsi="Times New Roman" w:cs="Times New Roman"/>
          <w:b w:val="0"/>
          <w:smallCaps w:val="0"/>
          <w:kern w:val="2"/>
          <w:sz w:val="32"/>
          <w:szCs w:val="24"/>
          <w:lang w:val="en-US" w:eastAsia="zh-CN" w:bidi="ar-SA"/>
        </w:rPr>
        <w:t>农业平台载体建设，提升</w:t>
      </w:r>
      <w:r>
        <w:rPr>
          <w:rFonts w:hint="default" w:ascii="Times New Roman" w:hAnsi="Times New Roman" w:eastAsia="仿宋_GB2312" w:cs="Times New Roman"/>
          <w:b w:val="0"/>
          <w:smallCaps w:val="0"/>
          <w:kern w:val="2"/>
          <w:sz w:val="32"/>
          <w:szCs w:val="24"/>
          <w:lang w:val="en-US" w:eastAsia="zh-CN" w:bidi="ar-SA"/>
        </w:rPr>
        <w:t>科技支撑</w:t>
      </w:r>
      <w:r>
        <w:rPr>
          <w:rFonts w:hint="eastAsia" w:ascii="Times New Roman" w:hAnsi="Times New Roman" w:cs="Times New Roman"/>
          <w:b w:val="0"/>
          <w:smallCaps w:val="0"/>
          <w:kern w:val="2"/>
          <w:sz w:val="32"/>
          <w:szCs w:val="24"/>
          <w:lang w:val="en-US" w:eastAsia="zh-CN" w:bidi="ar-SA"/>
        </w:rPr>
        <w:t>和</w:t>
      </w:r>
      <w:r>
        <w:rPr>
          <w:rFonts w:hint="default" w:ascii="Times New Roman" w:hAnsi="Times New Roman" w:eastAsia="仿宋_GB2312" w:cs="Times New Roman"/>
          <w:b w:val="0"/>
          <w:smallCaps w:val="0"/>
          <w:kern w:val="2"/>
          <w:sz w:val="32"/>
          <w:szCs w:val="24"/>
          <w:lang w:val="en-US" w:eastAsia="zh-CN" w:bidi="ar-SA"/>
        </w:rPr>
        <w:t>物质装备</w:t>
      </w:r>
      <w:r>
        <w:rPr>
          <w:rFonts w:hint="eastAsia" w:ascii="Times New Roman" w:hAnsi="Times New Roman" w:cs="Times New Roman"/>
          <w:b w:val="0"/>
          <w:smallCaps w:val="0"/>
          <w:kern w:val="2"/>
          <w:sz w:val="32"/>
          <w:szCs w:val="24"/>
          <w:lang w:val="en-US" w:eastAsia="zh-CN" w:bidi="ar-SA"/>
        </w:rPr>
        <w:t>水平</w:t>
      </w:r>
      <w:r>
        <w:rPr>
          <w:rFonts w:hint="default" w:ascii="Times New Roman" w:hAnsi="Times New Roman" w:eastAsia="仿宋_GB2312" w:cs="Times New Roman"/>
          <w:b w:val="0"/>
          <w:smallCaps w:val="0"/>
          <w:kern w:val="2"/>
          <w:sz w:val="32"/>
          <w:szCs w:val="24"/>
          <w:lang w:val="en-US" w:eastAsia="zh-CN" w:bidi="ar-SA"/>
        </w:rPr>
        <w:t>，</w:t>
      </w:r>
      <w:r>
        <w:rPr>
          <w:rFonts w:hint="eastAsia" w:ascii="Times New Roman" w:hAnsi="Times New Roman" w:cs="Times New Roman"/>
          <w:b w:val="0"/>
          <w:smallCaps w:val="0"/>
          <w:kern w:val="2"/>
          <w:sz w:val="32"/>
          <w:szCs w:val="24"/>
          <w:lang w:val="en-US" w:eastAsia="zh-CN" w:bidi="ar-SA"/>
        </w:rPr>
        <w:t>完善</w:t>
      </w:r>
      <w:r>
        <w:rPr>
          <w:rFonts w:hint="default" w:ascii="Times New Roman" w:hAnsi="Times New Roman" w:eastAsia="仿宋_GB2312" w:cs="Times New Roman"/>
          <w:b w:val="0"/>
          <w:smallCaps w:val="0"/>
          <w:kern w:val="2"/>
          <w:sz w:val="32"/>
          <w:szCs w:val="24"/>
          <w:lang w:val="en-US" w:eastAsia="zh-CN" w:bidi="ar-SA"/>
        </w:rPr>
        <w:t>现代农业经营体系</w:t>
      </w:r>
      <w:r>
        <w:rPr>
          <w:rFonts w:hint="eastAsia" w:ascii="Times New Roman" w:hAnsi="Times New Roman" w:cs="Times New Roman"/>
          <w:b w:val="0"/>
          <w:smallCaps w:val="0"/>
          <w:kern w:val="2"/>
          <w:sz w:val="32"/>
          <w:szCs w:val="24"/>
          <w:lang w:val="en-US" w:eastAsia="zh-CN" w:bidi="ar-SA"/>
        </w:rPr>
        <w:t>和市场体系建设</w:t>
      </w:r>
      <w:r>
        <w:rPr>
          <w:rFonts w:hint="default" w:ascii="Times New Roman" w:hAnsi="Times New Roman" w:eastAsia="仿宋_GB2312" w:cs="Times New Roman"/>
          <w:b w:val="0"/>
          <w:smallCaps w:val="0"/>
          <w:kern w:val="2"/>
          <w:sz w:val="32"/>
          <w:szCs w:val="24"/>
          <w:lang w:val="en-US" w:eastAsia="zh-CN" w:bidi="ar-SA"/>
        </w:rPr>
        <w:t>，不断夯实现代农业基础，增强农业持续发展动力。</w:t>
      </w:r>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60" w:lineRule="exact"/>
        <w:ind w:left="0" w:leftChars="0" w:firstLine="0" w:firstLineChars="0"/>
        <w:jc w:val="center"/>
        <w:textAlignment w:val="auto"/>
        <w:outlineLvl w:val="1"/>
        <w:rPr>
          <w:rFonts w:hint="default" w:ascii="楷体" w:hAnsi="楷体" w:eastAsia="楷体" w:cs="楷体"/>
          <w:b/>
          <w:bCs/>
          <w:smallCaps w:val="0"/>
          <w:sz w:val="32"/>
          <w:szCs w:val="32"/>
          <w:lang w:val="en-US" w:eastAsia="zh-CN"/>
        </w:rPr>
      </w:pPr>
      <w:bookmarkStart w:id="127" w:name="_Toc1786"/>
      <w:bookmarkStart w:id="128" w:name="_Toc12589"/>
      <w:bookmarkStart w:id="129" w:name="_Toc15024"/>
      <w:r>
        <w:rPr>
          <w:rFonts w:hint="eastAsia" w:ascii="楷体" w:hAnsi="楷体" w:eastAsia="楷体" w:cs="楷体"/>
          <w:b/>
          <w:bCs/>
          <w:smallCaps w:val="0"/>
          <w:sz w:val="32"/>
          <w:szCs w:val="32"/>
          <w:lang w:val="en-US" w:eastAsia="zh-CN"/>
        </w:rPr>
        <w:t>第一节 完善农业现代化基础设施</w:t>
      </w:r>
      <w:bookmarkEnd w:id="127"/>
      <w:bookmarkEnd w:id="128"/>
      <w:r>
        <w:rPr>
          <w:rFonts w:hint="eastAsia" w:ascii="楷体" w:hAnsi="楷体" w:eastAsia="楷体" w:cs="楷体"/>
          <w:b/>
          <w:bCs/>
          <w:smallCaps w:val="0"/>
          <w:sz w:val="32"/>
          <w:szCs w:val="32"/>
          <w:lang w:val="en-US" w:eastAsia="zh-CN"/>
        </w:rPr>
        <w:t>建设</w:t>
      </w:r>
      <w:bookmarkEnd w:id="129"/>
    </w:p>
    <w:p>
      <w:pPr>
        <w:pStyle w:val="6"/>
        <w:numPr>
          <w:ilvl w:val="0"/>
          <w:numId w:val="0"/>
        </w:numPr>
        <w:ind w:leftChars="200"/>
        <w:rPr>
          <w:rFonts w:hint="eastAsia" w:eastAsia="仿宋_GB2312"/>
          <w:highlight w:val="none"/>
          <w:lang w:eastAsia="zh-CN"/>
        </w:rPr>
      </w:pPr>
      <w:bookmarkStart w:id="130" w:name="_Toc17427"/>
      <w:bookmarkStart w:id="131" w:name="_Toc5163"/>
      <w:r>
        <w:rPr>
          <w:rFonts w:hint="eastAsia" w:ascii="Times New Roman" w:hAnsi="Times New Roman" w:cs="Times New Roman"/>
          <w:highlight w:val="none"/>
          <w:lang w:val="en-US" w:eastAsia="zh-CN"/>
        </w:rPr>
        <w:t>一、加强农田水利基础设施建设</w:t>
      </w:r>
      <w:bookmarkEnd w:id="130"/>
      <w:bookmarkEnd w:id="131"/>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rPr>
        <w:t>全面推进沟渠塘堰综合整治，开展渠道清淤整修和</w:t>
      </w:r>
      <w:r>
        <w:rPr>
          <w:rFonts w:hint="eastAsia"/>
          <w:lang w:val="en-US" w:eastAsia="zh-CN"/>
        </w:rPr>
        <w:t>塘堰</w:t>
      </w:r>
      <w:r>
        <w:rPr>
          <w:rFonts w:hint="eastAsia"/>
        </w:rPr>
        <w:t>除险加固。补齐</w:t>
      </w:r>
      <w:r>
        <w:rPr>
          <w:rFonts w:hint="eastAsia"/>
          <w:lang w:val="en-US" w:eastAsia="zh-CN"/>
        </w:rPr>
        <w:t>农田</w:t>
      </w:r>
      <w:r>
        <w:rPr>
          <w:rFonts w:hint="eastAsia"/>
        </w:rPr>
        <w:t>水利</w:t>
      </w:r>
      <w:r>
        <w:rPr>
          <w:rFonts w:hint="eastAsia"/>
          <w:lang w:val="en-US" w:eastAsia="zh-CN"/>
        </w:rPr>
        <w:t>基础</w:t>
      </w:r>
      <w:r>
        <w:rPr>
          <w:rFonts w:hint="eastAsia"/>
        </w:rPr>
        <w:t>设施</w:t>
      </w:r>
      <w:r>
        <w:rPr>
          <w:rFonts w:hint="eastAsia"/>
          <w:lang w:val="en-US" w:eastAsia="zh-CN"/>
        </w:rPr>
        <w:t>建设</w:t>
      </w:r>
      <w:r>
        <w:rPr>
          <w:rFonts w:hint="eastAsia"/>
        </w:rPr>
        <w:t>短板，</w:t>
      </w:r>
      <w:r>
        <w:rPr>
          <w:rFonts w:hint="eastAsia"/>
          <w:lang w:val="en-US" w:eastAsia="zh-CN"/>
        </w:rPr>
        <w:t>加快灌区骨干工程和末级渠系配套工程建设，稳步推进大中型灌区续建配套与现代化改造。继续实施兴隆灌区和泽口灌区（潜江部分）2个大型灌区续建配套与现代化改造工程，继续推进朱拐中型灌区续建配套与现代化改造，启动张新、干南和借粮湖3个中型灌区续建配套与现代化改造，提高灌区供排水能力。</w:t>
      </w:r>
      <w:r>
        <w:rPr>
          <w:rFonts w:hint="eastAsia"/>
        </w:rPr>
        <w:t>推进高效节水灌溉工程建设，提高水资源利用效率</w:t>
      </w:r>
      <w:r>
        <w:rPr>
          <w:rFonts w:hint="eastAsia"/>
          <w:lang w:eastAsia="zh-CN"/>
        </w:rPr>
        <w:t>，</w:t>
      </w:r>
      <w:r>
        <w:rPr>
          <w:rFonts w:hint="eastAsia"/>
          <w:lang w:val="en-US" w:eastAsia="zh-CN"/>
        </w:rPr>
        <w:t>到</w:t>
      </w:r>
      <w:r>
        <w:rPr>
          <w:rFonts w:hint="eastAsia"/>
        </w:rPr>
        <w:t>2025年，农田灌溉</w:t>
      </w:r>
      <w:r>
        <w:rPr>
          <w:rFonts w:hint="eastAsia"/>
          <w:lang w:val="en-US" w:eastAsia="zh-CN"/>
        </w:rPr>
        <w:t>水</w:t>
      </w:r>
      <w:r>
        <w:rPr>
          <w:rFonts w:hint="eastAsia"/>
        </w:rPr>
        <w:t>有效利用系数达0.</w:t>
      </w:r>
      <w:r>
        <w:rPr>
          <w:rFonts w:hint="eastAsia"/>
          <w:lang w:val="en-US" w:eastAsia="zh-CN"/>
        </w:rPr>
        <w:t>52</w:t>
      </w:r>
      <w:r>
        <w:rPr>
          <w:rFonts w:hint="eastAsia"/>
        </w:rPr>
        <w:t>。</w:t>
      </w:r>
      <w:r>
        <w:rPr>
          <w:rFonts w:hint="eastAsia"/>
          <w:highlight w:val="none"/>
        </w:rPr>
        <w:t>探索小型农田水利</w:t>
      </w:r>
      <w:r>
        <w:rPr>
          <w:rFonts w:hint="eastAsia"/>
          <w:highlight w:val="none"/>
          <w:lang w:val="en-US" w:eastAsia="zh-CN"/>
        </w:rPr>
        <w:t>设施产权制度改革和创新</w:t>
      </w:r>
      <w:r>
        <w:rPr>
          <w:rFonts w:hint="eastAsia"/>
          <w:highlight w:val="none"/>
        </w:rPr>
        <w:t>运行管护</w:t>
      </w:r>
      <w:r>
        <w:rPr>
          <w:rFonts w:hint="eastAsia"/>
          <w:highlight w:val="none"/>
          <w:lang w:val="en-US" w:eastAsia="zh-CN"/>
        </w:rPr>
        <w:t>机制</w:t>
      </w:r>
      <w:r>
        <w:rPr>
          <w:rFonts w:hint="eastAsia"/>
          <w:lang w:eastAsia="zh-CN"/>
        </w:rPr>
        <w:t>，</w:t>
      </w:r>
      <w:r>
        <w:rPr>
          <w:rFonts w:hint="eastAsia"/>
        </w:rPr>
        <w:t>逐步形成以政府投入为引导</w:t>
      </w:r>
      <w:r>
        <w:rPr>
          <w:rFonts w:hint="eastAsia"/>
          <w:lang w:eastAsia="zh-CN"/>
        </w:rPr>
        <w:t>、</w:t>
      </w:r>
      <w:r>
        <w:rPr>
          <w:rFonts w:hint="eastAsia"/>
        </w:rPr>
        <w:t>社会力量广泛参与</w:t>
      </w:r>
      <w:r>
        <w:rPr>
          <w:rFonts w:hint="eastAsia"/>
          <w:lang w:eastAsia="zh-CN"/>
        </w:rPr>
        <w:t>、</w:t>
      </w:r>
      <w:r>
        <w:rPr>
          <w:rFonts w:hint="eastAsia"/>
        </w:rPr>
        <w:t>农民积极投资投劳的多元化机制</w:t>
      </w:r>
      <w:r>
        <w:rPr>
          <w:rFonts w:hint="eastAsia"/>
          <w:lang w:eastAsia="zh-CN"/>
        </w:rPr>
        <w:t>。</w:t>
      </w:r>
      <w:r>
        <w:rPr>
          <w:rFonts w:hint="eastAsia"/>
          <w:lang w:val="en-US" w:eastAsia="zh-CN"/>
        </w:rPr>
        <w:t>以项目建设为总抓手，系统推进</w:t>
      </w:r>
      <w:r>
        <w:rPr>
          <w:rFonts w:hint="eastAsia"/>
        </w:rPr>
        <w:t>农田水利建设与防洪保安、虾</w:t>
      </w:r>
      <w:r>
        <w:rPr>
          <w:rFonts w:hint="eastAsia"/>
          <w:lang w:val="en-US" w:eastAsia="zh-CN"/>
        </w:rPr>
        <w:t>-</w:t>
      </w:r>
      <w:r>
        <w:rPr>
          <w:rFonts w:hint="eastAsia"/>
        </w:rPr>
        <w:t>稻产业发展、美丽乡村建设</w:t>
      </w:r>
      <w:r>
        <w:rPr>
          <w:rFonts w:hint="eastAsia"/>
          <w:lang w:val="en-US" w:eastAsia="zh-CN"/>
        </w:rPr>
        <w:t>和</w:t>
      </w:r>
      <w:r>
        <w:rPr>
          <w:rFonts w:hint="eastAsia"/>
        </w:rPr>
        <w:t>环保督察问题整改等有机结合</w:t>
      </w:r>
      <w:r>
        <w:rPr>
          <w:rFonts w:hint="eastAsia"/>
          <w:lang w:eastAsia="zh-CN"/>
        </w:rPr>
        <w:t>、</w:t>
      </w:r>
      <w:r>
        <w:rPr>
          <w:rFonts w:hint="eastAsia"/>
          <w:lang w:val="en-US" w:eastAsia="zh-CN"/>
        </w:rPr>
        <w:t xml:space="preserve">相互促进、全面发展。 </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200"/>
        <w:textAlignment w:val="auto"/>
        <w:rPr>
          <w:rFonts w:hint="default" w:ascii="Times New Roman" w:hAnsi="Times New Roman" w:cs="Times New Roman"/>
          <w:highlight w:val="none"/>
          <w:lang w:val="en-US" w:eastAsia="zh-CN"/>
        </w:rPr>
      </w:pPr>
      <w:bookmarkStart w:id="132" w:name="_Toc22177"/>
      <w:bookmarkStart w:id="133" w:name="_Toc6543"/>
      <w:r>
        <w:rPr>
          <w:rFonts w:hint="eastAsia" w:ascii="Times New Roman" w:hAnsi="Times New Roman" w:cs="Times New Roman"/>
          <w:highlight w:val="none"/>
          <w:lang w:val="en-US" w:eastAsia="zh-CN"/>
        </w:rPr>
        <w:t>二、</w:t>
      </w:r>
      <w:r>
        <w:rPr>
          <w:rFonts w:hint="default" w:ascii="Times New Roman" w:hAnsi="Times New Roman" w:cs="Times New Roman"/>
          <w:highlight w:val="none"/>
          <w:lang w:val="en-US" w:eastAsia="zh-CN"/>
        </w:rPr>
        <w:t>持续推进高标准农田建设</w:t>
      </w:r>
      <w:bookmarkEnd w:id="132"/>
      <w:bookmarkEnd w:id="133"/>
    </w:p>
    <w:p>
      <w:pPr>
        <w:keepNext w:val="0"/>
        <w:keepLines w:val="0"/>
        <w:pageBreakBefore w:val="0"/>
        <w:widowControl w:val="0"/>
        <w:kinsoku/>
        <w:wordWrap/>
        <w:overflowPunct/>
        <w:topLinePunct w:val="0"/>
        <w:autoSpaceDE/>
        <w:autoSpaceDN/>
        <w:bidi w:val="0"/>
        <w:adjustRightInd/>
        <w:snapToGrid/>
        <w:spacing w:line="620" w:lineRule="exact"/>
        <w:jc w:val="both"/>
        <w:textAlignment w:val="auto"/>
        <w:rPr>
          <w:rFonts w:hint="default" w:eastAsia="仿宋_GB2312"/>
          <w:lang w:val="en-US" w:eastAsia="zh-CN"/>
        </w:rPr>
      </w:pPr>
      <w:r>
        <w:rPr>
          <w:rFonts w:hint="eastAsia"/>
        </w:rPr>
        <w:t>实施高标准农田建设，推进“藏粮于地、藏粮于技”战略落实落地，大力发展适度规模经营。按照粮食生产功能区和重要农产品生产保护区优先的原则，</w:t>
      </w:r>
      <w:r>
        <w:rPr>
          <w:rFonts w:hint="eastAsia"/>
          <w:lang w:val="en-US" w:eastAsia="zh-CN"/>
        </w:rPr>
        <w:t>以</w:t>
      </w:r>
      <w:r>
        <w:rPr>
          <w:rFonts w:hint="eastAsia"/>
        </w:rPr>
        <w:t>“田地平整肥沃、水利设施配套、田间道路畅通、林网建设适宜、科技先进适用</w:t>
      </w:r>
      <w:r>
        <w:rPr>
          <w:rFonts w:hint="eastAsia"/>
          <w:lang w:val="en-US" w:eastAsia="zh-CN"/>
        </w:rPr>
        <w:t>和</w:t>
      </w:r>
      <w:r>
        <w:rPr>
          <w:rFonts w:hint="eastAsia"/>
        </w:rPr>
        <w:t>优质高产高效”</w:t>
      </w:r>
      <w:r>
        <w:rPr>
          <w:rFonts w:hint="eastAsia"/>
          <w:lang w:val="en-US" w:eastAsia="zh-CN"/>
        </w:rPr>
        <w:t>为</w:t>
      </w:r>
      <w:r>
        <w:rPr>
          <w:rFonts w:hint="eastAsia"/>
        </w:rPr>
        <w:t>标准，按流域和水系整片推进高标准农田建设</w:t>
      </w:r>
      <w:r>
        <w:rPr>
          <w:rFonts w:hint="eastAsia"/>
          <w:lang w:eastAsia="zh-CN"/>
        </w:rPr>
        <w:t>。</w:t>
      </w:r>
      <w:r>
        <w:rPr>
          <w:rFonts w:hint="eastAsia"/>
        </w:rPr>
        <w:t>重点开展田块整治、土壤改良、灌排设施配套、田间道路和配套电网林网建设，强化后续管护，落实建管主体责任。按照“谁使用、谁管护”“谁受益、谁负责”的原则，积极探索高标准农田建后管护精简高效办法，完善建后管护机制</w:t>
      </w:r>
      <w:r>
        <w:rPr>
          <w:rFonts w:hint="eastAsia"/>
          <w:lang w:eastAsia="zh-CN"/>
        </w:rPr>
        <w:t>。</w:t>
      </w:r>
      <w:r>
        <w:rPr>
          <w:rFonts w:hint="eastAsia"/>
        </w:rPr>
        <w:t>严禁撂荒、弃种、非农化、非粮化等现象。</w:t>
      </w:r>
      <w:r>
        <w:rPr>
          <w:rFonts w:hint="eastAsia"/>
          <w:lang w:val="en-US" w:eastAsia="zh-CN"/>
        </w:rPr>
        <w:t>持续推进农业水价综合改革，促进农业节水和农业可持续发展。</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rPr>
          <w:rFonts w:hint="eastAsia" w:ascii="Times New Roman" w:hAnsi="Times New Roman" w:cs="Times New Roman"/>
          <w:highlight w:val="none"/>
          <w:lang w:val="en-US" w:eastAsia="zh-CN"/>
        </w:rPr>
      </w:pPr>
      <w:r>
        <w:rPr>
          <w:rFonts w:hint="eastAsia"/>
        </w:rPr>
        <w:t>“十四五”期间，统筹中央财政、地方配套、社会资本等多渠道资金8亿元，建设高标准农田</w:t>
      </w:r>
      <w:r>
        <w:rPr>
          <w:rFonts w:hint="eastAsia"/>
          <w:lang w:val="en-US" w:eastAsia="zh-CN"/>
        </w:rPr>
        <w:t>40</w:t>
      </w:r>
      <w:r>
        <w:rPr>
          <w:rFonts w:hint="eastAsia"/>
        </w:rPr>
        <w:t>万亩，2021-2022年在张金</w:t>
      </w:r>
      <w:r>
        <w:rPr>
          <w:rFonts w:hint="eastAsia"/>
          <w:lang w:val="en-US" w:eastAsia="zh-CN"/>
        </w:rPr>
        <w:t>镇</w:t>
      </w:r>
      <w:r>
        <w:rPr>
          <w:rFonts w:hint="eastAsia"/>
        </w:rPr>
        <w:t>、杨市</w:t>
      </w:r>
      <w:r>
        <w:rPr>
          <w:rFonts w:hint="eastAsia"/>
          <w:lang w:val="en-US" w:eastAsia="zh-CN"/>
        </w:rPr>
        <w:t>街道</w:t>
      </w:r>
      <w:r>
        <w:rPr>
          <w:rFonts w:hint="eastAsia"/>
        </w:rPr>
        <w:t>、浩口</w:t>
      </w:r>
      <w:r>
        <w:rPr>
          <w:rFonts w:hint="eastAsia"/>
          <w:lang w:val="en-US" w:eastAsia="zh-CN"/>
        </w:rPr>
        <w:t>镇</w:t>
      </w:r>
      <w:r>
        <w:rPr>
          <w:rFonts w:hint="eastAsia"/>
        </w:rPr>
        <w:t>、渔洋</w:t>
      </w:r>
      <w:r>
        <w:rPr>
          <w:rFonts w:hint="eastAsia"/>
          <w:lang w:val="en-US" w:eastAsia="zh-CN"/>
        </w:rPr>
        <w:t>镇</w:t>
      </w:r>
      <w:r>
        <w:rPr>
          <w:rFonts w:hint="eastAsia"/>
        </w:rPr>
        <w:t>、老新</w:t>
      </w:r>
      <w:r>
        <w:rPr>
          <w:rFonts w:hint="eastAsia"/>
          <w:lang w:val="en-US" w:eastAsia="zh-CN"/>
        </w:rPr>
        <w:t>镇</w:t>
      </w:r>
      <w:r>
        <w:rPr>
          <w:rFonts w:hint="eastAsia"/>
        </w:rPr>
        <w:t>、熊口</w:t>
      </w:r>
      <w:r>
        <w:rPr>
          <w:rFonts w:hint="eastAsia"/>
          <w:lang w:val="en-US" w:eastAsia="zh-CN"/>
        </w:rPr>
        <w:t>镇</w:t>
      </w:r>
      <w:r>
        <w:rPr>
          <w:rFonts w:hint="eastAsia"/>
        </w:rPr>
        <w:t>、高石碑</w:t>
      </w:r>
      <w:r>
        <w:rPr>
          <w:rFonts w:hint="eastAsia"/>
          <w:lang w:val="en-US" w:eastAsia="zh-CN"/>
        </w:rPr>
        <w:t>镇和</w:t>
      </w:r>
      <w:r>
        <w:rPr>
          <w:rFonts w:hint="eastAsia"/>
        </w:rPr>
        <w:t>竹根滩</w:t>
      </w:r>
      <w:r>
        <w:rPr>
          <w:rFonts w:hint="eastAsia"/>
          <w:lang w:val="en-US" w:eastAsia="zh-CN"/>
        </w:rPr>
        <w:t>镇</w:t>
      </w:r>
      <w:r>
        <w:rPr>
          <w:rFonts w:hint="eastAsia"/>
        </w:rPr>
        <w:t>等</w:t>
      </w:r>
      <w:r>
        <w:rPr>
          <w:rFonts w:hint="eastAsia"/>
          <w:lang w:eastAsia="zh-CN"/>
        </w:rPr>
        <w:t>地</w:t>
      </w:r>
      <w:r>
        <w:rPr>
          <w:rFonts w:hint="eastAsia"/>
        </w:rPr>
        <w:t>新建高标准农田18万亩</w:t>
      </w:r>
      <w:r>
        <w:rPr>
          <w:rFonts w:hint="eastAsia"/>
          <w:lang w:eastAsia="zh-CN"/>
        </w:rPr>
        <w:t>；</w:t>
      </w:r>
      <w:r>
        <w:rPr>
          <w:rFonts w:hint="eastAsia"/>
        </w:rPr>
        <w:t>2023-2025年在王场</w:t>
      </w:r>
      <w:r>
        <w:rPr>
          <w:rFonts w:hint="eastAsia"/>
          <w:lang w:val="en-US" w:eastAsia="zh-CN"/>
        </w:rPr>
        <w:t>镇</w:t>
      </w:r>
      <w:r>
        <w:rPr>
          <w:rFonts w:hint="eastAsia"/>
        </w:rPr>
        <w:t>、龙湾</w:t>
      </w:r>
      <w:r>
        <w:rPr>
          <w:rFonts w:hint="eastAsia"/>
          <w:lang w:val="en-US" w:eastAsia="zh-CN"/>
        </w:rPr>
        <w:t>镇和</w:t>
      </w:r>
      <w:r>
        <w:rPr>
          <w:rFonts w:hint="eastAsia"/>
        </w:rPr>
        <w:t>竹根滩</w:t>
      </w:r>
      <w:r>
        <w:rPr>
          <w:rFonts w:hint="eastAsia"/>
          <w:lang w:val="en-US" w:eastAsia="zh-CN"/>
        </w:rPr>
        <w:t>镇</w:t>
      </w:r>
      <w:r>
        <w:rPr>
          <w:rFonts w:hint="eastAsia"/>
        </w:rPr>
        <w:t>等</w:t>
      </w:r>
      <w:r>
        <w:rPr>
          <w:rFonts w:hint="eastAsia"/>
          <w:lang w:eastAsia="zh-CN"/>
        </w:rPr>
        <w:t>地</w:t>
      </w:r>
      <w:r>
        <w:rPr>
          <w:rFonts w:hint="eastAsia"/>
        </w:rPr>
        <w:t>提质改造高标准农田22万亩。</w:t>
      </w:r>
      <w:r>
        <w:rPr>
          <w:rFonts w:hint="eastAsia"/>
          <w:highlight w:val="none"/>
          <w:lang w:val="en-US" w:eastAsia="zh-CN"/>
        </w:rPr>
        <w:t>高标准农田建成区土壤有机质含量和灌溉水利用效率明显提高；田间道路100%直接通达田块；受防护的农田面积达到80%，防洪标准达到10～20年一遇；有线宽带、5G通讯等信息基础设施更加完善；</w:t>
      </w:r>
      <w:r>
        <w:rPr>
          <w:rFonts w:hint="eastAsia" w:ascii="Times New Roman" w:hAnsi="Times New Roman" w:cs="Times New Roman"/>
          <w:highlight w:val="none"/>
          <w:lang w:val="en-US" w:eastAsia="zh-CN"/>
        </w:rPr>
        <w:t>亩均粮食综合生产能力提高</w:t>
      </w:r>
      <w:r>
        <w:rPr>
          <w:rFonts w:hint="eastAsia" w:cs="Times New Roman"/>
          <w:highlight w:val="none"/>
          <w:lang w:val="en-US" w:eastAsia="zh-CN"/>
        </w:rPr>
        <w:t>80-</w:t>
      </w:r>
      <w:r>
        <w:rPr>
          <w:rFonts w:hint="eastAsia" w:ascii="Times New Roman" w:hAnsi="Times New Roman" w:cs="Times New Roman"/>
          <w:highlight w:val="none"/>
          <w:lang w:val="en-US" w:eastAsia="zh-CN"/>
        </w:rPr>
        <w:t>100公斤</w:t>
      </w:r>
      <w:r>
        <w:rPr>
          <w:rFonts w:hint="eastAsia" w:cs="Times New Roman"/>
          <w:highlight w:val="none"/>
          <w:lang w:val="en-US" w:eastAsia="zh-CN"/>
        </w:rPr>
        <w:t>；亩均年均增收节支500元。</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200"/>
        <w:textAlignment w:val="auto"/>
        <w:rPr>
          <w:rFonts w:hint="default" w:ascii="Times New Roman" w:hAnsi="Times New Roman" w:cs="Times New Roman"/>
          <w:highlight w:val="yellow"/>
          <w:lang w:val="en-US" w:eastAsia="zh-CN"/>
        </w:rPr>
      </w:pPr>
      <w:r>
        <w:rPr>
          <w:rFonts w:hint="eastAsia" w:ascii="Times New Roman" w:hAnsi="Times New Roman" w:cs="Times New Roman"/>
          <w:highlight w:val="none"/>
          <w:lang w:val="en-US" w:eastAsia="zh-CN"/>
        </w:rPr>
        <w:t>三、强化农业防灾减灾能力建设</w:t>
      </w:r>
    </w:p>
    <w:p>
      <w:pPr>
        <w:jc w:val="both"/>
        <w:rPr>
          <w:rFonts w:hint="default" w:eastAsia="仿宋_GB2312"/>
          <w:lang w:val="en-US" w:eastAsia="zh-CN"/>
        </w:rPr>
      </w:pPr>
      <w:r>
        <w:rPr>
          <w:rFonts w:hint="eastAsia" w:ascii="Times New Roman" w:hAnsi="Times New Roman" w:cs="Times New Roman"/>
          <w:lang w:val="en-US" w:eastAsia="zh-CN"/>
        </w:rPr>
        <w:t>围绕</w:t>
      </w:r>
      <w:r>
        <w:rPr>
          <w:rFonts w:hint="eastAsia" w:cs="Times New Roman"/>
          <w:lang w:val="en-US" w:eastAsia="zh-CN"/>
        </w:rPr>
        <w:t>潜江</w:t>
      </w:r>
      <w:r>
        <w:rPr>
          <w:rFonts w:hint="eastAsia" w:ascii="Times New Roman" w:hAnsi="Times New Roman" w:cs="Times New Roman"/>
          <w:lang w:val="en-US" w:eastAsia="zh-CN"/>
        </w:rPr>
        <w:t>虾稻</w:t>
      </w:r>
      <w:r>
        <w:rPr>
          <w:rFonts w:hint="eastAsia" w:cs="Times New Roman"/>
          <w:lang w:val="en-US" w:eastAsia="zh-CN"/>
        </w:rPr>
        <w:t>、</w:t>
      </w:r>
      <w:r>
        <w:rPr>
          <w:rFonts w:hint="eastAsia" w:ascii="Times New Roman" w:hAnsi="Times New Roman" w:cs="Times New Roman"/>
          <w:lang w:val="en-US" w:eastAsia="zh-CN"/>
        </w:rPr>
        <w:t>潜</w:t>
      </w:r>
      <w:r>
        <w:rPr>
          <w:rFonts w:hint="eastAsia" w:cs="Times New Roman"/>
          <w:lang w:val="en-US" w:eastAsia="zh-CN"/>
        </w:rPr>
        <w:t>江</w:t>
      </w:r>
      <w:r>
        <w:rPr>
          <w:rFonts w:hint="eastAsia" w:ascii="Times New Roman" w:hAnsi="Times New Roman" w:cs="Times New Roman"/>
          <w:lang w:val="en-US" w:eastAsia="zh-CN"/>
        </w:rPr>
        <w:t>半夏</w:t>
      </w:r>
      <w:r>
        <w:rPr>
          <w:rFonts w:hint="eastAsia" w:cs="Times New Roman"/>
          <w:lang w:val="en-US" w:eastAsia="zh-CN"/>
        </w:rPr>
        <w:t>和潜江大豆</w:t>
      </w:r>
      <w:r>
        <w:rPr>
          <w:rFonts w:hint="eastAsia" w:ascii="Times New Roman" w:hAnsi="Times New Roman" w:cs="Times New Roman"/>
          <w:lang w:val="en-US" w:eastAsia="zh-CN"/>
        </w:rPr>
        <w:t>等</w:t>
      </w:r>
      <w:r>
        <w:rPr>
          <w:rFonts w:hint="eastAsia" w:cs="Times New Roman"/>
          <w:lang w:val="en-US" w:eastAsia="zh-CN"/>
        </w:rPr>
        <w:t>主导</w:t>
      </w:r>
      <w:r>
        <w:rPr>
          <w:rFonts w:hint="eastAsia" w:ascii="Times New Roman" w:hAnsi="Times New Roman" w:cs="Times New Roman"/>
          <w:lang w:val="en-US" w:eastAsia="zh-CN"/>
        </w:rPr>
        <w:t>产业，</w:t>
      </w:r>
      <w:r>
        <w:rPr>
          <w:rFonts w:hint="eastAsia" w:cs="Times New Roman"/>
          <w:lang w:val="en-US" w:eastAsia="zh-CN"/>
        </w:rPr>
        <w:t>强化人工影响天气能力建设，适时组织人工影响天气作业，</w:t>
      </w:r>
      <w:r>
        <w:rPr>
          <w:rFonts w:hint="eastAsia" w:ascii="仿宋_GB2312" w:hAnsi="仿宋_GB2312" w:cs="仿宋_GB2312"/>
          <w:color w:val="auto"/>
          <w:szCs w:val="32"/>
        </w:rPr>
        <w:t>提高现代气象为农服务水平。</w:t>
      </w:r>
      <w:r>
        <w:rPr>
          <w:rFonts w:hint="eastAsia" w:ascii="Times New Roman" w:hAnsi="Times New Roman" w:cs="Times New Roman"/>
          <w:lang w:val="en-US" w:eastAsia="zh-CN"/>
        </w:rPr>
        <w:t>提升</w:t>
      </w:r>
      <w:r>
        <w:rPr>
          <w:rFonts w:hint="eastAsia"/>
        </w:rPr>
        <w:t>防灾减灾救灾公共设施建设投入，在“三区”和高标准农田中科学设置苗情、墒情、虫情、灾情物联网监测设备，推动多部门数据共享，强化预报预警服务能力建设。</w:t>
      </w:r>
      <w:r>
        <w:rPr>
          <w:rFonts w:hint="eastAsia"/>
          <w:highlight w:val="none"/>
        </w:rPr>
        <w:t>继续加大易涝区</w:t>
      </w:r>
      <w:r>
        <w:rPr>
          <w:rFonts w:hint="eastAsia"/>
          <w:highlight w:val="none"/>
          <w:lang w:val="en-US" w:eastAsia="zh-CN"/>
        </w:rPr>
        <w:t>外排能力建设。</w:t>
      </w:r>
      <w:r>
        <w:rPr>
          <w:rFonts w:hint="eastAsia"/>
          <w:highlight w:val="none"/>
        </w:rPr>
        <w:t>加快</w:t>
      </w:r>
      <w:r>
        <w:rPr>
          <w:rFonts w:hint="eastAsia"/>
          <w:highlight w:val="none"/>
          <w:lang w:val="en-US" w:eastAsia="zh-CN"/>
        </w:rPr>
        <w:t>推进老新二站排区和杨市泵站排区水系连通工程建设，</w:t>
      </w:r>
      <w:r>
        <w:rPr>
          <w:rFonts w:hint="eastAsia"/>
          <w:highlight w:val="none"/>
        </w:rPr>
        <w:t>提高抵御洪涝灾害的能力。</w:t>
      </w:r>
      <w:r>
        <w:rPr>
          <w:rFonts w:hint="eastAsia"/>
        </w:rPr>
        <w:t>全面落实防汛抗旱地方行政首长负责制。加强防汛抗旱应急管理，明确洪水风险管理目标并强化相应措施。加强动植物疫病防控。加强种子苗木检疫监管和农作物重大疫情监测预警及阻截防控。做好动物疫病监测预警预报，</w:t>
      </w:r>
      <w:r>
        <w:rPr>
          <w:rFonts w:hint="eastAsia"/>
          <w:lang w:val="en-US" w:eastAsia="zh-CN"/>
        </w:rPr>
        <w:t>增强</w:t>
      </w:r>
      <w:r>
        <w:rPr>
          <w:rFonts w:hint="eastAsia"/>
        </w:rPr>
        <w:t>禽流感</w:t>
      </w:r>
      <w:r>
        <w:rPr>
          <w:rFonts w:hint="eastAsia"/>
          <w:lang w:val="en-US" w:eastAsia="zh-CN"/>
        </w:rPr>
        <w:t>和</w:t>
      </w:r>
      <w:r>
        <w:rPr>
          <w:rFonts w:hint="eastAsia"/>
        </w:rPr>
        <w:t>非洲猪瘟等</w:t>
      </w:r>
      <w:r>
        <w:rPr>
          <w:rFonts w:hint="eastAsia"/>
          <w:lang w:val="en-US" w:eastAsia="zh-CN"/>
        </w:rPr>
        <w:t>重大动物疫病</w:t>
      </w:r>
      <w:r>
        <w:rPr>
          <w:rFonts w:hint="eastAsia"/>
        </w:rPr>
        <w:t>应急处置</w:t>
      </w:r>
      <w:r>
        <w:rPr>
          <w:rFonts w:hint="eastAsia"/>
          <w:lang w:eastAsia="zh-CN"/>
        </w:rPr>
        <w:t>能力</w:t>
      </w:r>
      <w:r>
        <w:rPr>
          <w:rFonts w:hint="eastAsia"/>
        </w:rPr>
        <w:t>，</w:t>
      </w:r>
      <w:r>
        <w:rPr>
          <w:rFonts w:hint="eastAsia"/>
          <w:lang w:val="en-US" w:eastAsia="zh-CN"/>
        </w:rPr>
        <w:t>加强</w:t>
      </w:r>
      <w:r>
        <w:rPr>
          <w:rFonts w:hint="eastAsia"/>
        </w:rPr>
        <w:t>动物卫生监督</w:t>
      </w:r>
      <w:r>
        <w:rPr>
          <w:rFonts w:hint="eastAsia"/>
          <w:lang w:val="en-US" w:eastAsia="zh-CN"/>
        </w:rPr>
        <w:t>管理</w:t>
      </w:r>
      <w:r>
        <w:rPr>
          <w:rFonts w:hint="eastAsia"/>
          <w:lang w:eastAsia="zh-CN"/>
        </w:rPr>
        <w:t>，</w:t>
      </w:r>
      <w:r>
        <w:rPr>
          <w:rFonts w:hint="eastAsia"/>
          <w:lang w:val="en-US" w:eastAsia="zh-CN"/>
        </w:rPr>
        <w:t>强化生物安全措施</w:t>
      </w:r>
      <w:r>
        <w:rPr>
          <w:rFonts w:hint="eastAsia"/>
          <w:lang w:eastAsia="zh-CN"/>
        </w:rPr>
        <w:t>。</w:t>
      </w:r>
      <w:r>
        <w:rPr>
          <w:rFonts w:hint="eastAsia"/>
          <w:lang w:val="en-US" w:eastAsia="zh-CN"/>
        </w:rPr>
        <w:t>完善潜江龙虾政策性保险补贴办法，加快潜江龙虾互助保险组织建设，支持设立潜江半夏和潜江大豆等政策性保险产品。</w:t>
      </w:r>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60" w:lineRule="exact"/>
        <w:ind w:left="0" w:leftChars="0" w:firstLine="0" w:firstLineChars="0"/>
        <w:jc w:val="center"/>
        <w:textAlignment w:val="auto"/>
        <w:outlineLvl w:val="1"/>
        <w:rPr>
          <w:rFonts w:hint="default" w:ascii="楷体" w:hAnsi="楷体" w:eastAsia="楷体" w:cs="楷体"/>
          <w:b/>
          <w:bCs/>
          <w:smallCaps w:val="0"/>
          <w:sz w:val="32"/>
          <w:szCs w:val="32"/>
          <w:highlight w:val="yellow"/>
          <w:lang w:val="en-US" w:eastAsia="zh-CN"/>
        </w:rPr>
      </w:pPr>
      <w:bookmarkStart w:id="134" w:name="_Toc18998"/>
      <w:bookmarkStart w:id="135" w:name="_Toc8121"/>
      <w:bookmarkStart w:id="136" w:name="_Toc18595"/>
      <w:r>
        <w:rPr>
          <w:rFonts w:hint="eastAsia" w:ascii="楷体" w:hAnsi="楷体" w:eastAsia="楷体" w:cs="楷体"/>
          <w:b/>
          <w:bCs/>
          <w:smallCaps w:val="0"/>
          <w:sz w:val="32"/>
          <w:szCs w:val="32"/>
          <w:lang w:val="en-US" w:eastAsia="zh-CN"/>
        </w:rPr>
        <w:t>第二节 加强</w:t>
      </w:r>
      <w:r>
        <w:rPr>
          <w:rFonts w:hint="eastAsia" w:ascii="楷体" w:hAnsi="楷体" w:eastAsia="楷体" w:cs="楷体"/>
          <w:b/>
          <w:bCs/>
          <w:smallCaps w:val="0"/>
          <w:sz w:val="32"/>
          <w:szCs w:val="32"/>
          <w:highlight w:val="none"/>
          <w:lang w:val="en-US" w:eastAsia="zh-CN"/>
        </w:rPr>
        <w:t>农业园区和平台</w:t>
      </w:r>
      <w:r>
        <w:rPr>
          <w:rFonts w:hint="default" w:ascii="楷体" w:hAnsi="楷体" w:eastAsia="楷体" w:cs="楷体"/>
          <w:b/>
          <w:bCs/>
          <w:smallCaps w:val="0"/>
          <w:sz w:val="32"/>
          <w:szCs w:val="32"/>
          <w:highlight w:val="none"/>
          <w:lang w:val="en-US" w:eastAsia="zh-CN"/>
        </w:rPr>
        <w:t>建设</w:t>
      </w:r>
      <w:bookmarkEnd w:id="134"/>
      <w:bookmarkEnd w:id="135"/>
      <w:bookmarkEnd w:id="136"/>
    </w:p>
    <w:p>
      <w:pPr>
        <w:pStyle w:val="6"/>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ascii="Times New Roman" w:hAnsi="Times New Roman" w:cs="Times New Roman"/>
          <w:b w:val="0"/>
          <w:bCs w:val="0"/>
          <w:kern w:val="2"/>
          <w:sz w:val="32"/>
          <w:szCs w:val="24"/>
          <w:lang w:val="en-US" w:eastAsia="zh-CN" w:bidi="ar-SA"/>
        </w:rPr>
      </w:pPr>
      <w:bookmarkStart w:id="137" w:name="_Toc12738"/>
      <w:bookmarkStart w:id="138" w:name="_Toc30834"/>
      <w:bookmarkStart w:id="139" w:name="_Toc28561"/>
      <w:r>
        <w:rPr>
          <w:rFonts w:hint="default" w:ascii="Times New Roman" w:hAnsi="Times New Roman" w:eastAsia="仿宋_GB2312" w:cs="Times New Roman"/>
          <w:b w:val="0"/>
          <w:kern w:val="2"/>
          <w:sz w:val="32"/>
          <w:szCs w:val="24"/>
          <w:lang w:val="en-US" w:eastAsia="zh-CN" w:bidi="ar-SA"/>
        </w:rPr>
        <w:t>全面推进</w:t>
      </w:r>
      <w:r>
        <w:rPr>
          <w:rFonts w:hint="eastAsia" w:ascii="Times New Roman" w:hAnsi="Times New Roman" w:cs="Times New Roman"/>
          <w:b w:val="0"/>
          <w:kern w:val="2"/>
          <w:sz w:val="32"/>
          <w:szCs w:val="24"/>
          <w:lang w:val="en-US" w:eastAsia="zh-CN" w:bidi="ar-SA"/>
        </w:rPr>
        <w:t>“一带二区五园”建设，加快推动现代农业发展</w:t>
      </w:r>
      <w:r>
        <w:rPr>
          <w:rFonts w:hint="eastAsia" w:ascii="Times New Roman" w:hAnsi="Times New Roman" w:cs="Times New Roman"/>
          <w:b w:val="0"/>
          <w:bCs w:val="0"/>
          <w:kern w:val="2"/>
          <w:sz w:val="32"/>
          <w:szCs w:val="24"/>
          <w:lang w:val="en-US" w:eastAsia="zh-CN" w:bidi="ar-SA"/>
        </w:rPr>
        <w:t>。推进</w:t>
      </w:r>
      <w:r>
        <w:rPr>
          <w:rFonts w:hint="default" w:ascii="Times New Roman" w:hAnsi="Times New Roman" w:eastAsia="仿宋_GB2312" w:cs="Times New Roman"/>
          <w:b w:val="0"/>
          <w:bCs w:val="0"/>
          <w:kern w:val="2"/>
          <w:sz w:val="32"/>
          <w:szCs w:val="24"/>
          <w:lang w:val="en-US" w:eastAsia="zh-CN" w:bidi="ar-SA"/>
        </w:rPr>
        <w:t>国家现代农业产业园</w:t>
      </w:r>
      <w:r>
        <w:rPr>
          <w:rFonts w:hint="eastAsia" w:ascii="Times New Roman" w:hAnsi="Times New Roman" w:cs="Times New Roman"/>
          <w:b w:val="0"/>
          <w:bCs w:val="0"/>
          <w:kern w:val="2"/>
          <w:sz w:val="32"/>
          <w:szCs w:val="24"/>
          <w:lang w:val="en-US" w:eastAsia="zh-CN" w:bidi="ar-SA"/>
        </w:rPr>
        <w:t>提档升级，继续高标准推进园区配套基础设施建设，推动以潜江虾-稻为核心的农业产业标准化、规模化、高端化、特色化和外向化发展；推进潜江半夏现代农业产业园、后湖高场虾稻现代农业产业园提档升级，主动对标国家级园区建设标准，进一步做强公共服务、科技孵化、金融支撑和创业创新平台；深化国家农业科技园建设，引导科技、信息、人才、资金等创新要素向园区聚集，发展面向市场的现代农业技术研发、成果转化和产业孵化机构，</w:t>
      </w:r>
      <w:r>
        <w:rPr>
          <w:rFonts w:hint="eastAsia" w:ascii="Times New Roman" w:hAnsi="Times New Roman" w:cs="Times New Roman"/>
          <w:b w:val="0"/>
          <w:bCs w:val="0"/>
          <w:kern w:val="2"/>
          <w:sz w:val="32"/>
          <w:szCs w:val="24"/>
          <w:highlight w:val="none"/>
          <w:lang w:val="en-US" w:eastAsia="zh-CN" w:bidi="ar-SA"/>
        </w:rPr>
        <w:t>推动农业科技成果转化、搭建科技创新平台，壮大农业高新技术产业；</w:t>
      </w:r>
      <w:r>
        <w:rPr>
          <w:rFonts w:hint="eastAsia" w:ascii="Times New Roman" w:hAnsi="Times New Roman" w:cs="Times New Roman"/>
          <w:b w:val="0"/>
          <w:bCs w:val="0"/>
          <w:kern w:val="2"/>
          <w:sz w:val="32"/>
          <w:szCs w:val="24"/>
          <w:lang w:val="en-US" w:eastAsia="zh-CN" w:bidi="ar-SA"/>
        </w:rPr>
        <w:t>深化国家农村产业融合发展示范园建设，进一步探索建立园区企业、合作社、农户之间多元化的互利共赢利益联结机制，构建我市农村产业融合发展常态化、长效化机制。指导核心区乡镇开展农村产业融合示范乡镇建设和示范园建设，开展产业兴村强镇工程，支持熊口镇和周矶管理区国家农业产业强镇示范建设。积极推广“一转一租一包”</w:t>
      </w:r>
      <w:r>
        <w:rPr>
          <w:rStyle w:val="32"/>
          <w:rFonts w:hint="eastAsia" w:ascii="Times New Roman" w:hAnsi="Times New Roman" w:cs="Times New Roman"/>
          <w:b w:val="0"/>
          <w:bCs w:val="0"/>
          <w:kern w:val="2"/>
          <w:sz w:val="32"/>
          <w:szCs w:val="24"/>
          <w:lang w:val="en-US" w:eastAsia="zh-CN" w:bidi="ar-SA"/>
        </w:rPr>
        <w:footnoteReference w:id="8"/>
      </w:r>
      <w:r>
        <w:rPr>
          <w:rFonts w:hint="eastAsia" w:ascii="Times New Roman" w:hAnsi="Times New Roman" w:cs="Times New Roman"/>
          <w:b w:val="0"/>
          <w:bCs w:val="0"/>
          <w:kern w:val="2"/>
          <w:sz w:val="32"/>
          <w:szCs w:val="24"/>
          <w:lang w:val="en-US" w:eastAsia="zh-CN" w:bidi="ar-SA"/>
        </w:rPr>
        <w:t>等模式，加快建设一批加工基地、扶贫车间。以全域土地综合整治和高标准农田建设为抓手，围绕农业优势产业，打造一批田园综合体。</w:t>
      </w:r>
      <w:bookmarkEnd w:id="137"/>
      <w:bookmarkEnd w:id="138"/>
      <w:bookmarkEnd w:id="139"/>
    </w:p>
    <w:p>
      <w:pPr>
        <w:pStyle w:val="6"/>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outlineLvl w:val="9"/>
        <w:rPr>
          <w:rFonts w:hint="default" w:ascii="Times New Roman" w:hAnsi="Times New Roman" w:cs="Times New Roman"/>
          <w:b w:val="0"/>
          <w:strike w:val="0"/>
          <w:kern w:val="2"/>
          <w:sz w:val="32"/>
          <w:szCs w:val="24"/>
          <w:highlight w:val="none"/>
          <w:lang w:val="en-US" w:eastAsia="zh-CN" w:bidi="ar-SA"/>
        </w:rPr>
      </w:pPr>
      <w:r>
        <w:rPr>
          <w:rFonts w:hint="eastAsia" w:ascii="Times New Roman" w:hAnsi="Times New Roman" w:cs="Times New Roman"/>
          <w:b w:val="0"/>
          <w:bCs w:val="0"/>
          <w:kern w:val="2"/>
          <w:sz w:val="32"/>
          <w:szCs w:val="24"/>
          <w:lang w:val="en-US" w:eastAsia="zh-CN" w:bidi="ar-SA"/>
        </w:rPr>
        <w:t>加强农村“双创”平台建设。支持潜网电商创业孵化基地、中国生态龙虾城创业孵化基地、楠鼎众创空间、张金创业园、杨市食品工业园科技创业孵化器、江汉艺术职业学院大学生创业孵化基地等建设，提升创业孵化能力。围绕潜江龙虾、潜江虾稻、潜江半夏和潜江蔬果等优势产业，新建改建一批渔、药、果、蔬、牧等现代农业实习实训基地，提升创业培训及实习实训能力。</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outlineLvl w:val="9"/>
        <w:rPr>
          <w:rFonts w:hint="eastAsia" w:ascii="楷体" w:hAnsi="楷体" w:eastAsia="楷体" w:cs="楷体"/>
          <w:b/>
          <w:bCs/>
          <w:smallCaps w:val="0"/>
          <w:sz w:val="32"/>
          <w:szCs w:val="32"/>
          <w:lang w:val="en-US" w:eastAsia="zh-CN"/>
        </w:rPr>
      </w:pPr>
      <w:bookmarkStart w:id="140" w:name="_Toc11114"/>
      <w:bookmarkStart w:id="141" w:name="_Toc26044"/>
      <w:bookmarkStart w:id="142" w:name="_Toc680"/>
      <w:r>
        <w:rPr>
          <w:rFonts w:hint="eastAsia" w:ascii="Times New Roman" w:hAnsi="Times New Roman" w:cs="Times New Roman"/>
          <w:b w:val="0"/>
          <w:kern w:val="2"/>
          <w:sz w:val="32"/>
          <w:szCs w:val="24"/>
          <w:lang w:val="en-US" w:eastAsia="zh-CN" w:bidi="ar-SA"/>
        </w:rPr>
        <w:t>到2025年，全市新增1-2个国家农业产业强镇和省级现代农业产业园、产业融合示范园；打造4-5个国家产业融合发展示范村；全市农村创业创新园区及农村创业创新孵化实训基地分别达到5家、10家，积极创建国家“双创”示范县。将潜江打造成为全国农村一二三产业融合发展示范区。</w:t>
      </w:r>
      <w:bookmarkEnd w:id="140"/>
      <w:bookmarkEnd w:id="141"/>
      <w:bookmarkEnd w:id="142"/>
      <w:r>
        <w:rPr>
          <w:rFonts w:hint="eastAsia" w:ascii="Times New Roman" w:hAnsi="Times New Roman" w:cs="Times New Roman"/>
          <w:b w:val="0"/>
          <w:kern w:val="2"/>
          <w:sz w:val="32"/>
          <w:szCs w:val="24"/>
          <w:lang w:val="en-US" w:eastAsia="zh-CN" w:bidi="ar-SA"/>
        </w:rPr>
        <w:t xml:space="preserve">  </w:t>
      </w:r>
      <w:bookmarkStart w:id="143" w:name="_Toc29450"/>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60" w:lineRule="exact"/>
        <w:ind w:left="0" w:leftChars="0" w:firstLine="0" w:firstLineChars="0"/>
        <w:jc w:val="center"/>
        <w:textAlignment w:val="auto"/>
        <w:outlineLvl w:val="1"/>
        <w:rPr>
          <w:rFonts w:hint="eastAsia" w:ascii="Times New Roman" w:hAnsi="Times New Roman" w:cs="Times New Roman"/>
          <w:b/>
          <w:bCs w:val="0"/>
          <w:highlight w:val="none"/>
          <w:lang w:val="en-US" w:eastAsia="zh-CN"/>
        </w:rPr>
      </w:pPr>
      <w:bookmarkStart w:id="144" w:name="_Toc20946"/>
      <w:bookmarkStart w:id="145" w:name="_Toc3867"/>
      <w:r>
        <w:rPr>
          <w:rFonts w:hint="eastAsia" w:ascii="楷体" w:hAnsi="楷体" w:eastAsia="楷体" w:cs="楷体"/>
          <w:b/>
          <w:bCs/>
          <w:smallCaps w:val="0"/>
          <w:sz w:val="32"/>
          <w:szCs w:val="32"/>
          <w:lang w:val="en-US" w:eastAsia="zh-CN"/>
        </w:rPr>
        <w:t>第三节 推进现代农业经营体系建设</w:t>
      </w:r>
      <w:bookmarkEnd w:id="143"/>
      <w:bookmarkEnd w:id="144"/>
      <w:bookmarkEnd w:id="145"/>
    </w:p>
    <w:p>
      <w:pPr>
        <w:numPr>
          <w:ilvl w:val="0"/>
          <w:numId w:val="0"/>
        </w:numPr>
        <w:ind w:firstLine="640" w:firstLineChars="200"/>
        <w:jc w:val="both"/>
        <w:outlineLvl w:val="9"/>
        <w:rPr>
          <w:rFonts w:hint="eastAsia" w:ascii="Times New Roman" w:hAnsi="Times New Roman" w:cs="Times New Roman"/>
          <w:b w:val="0"/>
          <w:bCs/>
          <w:highlight w:val="none"/>
          <w:lang w:val="en-US" w:eastAsia="zh-CN"/>
        </w:rPr>
      </w:pPr>
      <w:bookmarkStart w:id="146" w:name="_Toc2185"/>
      <w:bookmarkStart w:id="147" w:name="_Toc12290"/>
      <w:bookmarkStart w:id="148" w:name="_Toc7100"/>
      <w:r>
        <w:rPr>
          <w:rFonts w:hint="eastAsia" w:ascii="Times New Roman" w:hAnsi="Times New Roman" w:cs="Times New Roman"/>
          <w:b w:val="0"/>
          <w:bCs/>
          <w:highlight w:val="none"/>
          <w:lang w:val="en-US" w:eastAsia="zh-CN"/>
        </w:rPr>
        <w:t>落实全省培育壮大农业产业化龙头企业“十百千万”工程，建立高素质农业企业家队伍。推广龙头企业+基地+农户、龙头企业+合作社+农户等农业产业化经营模式，发挥龙头企业对小农户带动作用，到2025年，市级以上重点龙头企业达到125家。突出抓好家庭农场和农民合作社两类经营主体。建立农民合作社带头人人才库，加强对农民合作社骨干的培训。实施专业合作社提升工程，支持引导农民专业合作社组建联合社，实现生产、供销、信用综合合作。培育规范化农民专业合作社1900家，其中各级示范合作社达到200家。深入推进家庭农场经营者培养，完善项目支持、生产指导、质量管理、对接市场等服务。鼓励专业大户向家庭农场转型，培育规范化家庭农场1000家，其中市级以上示范家庭农场达到175家。</w:t>
      </w:r>
    </w:p>
    <w:p>
      <w:pPr>
        <w:numPr>
          <w:ilvl w:val="0"/>
          <w:numId w:val="0"/>
        </w:numPr>
        <w:ind w:firstLine="640" w:firstLineChars="200"/>
        <w:jc w:val="both"/>
        <w:outlineLvl w:val="9"/>
        <w:rPr>
          <w:rFonts w:hint="eastAsia" w:ascii="Times New Roman" w:hAnsi="Times New Roman" w:cs="Times New Roman"/>
          <w:b w:val="0"/>
          <w:bCs/>
          <w:highlight w:val="none"/>
          <w:lang w:val="en-US" w:eastAsia="zh-CN"/>
        </w:rPr>
      </w:pPr>
      <w:r>
        <w:rPr>
          <w:rFonts w:hint="eastAsia" w:ascii="Times New Roman" w:hAnsi="Times New Roman" w:cs="Times New Roman"/>
          <w:b w:val="0"/>
          <w:bCs/>
          <w:highlight w:val="none"/>
          <w:lang w:val="en-US" w:eastAsia="zh-CN"/>
        </w:rPr>
        <w:t>依托</w:t>
      </w:r>
      <w:r>
        <w:rPr>
          <w:rFonts w:hint="eastAsia" w:cs="Times New Roman"/>
          <w:b w:val="0"/>
          <w:bCs/>
          <w:highlight w:val="none"/>
          <w:lang w:val="en-US" w:eastAsia="zh-CN"/>
        </w:rPr>
        <w:t>潜江龙虾、潜江</w:t>
      </w:r>
      <w:r>
        <w:rPr>
          <w:rFonts w:hint="eastAsia" w:ascii="Times New Roman" w:hAnsi="Times New Roman" w:cs="Times New Roman"/>
          <w:b w:val="0"/>
          <w:bCs/>
          <w:highlight w:val="none"/>
          <w:lang w:val="en-US" w:eastAsia="zh-CN"/>
        </w:rPr>
        <w:t>虾稻</w:t>
      </w:r>
      <w:r>
        <w:rPr>
          <w:rFonts w:hint="eastAsia" w:cs="Times New Roman"/>
          <w:b w:val="0"/>
          <w:bCs/>
          <w:highlight w:val="none"/>
          <w:lang w:val="en-US" w:eastAsia="zh-CN"/>
        </w:rPr>
        <w:t>、</w:t>
      </w:r>
      <w:r>
        <w:rPr>
          <w:rFonts w:hint="eastAsia" w:ascii="Times New Roman" w:hAnsi="Times New Roman" w:cs="Times New Roman"/>
          <w:b w:val="0"/>
          <w:bCs/>
          <w:highlight w:val="none"/>
          <w:lang w:val="en-US" w:eastAsia="zh-CN"/>
        </w:rPr>
        <w:t>潜</w:t>
      </w:r>
      <w:r>
        <w:rPr>
          <w:rFonts w:hint="eastAsia" w:cs="Times New Roman"/>
          <w:b w:val="0"/>
          <w:bCs/>
          <w:highlight w:val="none"/>
          <w:lang w:val="en-US" w:eastAsia="zh-CN"/>
        </w:rPr>
        <w:t>江</w:t>
      </w:r>
      <w:r>
        <w:rPr>
          <w:rFonts w:hint="eastAsia" w:ascii="Times New Roman" w:hAnsi="Times New Roman" w:cs="Times New Roman"/>
          <w:b w:val="0"/>
          <w:bCs/>
          <w:highlight w:val="none"/>
          <w:lang w:val="en-US" w:eastAsia="zh-CN"/>
        </w:rPr>
        <w:t>半夏</w:t>
      </w:r>
      <w:r>
        <w:rPr>
          <w:rFonts w:hint="eastAsia" w:cs="Times New Roman"/>
          <w:b w:val="0"/>
          <w:bCs/>
          <w:highlight w:val="none"/>
          <w:lang w:val="en-US" w:eastAsia="zh-CN"/>
        </w:rPr>
        <w:t>和潜江大豆</w:t>
      </w:r>
      <w:r>
        <w:rPr>
          <w:rFonts w:hint="eastAsia" w:ascii="Times New Roman" w:hAnsi="Times New Roman" w:cs="Times New Roman"/>
          <w:b w:val="0"/>
          <w:bCs/>
          <w:highlight w:val="none"/>
          <w:lang w:val="en-US" w:eastAsia="zh-CN"/>
        </w:rPr>
        <w:t>主导产业，以农业产业化龙头企业</w:t>
      </w:r>
      <w:r>
        <w:rPr>
          <w:rFonts w:hint="eastAsia" w:cs="Times New Roman"/>
          <w:b w:val="0"/>
          <w:bCs/>
          <w:highlight w:val="none"/>
          <w:lang w:val="en-US" w:eastAsia="zh-CN"/>
        </w:rPr>
        <w:t>为</w:t>
      </w:r>
      <w:r>
        <w:rPr>
          <w:rFonts w:hint="eastAsia" w:ascii="Times New Roman" w:hAnsi="Times New Roman" w:cs="Times New Roman"/>
          <w:b w:val="0"/>
          <w:bCs/>
          <w:highlight w:val="none"/>
          <w:lang w:val="en-US" w:eastAsia="zh-CN"/>
        </w:rPr>
        <w:t>引领，联合农民合作社、家庭农场</w:t>
      </w:r>
      <w:r>
        <w:rPr>
          <w:rFonts w:hint="eastAsia" w:cs="Times New Roman"/>
          <w:b w:val="0"/>
          <w:bCs/>
          <w:highlight w:val="none"/>
          <w:lang w:val="en-US" w:eastAsia="zh-CN"/>
        </w:rPr>
        <w:t>和</w:t>
      </w:r>
      <w:r>
        <w:rPr>
          <w:rFonts w:hint="eastAsia" w:ascii="Times New Roman" w:hAnsi="Times New Roman" w:cs="Times New Roman"/>
          <w:b w:val="0"/>
          <w:bCs/>
          <w:highlight w:val="none"/>
          <w:lang w:val="en-US" w:eastAsia="zh-CN"/>
        </w:rPr>
        <w:t>种养大户等新型农业经营主体，以规模化、标准化、品牌化经营为路径，以利益联结为纽带，打造集科研、生产、加工、贮运于一体的农业全产业链发展平台，充分挖掘产业集聚效应，促进一二三产业相互渗透，推动</w:t>
      </w:r>
      <w:r>
        <w:rPr>
          <w:rFonts w:hint="eastAsia" w:cs="Times New Roman"/>
          <w:b w:val="0"/>
          <w:bCs/>
          <w:highlight w:val="none"/>
          <w:lang w:val="en-US" w:eastAsia="zh-CN"/>
        </w:rPr>
        <w:t>潜江</w:t>
      </w:r>
      <w:r>
        <w:rPr>
          <w:rFonts w:hint="eastAsia" w:ascii="Times New Roman" w:hAnsi="Times New Roman" w:cs="Times New Roman"/>
          <w:b w:val="0"/>
          <w:bCs/>
          <w:highlight w:val="none"/>
          <w:lang w:val="en-US" w:eastAsia="zh-CN"/>
        </w:rPr>
        <w:t>虾稻、</w:t>
      </w:r>
      <w:r>
        <w:rPr>
          <w:rFonts w:hint="eastAsia" w:cs="Times New Roman"/>
          <w:b w:val="0"/>
          <w:bCs/>
          <w:highlight w:val="none"/>
          <w:lang w:val="en-US" w:eastAsia="zh-CN"/>
        </w:rPr>
        <w:t>潜江</w:t>
      </w:r>
      <w:r>
        <w:rPr>
          <w:rFonts w:hint="eastAsia" w:ascii="Times New Roman" w:hAnsi="Times New Roman" w:cs="Times New Roman"/>
          <w:b w:val="0"/>
          <w:bCs/>
          <w:highlight w:val="none"/>
          <w:lang w:val="en-US" w:eastAsia="zh-CN"/>
        </w:rPr>
        <w:t>半夏</w:t>
      </w:r>
      <w:r>
        <w:rPr>
          <w:rFonts w:hint="eastAsia" w:cs="Times New Roman"/>
          <w:b w:val="0"/>
          <w:bCs/>
          <w:highlight w:val="none"/>
          <w:lang w:val="en-US" w:eastAsia="zh-CN"/>
        </w:rPr>
        <w:t>和潜江</w:t>
      </w:r>
      <w:r>
        <w:rPr>
          <w:rFonts w:hint="eastAsia" w:ascii="Times New Roman" w:hAnsi="Times New Roman" w:cs="Times New Roman"/>
          <w:b w:val="0"/>
          <w:bCs/>
          <w:highlight w:val="none"/>
          <w:lang w:val="en-US" w:eastAsia="zh-CN"/>
        </w:rPr>
        <w:t>大豆</w:t>
      </w:r>
      <w:r>
        <w:rPr>
          <w:rFonts w:hint="eastAsia" w:cs="Times New Roman"/>
          <w:b w:val="0"/>
          <w:bCs/>
          <w:highlight w:val="none"/>
          <w:lang w:val="en-US" w:eastAsia="zh-CN"/>
        </w:rPr>
        <w:t>等</w:t>
      </w:r>
      <w:r>
        <w:rPr>
          <w:rFonts w:hint="eastAsia" w:ascii="Times New Roman" w:hAnsi="Times New Roman" w:cs="Times New Roman"/>
          <w:b w:val="0"/>
          <w:bCs/>
          <w:highlight w:val="none"/>
          <w:lang w:val="en-US" w:eastAsia="zh-CN"/>
        </w:rPr>
        <w:t>特色产业集群发展。深入推进华山小龙虾产业化联合体和潜</w:t>
      </w:r>
      <w:r>
        <w:rPr>
          <w:rFonts w:hint="eastAsia" w:cs="Times New Roman"/>
          <w:b w:val="0"/>
          <w:bCs/>
          <w:highlight w:val="none"/>
          <w:lang w:val="en-US" w:eastAsia="zh-CN"/>
        </w:rPr>
        <w:t>江</w:t>
      </w:r>
      <w:r>
        <w:rPr>
          <w:rFonts w:hint="eastAsia" w:ascii="Times New Roman" w:hAnsi="Times New Roman" w:cs="Times New Roman"/>
          <w:b w:val="0"/>
          <w:bCs/>
          <w:highlight w:val="none"/>
          <w:lang w:val="en-US" w:eastAsia="zh-CN"/>
        </w:rPr>
        <w:t>半夏产业化联合体高质量发展，不断完善利益联结机制。到2025年，争取打造3-5个农业产业化联合体，其中产值100亿元以上联合体1-2个，产值过50亿元以上联合体2-3个。</w:t>
      </w:r>
      <w:bookmarkEnd w:id="146"/>
      <w:bookmarkEnd w:id="147"/>
      <w:bookmarkEnd w:id="148"/>
    </w:p>
    <w:p>
      <w:pPr>
        <w:pStyle w:val="17"/>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lang w:val="en-US" w:eastAsia="zh-CN"/>
        </w:rPr>
      </w:pPr>
      <w:r>
        <w:rPr>
          <w:rFonts w:hint="default" w:ascii="Times New Roman" w:hAnsi="Times New Roman" w:eastAsia="仿宋_GB2312" w:cs="Times New Roman"/>
          <w:kern w:val="2"/>
          <w:sz w:val="32"/>
          <w:szCs w:val="32"/>
          <w:highlight w:val="none"/>
          <w:lang w:val="en-US" w:eastAsia="zh-CN" w:bidi="ar-SA"/>
        </w:rPr>
        <w:t>发展壮大农业专业化社会化服务组织，将先进适用的品种、投入品、技术、装备导入小农户。深化供销合作社综合改革，开展生产、供销、信用</w:t>
      </w:r>
      <w:r>
        <w:rPr>
          <w:rFonts w:hint="eastAsia" w:ascii="仿宋_GB2312" w:hAnsi="仿宋_GB2312" w:eastAsia="仿宋_GB2312" w:cs="仿宋_GB2312"/>
          <w:kern w:val="2"/>
          <w:sz w:val="32"/>
          <w:szCs w:val="32"/>
          <w:highlight w:val="none"/>
          <w:lang w:val="en-US" w:eastAsia="zh-CN" w:bidi="ar-SA"/>
        </w:rPr>
        <w:t>“三位一体”</w:t>
      </w:r>
      <w:r>
        <w:rPr>
          <w:rFonts w:hint="default" w:ascii="Times New Roman" w:hAnsi="Times New Roman" w:eastAsia="仿宋_GB2312" w:cs="Times New Roman"/>
          <w:kern w:val="2"/>
          <w:sz w:val="32"/>
          <w:szCs w:val="32"/>
          <w:highlight w:val="none"/>
          <w:lang w:val="en-US" w:eastAsia="zh-CN" w:bidi="ar-SA"/>
        </w:rPr>
        <w:t>综合合作试点，健全服务农民生产生活综合平台。</w:t>
      </w:r>
      <w:bookmarkStart w:id="149" w:name="_Toc17949"/>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80" w:lineRule="exact"/>
        <w:ind w:left="0" w:leftChars="0" w:firstLine="0" w:firstLineChars="0"/>
        <w:jc w:val="center"/>
        <w:textAlignment w:val="auto"/>
        <w:outlineLvl w:val="1"/>
        <w:rPr>
          <w:rFonts w:hint="eastAsia" w:ascii="楷体" w:hAnsi="楷体" w:eastAsia="楷体" w:cs="楷体"/>
          <w:b/>
          <w:bCs/>
          <w:smallCaps w:val="0"/>
          <w:sz w:val="32"/>
          <w:szCs w:val="32"/>
          <w:lang w:val="en-US" w:eastAsia="zh-CN"/>
        </w:rPr>
      </w:pPr>
      <w:bookmarkStart w:id="150" w:name="_Toc27681"/>
      <w:bookmarkStart w:id="151" w:name="_Toc6876"/>
      <w:r>
        <w:rPr>
          <w:rFonts w:hint="eastAsia" w:ascii="楷体" w:hAnsi="楷体" w:eastAsia="楷体" w:cs="楷体"/>
          <w:b/>
          <w:bCs/>
          <w:smallCaps w:val="0"/>
          <w:sz w:val="32"/>
          <w:szCs w:val="32"/>
          <w:lang w:val="en-US" w:eastAsia="zh-CN"/>
        </w:rPr>
        <w:t>第四节 强化现代农业科技和物质装备支撑</w:t>
      </w:r>
      <w:bookmarkEnd w:id="149"/>
      <w:bookmarkEnd w:id="150"/>
      <w:bookmarkEnd w:id="151"/>
    </w:p>
    <w:p>
      <w:pPr>
        <w:pStyle w:val="6"/>
        <w:keepNext w:val="0"/>
        <w:keepLines w:val="0"/>
        <w:pageBreakBefore w:val="0"/>
        <w:numPr>
          <w:ilvl w:val="0"/>
          <w:numId w:val="0"/>
        </w:numPr>
        <w:kinsoku/>
        <w:wordWrap/>
        <w:overflowPunct/>
        <w:topLinePunct w:val="0"/>
        <w:autoSpaceDE/>
        <w:autoSpaceDN/>
        <w:bidi w:val="0"/>
        <w:adjustRightInd/>
        <w:snapToGrid/>
        <w:spacing w:line="580" w:lineRule="exact"/>
        <w:ind w:leftChars="200"/>
        <w:textAlignment w:val="auto"/>
        <w:rPr>
          <w:rFonts w:hint="eastAsia" w:ascii="Times New Roman" w:hAnsi="Times New Roman" w:cs="Times New Roman"/>
          <w:highlight w:val="none"/>
          <w:lang w:val="en-US" w:eastAsia="zh-CN"/>
        </w:rPr>
      </w:pPr>
      <w:bookmarkStart w:id="152" w:name="_Toc20731"/>
      <w:bookmarkStart w:id="153" w:name="_Toc3356"/>
      <w:r>
        <w:rPr>
          <w:rFonts w:hint="eastAsia" w:ascii="Times New Roman" w:hAnsi="Times New Roman" w:cs="Times New Roman"/>
          <w:highlight w:val="none"/>
          <w:lang w:val="en-US" w:eastAsia="zh-CN"/>
        </w:rPr>
        <w:t>一、加大特色农产品种质资源保护开发</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Times New Roman" w:hAnsi="Times New Roman" w:cs="Times New Roman"/>
          <w:highlight w:val="none"/>
          <w:lang w:val="en-US" w:eastAsia="zh-CN"/>
        </w:rPr>
      </w:pPr>
      <w:r>
        <w:rPr>
          <w:rFonts w:hint="eastAsia"/>
        </w:rPr>
        <w:t>实施现代种业提升工程，支持龙头企业建立健全商业化育种体系</w:t>
      </w:r>
      <w:r>
        <w:rPr>
          <w:rFonts w:hint="eastAsia"/>
          <w:lang w:eastAsia="zh-CN"/>
        </w:rPr>
        <w:t>，</w:t>
      </w:r>
      <w:r>
        <w:rPr>
          <w:rFonts w:hint="eastAsia"/>
        </w:rPr>
        <w:t>完善以产业为主导、企业为主体、基地为依托、产学研结合、育繁推一体化的现代农业种业体系</w:t>
      </w:r>
      <w:r>
        <w:rPr>
          <w:rFonts w:hint="eastAsia"/>
          <w:lang w:eastAsia="zh-CN"/>
        </w:rPr>
        <w:t>。</w:t>
      </w:r>
      <w:r>
        <w:rPr>
          <w:rFonts w:hint="eastAsia"/>
          <w:lang w:val="en-US" w:eastAsia="zh-CN"/>
        </w:rPr>
        <w:t>大力推进</w:t>
      </w:r>
      <w:r>
        <w:rPr>
          <w:rFonts w:hint="eastAsia"/>
        </w:rPr>
        <w:t>小龙虾良种选育繁育</w:t>
      </w:r>
      <w:r>
        <w:rPr>
          <w:rFonts w:hint="eastAsia"/>
          <w:lang w:val="en-US" w:eastAsia="zh-CN"/>
        </w:rPr>
        <w:t>建设，</w:t>
      </w:r>
      <w:r>
        <w:rPr>
          <w:rFonts w:hint="eastAsia"/>
        </w:rPr>
        <w:t>实施小龙虾苗种良种化工程</w:t>
      </w:r>
      <w:r>
        <w:rPr>
          <w:rFonts w:hint="eastAsia"/>
          <w:lang w:eastAsia="zh-CN"/>
        </w:rPr>
        <w:t>，</w:t>
      </w:r>
      <w:r>
        <w:rPr>
          <w:rFonts w:hint="eastAsia"/>
        </w:rPr>
        <w:t>开展小龙虾群体和家系研究，力争选育出生长速度快、抗病力强、遗传性状优良的新品系</w:t>
      </w:r>
      <w:r>
        <w:rPr>
          <w:rFonts w:hint="eastAsia"/>
          <w:lang w:eastAsia="zh-CN"/>
        </w:rPr>
        <w:t>。</w:t>
      </w:r>
      <w:r>
        <w:rPr>
          <w:rFonts w:hint="eastAsia"/>
          <w:lang w:val="en-US" w:eastAsia="zh-CN"/>
        </w:rPr>
        <w:t>大力推进</w:t>
      </w:r>
      <w:r>
        <w:rPr>
          <w:rFonts w:hint="eastAsia"/>
        </w:rPr>
        <w:t>潜</w:t>
      </w:r>
      <w:r>
        <w:rPr>
          <w:rFonts w:hint="eastAsia"/>
          <w:lang w:val="en-US" w:eastAsia="zh-CN"/>
        </w:rPr>
        <w:t>江</w:t>
      </w:r>
      <w:r>
        <w:rPr>
          <w:rFonts w:hint="eastAsia"/>
        </w:rPr>
        <w:t>半夏野生种质资源保护</w:t>
      </w:r>
      <w:r>
        <w:rPr>
          <w:rFonts w:hint="eastAsia"/>
          <w:lang w:val="en-US" w:eastAsia="zh-CN"/>
        </w:rPr>
        <w:t>和国家区域性良种繁育基地建设，</w:t>
      </w:r>
      <w:r>
        <w:rPr>
          <w:rFonts w:hint="eastAsia"/>
        </w:rPr>
        <w:t>加快农业种质资源库（圃、场、区）建设，加大种质资源的收集保护、提纯复壮、标准鉴定与开发利用，推进特色资源保护基地与开发平台建设，实现数字化动态监测、信息化监督管理。加强供种保障能力建设，提升种子种苗质量检测能力和良种覆盖率。推进汉江潜江段四大家鱼国家级水产种质资源保护区</w:t>
      </w:r>
      <w:r>
        <w:rPr>
          <w:rFonts w:hint="eastAsia"/>
          <w:lang w:eastAsia="zh-CN"/>
        </w:rPr>
        <w:t>建设。推进白鹭湖管理区</w:t>
      </w:r>
      <w:r>
        <w:rPr>
          <w:rFonts w:hint="eastAsia"/>
          <w:lang w:val="en-US" w:eastAsia="zh-CN"/>
        </w:rPr>
        <w:t>和</w:t>
      </w:r>
      <w:r>
        <w:rPr>
          <w:rFonts w:hint="eastAsia"/>
          <w:lang w:eastAsia="zh-CN"/>
        </w:rPr>
        <w:t>后湖管理区水产苗种产业发展，推进“育繁推一体化”。</w:t>
      </w:r>
      <w:r>
        <w:rPr>
          <w:rFonts w:hint="eastAsia"/>
        </w:rPr>
        <w:t>加大白皮黄瓜</w:t>
      </w:r>
      <w:r>
        <w:rPr>
          <w:rFonts w:hint="eastAsia"/>
          <w:lang w:eastAsia="zh-CN"/>
        </w:rPr>
        <w:t>、</w:t>
      </w:r>
      <w:r>
        <w:rPr>
          <w:rFonts w:hint="eastAsia"/>
        </w:rPr>
        <w:t>黄湾藕等特色</w:t>
      </w:r>
      <w:r>
        <w:rPr>
          <w:rFonts w:hint="eastAsia"/>
          <w:lang w:val="en-US" w:eastAsia="zh-CN"/>
        </w:rPr>
        <w:t>蔬菜</w:t>
      </w:r>
      <w:r>
        <w:rPr>
          <w:rFonts w:hint="eastAsia"/>
        </w:rPr>
        <w:t>种质资源的保护</w:t>
      </w:r>
      <w:r>
        <w:rPr>
          <w:rFonts w:hint="eastAsia"/>
          <w:lang w:eastAsia="zh-CN"/>
        </w:rPr>
        <w:t>、</w:t>
      </w:r>
      <w:r>
        <w:rPr>
          <w:rFonts w:hint="eastAsia"/>
        </w:rPr>
        <w:t>开发</w:t>
      </w:r>
      <w:r>
        <w:rPr>
          <w:rFonts w:hint="eastAsia"/>
          <w:lang w:val="en-US" w:eastAsia="zh-CN"/>
        </w:rPr>
        <w:t>与利用。</w:t>
      </w:r>
      <w:r>
        <w:rPr>
          <w:rFonts w:hint="eastAsia"/>
          <w:highlight w:val="none"/>
          <w:lang w:val="en-US" w:eastAsia="zh-CN"/>
        </w:rPr>
        <w:t>到2025年，主要农作物良种覆盖率、畜禽和渔业良种化率分别达到98%、90%和85%。</w:t>
      </w:r>
    </w:p>
    <w:p>
      <w:pPr>
        <w:pStyle w:val="6"/>
        <w:numPr>
          <w:ilvl w:val="0"/>
          <w:numId w:val="0"/>
        </w:numPr>
        <w:ind w:leftChars="20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二、</w:t>
      </w:r>
      <w:bookmarkEnd w:id="152"/>
      <w:bookmarkEnd w:id="153"/>
      <w:r>
        <w:rPr>
          <w:rFonts w:hint="eastAsia" w:ascii="Times New Roman" w:hAnsi="Times New Roman" w:cs="Times New Roman"/>
          <w:highlight w:val="none"/>
          <w:lang w:val="en-US" w:eastAsia="zh-CN"/>
        </w:rPr>
        <w:t>推进农业机械化全程全面高质高效</w:t>
      </w:r>
    </w:p>
    <w:p>
      <w:pPr>
        <w:keepNext w:val="0"/>
        <w:keepLines w:val="0"/>
        <w:pageBreakBefore w:val="0"/>
        <w:widowControl w:val="0"/>
        <w:kinsoku/>
        <w:wordWrap/>
        <w:overflowPunct/>
        <w:topLinePunct w:val="0"/>
        <w:autoSpaceDE/>
        <w:autoSpaceDN/>
        <w:bidi w:val="0"/>
        <w:adjustRightInd/>
        <w:snapToGrid/>
        <w:textAlignment w:val="auto"/>
        <w:rPr>
          <w:rFonts w:hint="eastAsia"/>
          <w:highlight w:val="none"/>
          <w:lang w:eastAsia="zh-CN"/>
        </w:rPr>
      </w:pPr>
      <w:r>
        <w:rPr>
          <w:rFonts w:hint="eastAsia"/>
        </w:rPr>
        <w:t>实施农机装备优化升级工程和农机精准作业示范项目，实施主要农作物全程全面机械化推进行动</w:t>
      </w:r>
      <w:r>
        <w:rPr>
          <w:rFonts w:hint="eastAsia"/>
          <w:lang w:eastAsia="zh-CN"/>
        </w:rPr>
        <w:t>。</w:t>
      </w:r>
      <w:r>
        <w:rPr>
          <w:rFonts w:hint="eastAsia"/>
        </w:rPr>
        <w:t>以“全程、全面、高质、高效”为目标</w:t>
      </w:r>
      <w:r>
        <w:rPr>
          <w:rFonts w:hint="eastAsia"/>
          <w:lang w:eastAsia="zh-CN"/>
        </w:rPr>
        <w:t>，</w:t>
      </w:r>
      <w:r>
        <w:rPr>
          <w:rFonts w:hint="eastAsia"/>
        </w:rPr>
        <w:t>着力调优农机装备结构，主攻</w:t>
      </w:r>
      <w:r>
        <w:rPr>
          <w:rFonts w:hint="eastAsia"/>
          <w:lang w:val="en-US" w:eastAsia="zh-CN"/>
        </w:rPr>
        <w:t>种植、</w:t>
      </w:r>
      <w:r>
        <w:rPr>
          <w:rFonts w:hint="eastAsia"/>
        </w:rPr>
        <w:t>养殖、林果、</w:t>
      </w:r>
      <w:r>
        <w:rPr>
          <w:rFonts w:hint="eastAsia"/>
          <w:lang w:val="en-US" w:eastAsia="zh-CN"/>
        </w:rPr>
        <w:t>水产和</w:t>
      </w:r>
      <w:r>
        <w:rPr>
          <w:rFonts w:hint="eastAsia"/>
        </w:rPr>
        <w:t>农产品初加工机械化</w:t>
      </w:r>
      <w:r>
        <w:rPr>
          <w:rFonts w:hint="eastAsia"/>
          <w:lang w:val="en-US" w:eastAsia="zh-CN"/>
        </w:rPr>
        <w:t>发展短板。</w:t>
      </w:r>
      <w:r>
        <w:rPr>
          <w:rFonts w:hint="eastAsia"/>
          <w:highlight w:val="none"/>
        </w:rPr>
        <w:t>提升水稻、</w:t>
      </w:r>
      <w:r>
        <w:rPr>
          <w:rFonts w:hint="eastAsia"/>
          <w:highlight w:val="none"/>
          <w:lang w:val="en-US" w:eastAsia="zh-CN"/>
        </w:rPr>
        <w:t>大豆和油菜</w:t>
      </w:r>
      <w:r>
        <w:rPr>
          <w:rFonts w:hint="eastAsia"/>
          <w:highlight w:val="none"/>
        </w:rPr>
        <w:t>等主要粮</w:t>
      </w:r>
      <w:r>
        <w:rPr>
          <w:rFonts w:hint="eastAsia"/>
          <w:highlight w:val="none"/>
          <w:lang w:val="en-US" w:eastAsia="zh-CN"/>
        </w:rPr>
        <w:t>油</w:t>
      </w:r>
      <w:r>
        <w:rPr>
          <w:rFonts w:hint="eastAsia"/>
          <w:highlight w:val="none"/>
        </w:rPr>
        <w:t>作物生产全程机械化水平，解决高效植保、烘干</w:t>
      </w:r>
      <w:r>
        <w:rPr>
          <w:rFonts w:hint="eastAsia"/>
          <w:highlight w:val="none"/>
          <w:lang w:val="en-US" w:eastAsia="zh-CN"/>
        </w:rPr>
        <w:t>和</w:t>
      </w:r>
      <w:r>
        <w:rPr>
          <w:rFonts w:hint="eastAsia"/>
          <w:highlight w:val="none"/>
        </w:rPr>
        <w:t>秸秆处理等薄弱环节的机械应用难题。示范推广油菜机播机收、露地蔬菜播种移栽、半夏机械播种</w:t>
      </w:r>
      <w:r>
        <w:rPr>
          <w:rFonts w:hint="eastAsia"/>
          <w:highlight w:val="none"/>
          <w:lang w:val="en-US" w:eastAsia="zh-CN"/>
        </w:rPr>
        <w:t>及</w:t>
      </w:r>
      <w:r>
        <w:rPr>
          <w:rFonts w:hint="eastAsia"/>
          <w:highlight w:val="none"/>
        </w:rPr>
        <w:t>机械收获等关键环节的农机化技术。</w:t>
      </w:r>
      <w:r>
        <w:rPr>
          <w:rFonts w:hint="eastAsia"/>
          <w:highlight w:val="none"/>
          <w:lang w:val="en-US" w:eastAsia="zh-CN"/>
        </w:rPr>
        <w:t>解决水产养殖</w:t>
      </w:r>
      <w:r>
        <w:rPr>
          <w:rFonts w:hint="eastAsia"/>
          <w:highlight w:val="none"/>
        </w:rPr>
        <w:t>育种育苗、防疫处置、起捕采收</w:t>
      </w:r>
      <w:r>
        <w:rPr>
          <w:rFonts w:hint="eastAsia"/>
          <w:highlight w:val="none"/>
          <w:lang w:val="en-US" w:eastAsia="zh-CN"/>
        </w:rPr>
        <w:t>和</w:t>
      </w:r>
      <w:r>
        <w:rPr>
          <w:rFonts w:hint="eastAsia"/>
          <w:highlight w:val="none"/>
        </w:rPr>
        <w:t>尾水处理等薄弱环节机械化</w:t>
      </w:r>
      <w:r>
        <w:rPr>
          <w:rFonts w:hint="eastAsia"/>
          <w:highlight w:val="none"/>
          <w:lang w:val="en-US" w:eastAsia="zh-CN"/>
        </w:rPr>
        <w:t>应用难题。</w:t>
      </w:r>
      <w:r>
        <w:rPr>
          <w:rFonts w:hint="eastAsia"/>
          <w:highlight w:val="none"/>
        </w:rPr>
        <w:t>完善虾稻产业全程机械化生产体系</w:t>
      </w:r>
      <w:r>
        <w:rPr>
          <w:rFonts w:hint="eastAsia"/>
          <w:highlight w:val="none"/>
          <w:lang w:eastAsia="zh-CN"/>
        </w:rPr>
        <w:t>。</w:t>
      </w:r>
      <w:r>
        <w:rPr>
          <w:rFonts w:hint="eastAsia"/>
          <w:highlight w:val="none"/>
          <w:lang w:val="en-US" w:eastAsia="zh-CN"/>
        </w:rPr>
        <w:t>推动</w:t>
      </w:r>
      <w:r>
        <w:rPr>
          <w:rFonts w:hint="eastAsia"/>
          <w:highlight w:val="none"/>
        </w:rPr>
        <w:t>设施农业、</w:t>
      </w:r>
      <w:r>
        <w:rPr>
          <w:rFonts w:hint="eastAsia"/>
          <w:highlight w:val="none"/>
          <w:lang w:val="en-US" w:eastAsia="zh-CN"/>
        </w:rPr>
        <w:t>畜禽</w:t>
      </w:r>
      <w:r>
        <w:rPr>
          <w:rFonts w:hint="eastAsia"/>
          <w:highlight w:val="none"/>
        </w:rPr>
        <w:t>养殖、水产养殖</w:t>
      </w:r>
      <w:r>
        <w:rPr>
          <w:rFonts w:hint="eastAsia"/>
          <w:highlight w:val="none"/>
          <w:lang w:val="en-US" w:eastAsia="zh-CN"/>
        </w:rPr>
        <w:t>和</w:t>
      </w:r>
      <w:r>
        <w:rPr>
          <w:rFonts w:hint="eastAsia"/>
          <w:highlight w:val="none"/>
        </w:rPr>
        <w:t>农产品初加工机械化</w:t>
      </w:r>
      <w:r>
        <w:rPr>
          <w:rFonts w:hint="eastAsia"/>
          <w:highlight w:val="none"/>
          <w:lang w:val="en-US" w:eastAsia="zh-CN"/>
        </w:rPr>
        <w:t>同步发展</w:t>
      </w:r>
      <w:r>
        <w:rPr>
          <w:rFonts w:hint="eastAsia"/>
          <w:highlight w:val="none"/>
        </w:rPr>
        <w:t>。推进北斗农机示范应用，</w:t>
      </w:r>
      <w:r>
        <w:rPr>
          <w:rFonts w:hint="eastAsia"/>
          <w:highlight w:val="none"/>
          <w:lang w:val="en-US" w:eastAsia="zh-CN"/>
        </w:rPr>
        <w:t>提升</w:t>
      </w:r>
      <w:r>
        <w:rPr>
          <w:rFonts w:hint="eastAsia"/>
          <w:highlight w:val="none"/>
        </w:rPr>
        <w:t>农机智能化信息化水平</w:t>
      </w:r>
      <w:r>
        <w:rPr>
          <w:rFonts w:hint="eastAsia"/>
          <w:highlight w:val="none"/>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eastAsia="zh-CN"/>
        </w:rPr>
        <w:t>到</w:t>
      </w:r>
      <w:r>
        <w:rPr>
          <w:rFonts w:hint="eastAsia"/>
        </w:rPr>
        <w:t>2025年</w:t>
      </w:r>
      <w:r>
        <w:rPr>
          <w:rFonts w:hint="eastAsia"/>
          <w:lang w:eastAsia="zh-CN"/>
        </w:rPr>
        <w:t>，建设5个国家级、15个省级农机示范合作社、3个“全程机械化+综合农事”服务中心、25个农机化作业示范村。</w:t>
      </w:r>
      <w:r>
        <w:rPr>
          <w:rFonts w:hint="eastAsia"/>
        </w:rPr>
        <w:t>主要农作物耕种收综合机械化</w:t>
      </w:r>
      <w:r>
        <w:rPr>
          <w:rFonts w:hint="eastAsia"/>
          <w:lang w:val="en-US" w:eastAsia="zh-CN"/>
        </w:rPr>
        <w:t>率</w:t>
      </w:r>
      <w:r>
        <w:rPr>
          <w:rFonts w:hint="eastAsia"/>
        </w:rPr>
        <w:t>达到8</w:t>
      </w:r>
      <w:r>
        <w:rPr>
          <w:rFonts w:hint="eastAsia"/>
          <w:lang w:val="en-US" w:eastAsia="zh-CN"/>
        </w:rPr>
        <w:t>6.</w:t>
      </w:r>
      <w:r>
        <w:rPr>
          <w:rFonts w:hint="eastAsia"/>
        </w:rPr>
        <w:t>5%</w:t>
      </w:r>
      <w:r>
        <w:rPr>
          <w:rFonts w:hint="eastAsia"/>
          <w:lang w:eastAsia="zh-CN"/>
        </w:rPr>
        <w:t>；</w:t>
      </w:r>
      <w:r>
        <w:rPr>
          <w:rFonts w:hint="eastAsia"/>
          <w:strike w:val="0"/>
          <w:highlight w:val="none"/>
          <w:lang w:val="en-US" w:eastAsia="zh-CN"/>
        </w:rPr>
        <w:t>设施种植机械化率达到55%；农产品初加工机械化率达到50%；畜禽和</w:t>
      </w:r>
      <w:r>
        <w:rPr>
          <w:rFonts w:hint="eastAsia"/>
          <w:strike w:val="0"/>
          <w:highlight w:val="none"/>
        </w:rPr>
        <w:t>水产养殖机械化</w:t>
      </w:r>
      <w:r>
        <w:rPr>
          <w:rFonts w:hint="eastAsia"/>
          <w:strike w:val="0"/>
          <w:highlight w:val="none"/>
          <w:lang w:val="en-US" w:eastAsia="zh-CN"/>
        </w:rPr>
        <w:t>率分别</w:t>
      </w:r>
      <w:r>
        <w:rPr>
          <w:rFonts w:hint="eastAsia"/>
          <w:strike w:val="0"/>
          <w:highlight w:val="none"/>
        </w:rPr>
        <w:t>达到</w:t>
      </w:r>
      <w:r>
        <w:rPr>
          <w:rFonts w:hint="eastAsia"/>
          <w:strike w:val="0"/>
          <w:highlight w:val="none"/>
          <w:lang w:val="en-US" w:eastAsia="zh-CN"/>
        </w:rPr>
        <w:t>60</w:t>
      </w:r>
      <w:r>
        <w:rPr>
          <w:rFonts w:hint="eastAsia"/>
          <w:strike w:val="0"/>
          <w:highlight w:val="none"/>
        </w:rPr>
        <w:t>%</w:t>
      </w:r>
      <w:r>
        <w:rPr>
          <w:rFonts w:hint="eastAsia"/>
          <w:strike w:val="0"/>
          <w:highlight w:val="none"/>
          <w:lang w:val="en-US" w:eastAsia="zh-CN"/>
        </w:rPr>
        <w:t>和50%。</w:t>
      </w:r>
      <w:bookmarkStart w:id="154" w:name="_Toc14960"/>
      <w:bookmarkStart w:id="155" w:name="_Toc16033"/>
      <w:bookmarkStart w:id="156" w:name="_Toc920"/>
    </w:p>
    <w:p>
      <w:pPr>
        <w:pStyle w:val="6"/>
        <w:numPr>
          <w:ilvl w:val="0"/>
          <w:numId w:val="0"/>
        </w:numPr>
        <w:ind w:leftChars="20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三、加强农业科技社会化服务体系建设</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ascii="Times New Roman" w:hAnsi="Times New Roman" w:eastAsia="仿宋_GB2312" w:cs="Times New Roman"/>
          <w:b w:val="0"/>
          <w:smallCaps w:val="0"/>
          <w:kern w:val="2"/>
          <w:sz w:val="32"/>
          <w:szCs w:val="32"/>
          <w:highlight w:val="none"/>
          <w:lang w:val="en-US" w:eastAsia="zh-CN" w:bidi="ar-SA"/>
        </w:rPr>
      </w:pPr>
      <w:r>
        <w:rPr>
          <w:rFonts w:hint="eastAsia" w:ascii="Times New Roman" w:hAnsi="Times New Roman" w:eastAsia="仿宋_GB2312" w:cs="Times New Roman"/>
          <w:b w:val="0"/>
          <w:smallCaps w:val="0"/>
          <w:kern w:val="2"/>
          <w:sz w:val="32"/>
          <w:szCs w:val="32"/>
          <w:highlight w:val="none"/>
          <w:lang w:val="en-US" w:eastAsia="zh-CN" w:bidi="ar-SA"/>
        </w:rPr>
        <w:t>加强农技推广服务体系建设</w:t>
      </w:r>
      <w:r>
        <w:rPr>
          <w:rFonts w:hint="eastAsia" w:cs="Times New Roman"/>
          <w:b w:val="0"/>
          <w:smallCaps w:val="0"/>
          <w:kern w:val="2"/>
          <w:sz w:val="32"/>
          <w:szCs w:val="32"/>
          <w:highlight w:val="none"/>
          <w:lang w:val="en-US" w:eastAsia="zh-CN" w:bidi="ar-SA"/>
        </w:rPr>
        <w:t>。完善</w:t>
      </w:r>
      <w:r>
        <w:rPr>
          <w:rFonts w:hint="eastAsia" w:ascii="Times New Roman" w:hAnsi="Times New Roman" w:eastAsia="仿宋_GB2312" w:cs="Times New Roman"/>
          <w:b w:val="0"/>
          <w:smallCaps w:val="0"/>
          <w:kern w:val="2"/>
          <w:sz w:val="32"/>
          <w:szCs w:val="32"/>
          <w:highlight w:val="none"/>
          <w:lang w:val="en-US" w:eastAsia="zh-CN" w:bidi="ar-SA"/>
        </w:rPr>
        <w:t>农技推广服务政策，</w:t>
      </w:r>
      <w:r>
        <w:rPr>
          <w:rFonts w:hint="eastAsia" w:cs="Times New Roman"/>
          <w:b w:val="0"/>
          <w:smallCaps w:val="0"/>
          <w:kern w:val="2"/>
          <w:sz w:val="32"/>
          <w:szCs w:val="32"/>
          <w:highlight w:val="none"/>
          <w:lang w:val="en-US" w:eastAsia="zh-CN" w:bidi="ar-SA"/>
        </w:rPr>
        <w:t>针对</w:t>
      </w:r>
      <w:r>
        <w:rPr>
          <w:rFonts w:hint="eastAsia" w:ascii="Times New Roman" w:hAnsi="Times New Roman" w:eastAsia="仿宋_GB2312" w:cs="Times New Roman"/>
          <w:b w:val="0"/>
          <w:smallCaps w:val="0"/>
          <w:kern w:val="2"/>
          <w:sz w:val="32"/>
          <w:szCs w:val="32"/>
          <w:highlight w:val="none"/>
          <w:lang w:val="en-US" w:eastAsia="zh-CN" w:bidi="ar-SA"/>
        </w:rPr>
        <w:t>体系建设、经费保障、农技推广组织工作等</w:t>
      </w:r>
      <w:r>
        <w:rPr>
          <w:rFonts w:hint="eastAsia" w:cs="Times New Roman"/>
          <w:b w:val="0"/>
          <w:smallCaps w:val="0"/>
          <w:kern w:val="2"/>
          <w:sz w:val="32"/>
          <w:szCs w:val="32"/>
          <w:highlight w:val="none"/>
          <w:lang w:val="en-US" w:eastAsia="zh-CN" w:bidi="ar-SA"/>
        </w:rPr>
        <w:t>，出台相应</w:t>
      </w:r>
      <w:r>
        <w:rPr>
          <w:rFonts w:hint="eastAsia" w:ascii="Times New Roman" w:hAnsi="Times New Roman" w:eastAsia="仿宋_GB2312" w:cs="Times New Roman"/>
          <w:b w:val="0"/>
          <w:smallCaps w:val="0"/>
          <w:kern w:val="2"/>
          <w:sz w:val="32"/>
          <w:szCs w:val="32"/>
          <w:highlight w:val="none"/>
          <w:lang w:val="en-US" w:eastAsia="zh-CN" w:bidi="ar-SA"/>
        </w:rPr>
        <w:t>规定，为农技推广工作提供政策保障。探索建立乡镇农技推广机构“定向招生、定向培养、定向就业”</w:t>
      </w:r>
      <w:r>
        <w:rPr>
          <w:rFonts w:hint="eastAsia" w:cs="Times New Roman"/>
          <w:b w:val="0"/>
          <w:smallCaps w:val="0"/>
          <w:kern w:val="2"/>
          <w:sz w:val="32"/>
          <w:szCs w:val="32"/>
          <w:highlight w:val="none"/>
          <w:lang w:val="en-US" w:eastAsia="zh-CN" w:bidi="ar-SA"/>
        </w:rPr>
        <w:t>的</w:t>
      </w:r>
      <w:r>
        <w:rPr>
          <w:rFonts w:hint="eastAsia" w:ascii="Times New Roman" w:hAnsi="Times New Roman" w:eastAsia="仿宋_GB2312" w:cs="Times New Roman"/>
          <w:b w:val="0"/>
          <w:smallCaps w:val="0"/>
          <w:kern w:val="2"/>
          <w:sz w:val="32"/>
          <w:szCs w:val="32"/>
          <w:highlight w:val="none"/>
          <w:lang w:val="en-US" w:eastAsia="zh-CN" w:bidi="ar-SA"/>
        </w:rPr>
        <w:t>管理体制，建立农技推广机构、科研院所、市场化服务组织、</w:t>
      </w:r>
      <w:r>
        <w:rPr>
          <w:rFonts w:hint="eastAsia" w:cs="Times New Roman"/>
          <w:b w:val="0"/>
          <w:smallCaps w:val="0"/>
          <w:kern w:val="2"/>
          <w:sz w:val="32"/>
          <w:szCs w:val="32"/>
          <w:highlight w:val="none"/>
          <w:lang w:val="en-US" w:eastAsia="zh-CN" w:bidi="ar-SA"/>
        </w:rPr>
        <w:t>高素质</w:t>
      </w:r>
      <w:r>
        <w:rPr>
          <w:rFonts w:hint="eastAsia" w:ascii="Times New Roman" w:hAnsi="Times New Roman" w:eastAsia="仿宋_GB2312" w:cs="Times New Roman"/>
          <w:b w:val="0"/>
          <w:smallCaps w:val="0"/>
          <w:kern w:val="2"/>
          <w:sz w:val="32"/>
          <w:szCs w:val="32"/>
          <w:highlight w:val="none"/>
          <w:lang w:val="en-US" w:eastAsia="zh-CN" w:bidi="ar-SA"/>
        </w:rPr>
        <w:t>农民等广泛参与、分工协作的农技推广联盟</w:t>
      </w:r>
      <w:r>
        <w:rPr>
          <w:rFonts w:hint="eastAsia" w:cs="Times New Roman"/>
          <w:b w:val="0"/>
          <w:smallCaps w:val="0"/>
          <w:kern w:val="2"/>
          <w:sz w:val="32"/>
          <w:szCs w:val="32"/>
          <w:highlight w:val="none"/>
          <w:lang w:val="en-US" w:eastAsia="zh-CN" w:bidi="ar-SA"/>
        </w:rPr>
        <w:t>。</w:t>
      </w:r>
      <w:r>
        <w:rPr>
          <w:rFonts w:hint="eastAsia" w:ascii="Times New Roman" w:hAnsi="Times New Roman" w:eastAsia="仿宋_GB2312" w:cs="Times New Roman"/>
          <w:b w:val="0"/>
          <w:smallCaps w:val="0"/>
          <w:kern w:val="2"/>
          <w:sz w:val="32"/>
          <w:szCs w:val="32"/>
          <w:highlight w:val="none"/>
          <w:lang w:val="en-US" w:eastAsia="zh-CN" w:bidi="ar-SA"/>
        </w:rPr>
        <w:t>加强农技推广信息化建设，扩大农业重大技术协同推广计划试点，</w:t>
      </w:r>
      <w:r>
        <w:rPr>
          <w:rFonts w:hint="eastAsia" w:cs="Times New Roman"/>
          <w:b w:val="0"/>
          <w:smallCaps w:val="0"/>
          <w:kern w:val="2"/>
          <w:sz w:val="32"/>
          <w:szCs w:val="32"/>
          <w:highlight w:val="none"/>
          <w:lang w:val="en-US" w:eastAsia="zh-CN" w:bidi="ar-SA"/>
        </w:rPr>
        <w:t>建立</w:t>
      </w:r>
      <w:r>
        <w:rPr>
          <w:rFonts w:hint="eastAsia" w:ascii="Times New Roman" w:hAnsi="Times New Roman" w:eastAsia="仿宋_GB2312" w:cs="Times New Roman"/>
          <w:b w:val="0"/>
          <w:smallCaps w:val="0"/>
          <w:kern w:val="2"/>
          <w:sz w:val="32"/>
          <w:szCs w:val="32"/>
          <w:highlight w:val="none"/>
          <w:lang w:val="en-US" w:eastAsia="zh-CN" w:bidi="ar-SA"/>
        </w:rPr>
        <w:t>“农业科研试验基地+区域示范展示基地+基层农技推广站点+新型农业经营主体”的链条式技术推广服务模式。推动乡镇农技服务中心服务功能从技术推广向政策咨询、信息提供、生态环保等公共服务领域拓展。</w:t>
      </w:r>
      <w:r>
        <w:rPr>
          <w:rFonts w:hint="eastAsia" w:cs="Times New Roman"/>
          <w:b w:val="0"/>
          <w:smallCaps w:val="0"/>
          <w:kern w:val="2"/>
          <w:sz w:val="32"/>
          <w:szCs w:val="32"/>
          <w:highlight w:val="none"/>
          <w:lang w:val="en-US" w:eastAsia="zh-CN" w:bidi="ar-SA"/>
        </w:rPr>
        <w:t>到2025年，</w:t>
      </w:r>
      <w:r>
        <w:rPr>
          <w:rFonts w:hint="eastAsia" w:ascii="Times New Roman" w:hAnsi="Times New Roman" w:eastAsia="仿宋_GB2312" w:cs="Times New Roman"/>
          <w:b w:val="0"/>
          <w:smallCaps w:val="0"/>
          <w:kern w:val="2"/>
          <w:sz w:val="32"/>
          <w:szCs w:val="32"/>
          <w:highlight w:val="none"/>
          <w:lang w:val="en-US" w:eastAsia="zh-CN" w:bidi="ar-SA"/>
        </w:rPr>
        <w:t>培</w:t>
      </w:r>
      <w:r>
        <w:rPr>
          <w:rFonts w:hint="eastAsia" w:cs="Times New Roman"/>
          <w:b w:val="0"/>
          <w:smallCaps w:val="0"/>
          <w:kern w:val="2"/>
          <w:sz w:val="32"/>
          <w:szCs w:val="32"/>
          <w:highlight w:val="none"/>
          <w:lang w:val="en-US" w:eastAsia="zh-CN" w:bidi="ar-SA"/>
        </w:rPr>
        <w:t>训</w:t>
      </w:r>
      <w:r>
        <w:rPr>
          <w:rFonts w:hint="eastAsia" w:ascii="Times New Roman" w:hAnsi="Times New Roman" w:eastAsia="仿宋_GB2312" w:cs="Times New Roman"/>
          <w:b w:val="0"/>
          <w:smallCaps w:val="0"/>
          <w:kern w:val="2"/>
          <w:sz w:val="32"/>
          <w:szCs w:val="32"/>
          <w:highlight w:val="none"/>
          <w:lang w:val="en-US" w:eastAsia="zh-CN" w:bidi="ar-SA"/>
        </w:rPr>
        <w:t>基层农技人员</w:t>
      </w:r>
      <w:r>
        <w:rPr>
          <w:rFonts w:hint="eastAsia" w:cs="Times New Roman"/>
          <w:b w:val="0"/>
          <w:smallCaps w:val="0"/>
          <w:kern w:val="2"/>
          <w:sz w:val="32"/>
          <w:szCs w:val="32"/>
          <w:highlight w:val="none"/>
          <w:lang w:val="en-US" w:eastAsia="zh-CN" w:bidi="ar-SA"/>
        </w:rPr>
        <w:t>600</w:t>
      </w:r>
      <w:r>
        <w:rPr>
          <w:rFonts w:hint="eastAsia" w:ascii="Times New Roman" w:hAnsi="Times New Roman" w:eastAsia="仿宋_GB2312" w:cs="Times New Roman"/>
          <w:b w:val="0"/>
          <w:smallCaps w:val="0"/>
          <w:kern w:val="2"/>
          <w:sz w:val="32"/>
          <w:szCs w:val="32"/>
          <w:highlight w:val="none"/>
          <w:lang w:val="en-US" w:eastAsia="zh-CN" w:bidi="ar-SA"/>
        </w:rPr>
        <w:t>人</w:t>
      </w:r>
      <w:r>
        <w:rPr>
          <w:rFonts w:hint="eastAsia" w:cs="Times New Roman"/>
          <w:b w:val="0"/>
          <w:smallCaps w:val="0"/>
          <w:kern w:val="2"/>
          <w:sz w:val="32"/>
          <w:szCs w:val="32"/>
          <w:highlight w:val="none"/>
          <w:lang w:val="en-US" w:eastAsia="zh-CN" w:bidi="ar-SA"/>
        </w:rPr>
        <w:t>，</w:t>
      </w:r>
      <w:r>
        <w:rPr>
          <w:rFonts w:hint="eastAsia" w:ascii="Times New Roman" w:hAnsi="Times New Roman" w:eastAsia="仿宋_GB2312" w:cs="Times New Roman"/>
          <w:b w:val="0"/>
          <w:smallCaps w:val="0"/>
          <w:kern w:val="2"/>
          <w:sz w:val="32"/>
          <w:szCs w:val="32"/>
          <w:highlight w:val="none"/>
          <w:lang w:val="en-US" w:eastAsia="zh-CN" w:bidi="ar-SA"/>
        </w:rPr>
        <w:t>培育农业科技示范主体350户</w:t>
      </w:r>
      <w:r>
        <w:rPr>
          <w:rFonts w:hint="eastAsia" w:cs="Times New Roman"/>
          <w:b w:val="0"/>
          <w:smallCaps w:val="0"/>
          <w:kern w:val="2"/>
          <w:sz w:val="32"/>
          <w:szCs w:val="32"/>
          <w:highlight w:val="none"/>
          <w:lang w:val="en-US" w:eastAsia="zh-CN" w:bidi="ar-SA"/>
        </w:rPr>
        <w:t>，建设农业科技试验示范基地6个，</w:t>
      </w:r>
      <w:r>
        <w:rPr>
          <w:rFonts w:hint="eastAsia" w:ascii="Times New Roman" w:hAnsi="Times New Roman" w:eastAsia="仿宋_GB2312" w:cs="Times New Roman"/>
          <w:b w:val="0"/>
          <w:smallCaps w:val="0"/>
          <w:kern w:val="2"/>
          <w:sz w:val="32"/>
          <w:szCs w:val="32"/>
          <w:highlight w:val="none"/>
          <w:lang w:val="en-US" w:eastAsia="zh-CN" w:bidi="ar-SA"/>
        </w:rPr>
        <w:t>推广应用农业绿色高新技术模式</w:t>
      </w:r>
      <w:r>
        <w:rPr>
          <w:rFonts w:hint="eastAsia" w:cs="Times New Roman"/>
          <w:b w:val="0"/>
          <w:smallCaps w:val="0"/>
          <w:kern w:val="2"/>
          <w:sz w:val="32"/>
          <w:szCs w:val="32"/>
          <w:highlight w:val="none"/>
          <w:lang w:val="en-US" w:eastAsia="zh-CN" w:bidi="ar-SA"/>
        </w:rPr>
        <w:t>5</w:t>
      </w:r>
      <w:r>
        <w:rPr>
          <w:rFonts w:hint="eastAsia" w:ascii="Times New Roman" w:hAnsi="Times New Roman" w:eastAsia="仿宋_GB2312" w:cs="Times New Roman"/>
          <w:b w:val="0"/>
          <w:smallCaps w:val="0"/>
          <w:kern w:val="2"/>
          <w:sz w:val="32"/>
          <w:szCs w:val="32"/>
          <w:highlight w:val="none"/>
          <w:lang w:val="en-US" w:eastAsia="zh-CN" w:bidi="ar-SA"/>
        </w:rPr>
        <w:t>个，特聘</w:t>
      </w:r>
      <w:r>
        <w:rPr>
          <w:rFonts w:hint="eastAsia" w:cs="Times New Roman"/>
          <w:b w:val="0"/>
          <w:smallCaps w:val="0"/>
          <w:kern w:val="2"/>
          <w:sz w:val="32"/>
          <w:szCs w:val="32"/>
          <w:highlight w:val="none"/>
          <w:lang w:val="en-US" w:eastAsia="zh-CN" w:bidi="ar-SA"/>
        </w:rPr>
        <w:t>农技人员3</w:t>
      </w:r>
      <w:r>
        <w:rPr>
          <w:rFonts w:hint="eastAsia" w:ascii="Times New Roman" w:hAnsi="Times New Roman" w:eastAsia="仿宋_GB2312" w:cs="Times New Roman"/>
          <w:b w:val="0"/>
          <w:smallCaps w:val="0"/>
          <w:kern w:val="2"/>
          <w:sz w:val="32"/>
          <w:szCs w:val="32"/>
          <w:highlight w:val="none"/>
          <w:lang w:val="en-US" w:eastAsia="zh-CN" w:bidi="ar-SA"/>
        </w:rPr>
        <w:t>人，农业主推技术到位率95%以上。</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ascii="Times New Roman" w:hAnsi="Times New Roman" w:eastAsia="楷体" w:cs="Times New Roman"/>
          <w:b/>
          <w:bCs/>
          <w:color w:val="auto"/>
          <w:kern w:val="2"/>
          <w:sz w:val="32"/>
          <w:szCs w:val="40"/>
          <w:highlight w:val="none"/>
          <w:lang w:val="en-US" w:eastAsia="zh-CN" w:bidi="ar-SA"/>
        </w:rPr>
      </w:pPr>
      <w:r>
        <w:rPr>
          <w:rFonts w:hint="eastAsia" w:ascii="Times New Roman" w:hAnsi="Times New Roman" w:eastAsia="仿宋_GB2312" w:cs="Times New Roman"/>
          <w:b w:val="0"/>
          <w:smallCaps w:val="0"/>
          <w:kern w:val="2"/>
          <w:sz w:val="32"/>
          <w:szCs w:val="32"/>
          <w:highlight w:val="none"/>
          <w:lang w:val="en-US" w:eastAsia="zh-CN" w:bidi="ar-SA"/>
        </w:rPr>
        <w:t>鼓励发展“农资+”技术服务推广模式。引导支持华山水产、交投莱克等涉农企业开展农业科技服务，鼓励农业企业牵头组建各类产学研联合体，研发和承接转化先进、适用、绿色技术。</w:t>
      </w:r>
      <w:bookmarkEnd w:id="154"/>
      <w:bookmarkEnd w:id="155"/>
      <w:bookmarkStart w:id="157" w:name="_Toc12403"/>
      <w:bookmarkStart w:id="158" w:name="_Toc25169"/>
      <w:r>
        <w:rPr>
          <w:rFonts w:hint="eastAsia" w:ascii="Times New Roman" w:hAnsi="Times New Roman" w:eastAsia="仿宋_GB2312" w:cs="Times New Roman"/>
          <w:b w:val="0"/>
          <w:smallCaps w:val="0"/>
          <w:kern w:val="2"/>
          <w:sz w:val="32"/>
          <w:szCs w:val="32"/>
          <w:highlight w:val="none"/>
          <w:lang w:val="en-US" w:eastAsia="zh-CN" w:bidi="ar-SA"/>
        </w:rPr>
        <w:t>做大做强“两院两中心”</w:t>
      </w:r>
      <w:r>
        <w:rPr>
          <w:rStyle w:val="32"/>
          <w:rFonts w:hint="eastAsia" w:ascii="Times New Roman" w:hAnsi="Times New Roman" w:eastAsia="仿宋_GB2312" w:cs="Times New Roman"/>
          <w:b w:val="0"/>
          <w:smallCaps w:val="0"/>
          <w:kern w:val="2"/>
          <w:sz w:val="32"/>
          <w:szCs w:val="32"/>
          <w:highlight w:val="none"/>
          <w:lang w:val="en-US" w:eastAsia="zh-CN" w:bidi="ar-SA"/>
        </w:rPr>
        <w:footnoteReference w:id="9"/>
      </w:r>
      <w:r>
        <w:rPr>
          <w:rFonts w:hint="eastAsia" w:ascii="Times New Roman" w:hAnsi="Times New Roman" w:eastAsia="仿宋_GB2312" w:cs="Times New Roman"/>
          <w:b w:val="0"/>
          <w:smallCaps w:val="0"/>
          <w:kern w:val="2"/>
          <w:sz w:val="32"/>
          <w:szCs w:val="32"/>
          <w:highlight w:val="none"/>
          <w:lang w:val="en-US" w:eastAsia="zh-CN" w:bidi="ar-SA"/>
        </w:rPr>
        <w:t>和院士专家工作站，深化省农科院、华中农业大学等院校与我市战略合作，</w:t>
      </w:r>
      <w:r>
        <w:rPr>
          <w:rFonts w:hint="eastAsia" w:cs="Times New Roman"/>
          <w:b w:val="0"/>
          <w:smallCaps w:val="0"/>
          <w:kern w:val="2"/>
          <w:sz w:val="32"/>
          <w:szCs w:val="32"/>
          <w:highlight w:val="none"/>
          <w:lang w:val="en-US" w:eastAsia="zh-CN" w:bidi="ar-SA"/>
        </w:rPr>
        <w:t>深入开展</w:t>
      </w:r>
      <w:r>
        <w:rPr>
          <w:rFonts w:hint="eastAsia" w:ascii="Times New Roman" w:hAnsi="Times New Roman" w:eastAsia="仿宋_GB2312" w:cs="Times New Roman"/>
          <w:b w:val="0"/>
          <w:smallCaps w:val="0"/>
          <w:kern w:val="2"/>
          <w:sz w:val="32"/>
          <w:szCs w:val="32"/>
          <w:highlight w:val="none"/>
          <w:lang w:val="en-US" w:eastAsia="zh-CN" w:bidi="ar-SA"/>
        </w:rPr>
        <w:t>院士专家“515”行动</w:t>
      </w:r>
      <w:r>
        <w:rPr>
          <w:rStyle w:val="32"/>
          <w:rFonts w:hint="eastAsia" w:ascii="Times New Roman" w:hAnsi="Times New Roman" w:eastAsia="仿宋_GB2312" w:cs="Times New Roman"/>
          <w:b w:val="0"/>
          <w:smallCaps w:val="0"/>
          <w:kern w:val="2"/>
          <w:sz w:val="32"/>
          <w:szCs w:val="32"/>
          <w:highlight w:val="none"/>
          <w:lang w:val="en-US" w:eastAsia="zh-CN" w:bidi="ar-SA"/>
        </w:rPr>
        <w:footnoteReference w:id="10"/>
      </w:r>
      <w:r>
        <w:rPr>
          <w:rFonts w:hint="eastAsia" w:ascii="Times New Roman" w:hAnsi="Times New Roman" w:eastAsia="仿宋_GB2312" w:cs="Times New Roman"/>
          <w:b w:val="0"/>
          <w:smallCaps w:val="0"/>
          <w:kern w:val="2"/>
          <w:sz w:val="32"/>
          <w:szCs w:val="32"/>
          <w:highlight w:val="none"/>
          <w:lang w:val="en-US" w:eastAsia="zh-CN" w:bidi="ar-SA"/>
        </w:rPr>
        <w:t>，</w:t>
      </w:r>
      <w:r>
        <w:rPr>
          <w:rFonts w:hint="eastAsia" w:ascii="Times New Roman" w:hAnsi="Times New Roman" w:cs="Times New Roman"/>
          <w:b w:val="0"/>
          <w:smallCaps w:val="0"/>
          <w:kern w:val="2"/>
          <w:sz w:val="32"/>
          <w:szCs w:val="32"/>
          <w:highlight w:val="none"/>
          <w:lang w:val="en-US" w:eastAsia="zh-CN" w:bidi="ar-SA"/>
        </w:rPr>
        <w:t>大力推进骨干企业技术研发平台建设，创建</w:t>
      </w:r>
      <w:r>
        <w:rPr>
          <w:rFonts w:hint="eastAsia" w:cs="Times New Roman"/>
          <w:b w:val="0"/>
          <w:smallCaps w:val="0"/>
          <w:kern w:val="2"/>
          <w:sz w:val="32"/>
          <w:szCs w:val="32"/>
          <w:highlight w:val="none"/>
          <w:lang w:val="en-US" w:eastAsia="zh-CN" w:bidi="ar-SA"/>
        </w:rPr>
        <w:t>一批</w:t>
      </w:r>
      <w:r>
        <w:rPr>
          <w:rFonts w:hint="eastAsia" w:ascii="Times New Roman" w:hAnsi="Times New Roman" w:cs="Times New Roman"/>
          <w:b w:val="0"/>
          <w:smallCaps w:val="0"/>
          <w:kern w:val="2"/>
          <w:sz w:val="32"/>
          <w:szCs w:val="32"/>
          <w:highlight w:val="none"/>
          <w:lang w:val="en-US" w:eastAsia="zh-CN" w:bidi="ar-SA"/>
        </w:rPr>
        <w:t>企校联合创新中心</w:t>
      </w:r>
      <w:r>
        <w:rPr>
          <w:rFonts w:hint="eastAsia" w:cs="Times New Roman"/>
          <w:b w:val="0"/>
          <w:smallCaps w:val="0"/>
          <w:kern w:val="2"/>
          <w:sz w:val="32"/>
          <w:szCs w:val="32"/>
          <w:highlight w:val="none"/>
          <w:lang w:val="en-US" w:eastAsia="zh-CN" w:bidi="ar-SA"/>
        </w:rPr>
        <w:t>。支持湖北省小龙虾新产品创制及副产物高值化加工企校联合创新中心、湖北省大豆产业企校联合创新中心、湖北省潜半夏企校联合创新中心及湖北省虾－稻产业链企校联合创新中心建设发展</w:t>
      </w:r>
      <w:r>
        <w:rPr>
          <w:rFonts w:hint="eastAsia" w:ascii="Times New Roman" w:hAnsi="Times New Roman" w:cs="Times New Roman"/>
          <w:b w:val="0"/>
          <w:smallCaps w:val="0"/>
          <w:kern w:val="2"/>
          <w:sz w:val="32"/>
          <w:szCs w:val="32"/>
          <w:highlight w:val="none"/>
          <w:lang w:val="en-US" w:eastAsia="zh-CN" w:bidi="ar-SA"/>
        </w:rPr>
        <w:t>。加快重点特色产业关键技术研发，</w:t>
      </w:r>
      <w:r>
        <w:rPr>
          <w:rFonts w:hint="eastAsia" w:cs="Times New Roman"/>
          <w:b w:val="0"/>
          <w:smallCaps w:val="0"/>
          <w:kern w:val="2"/>
          <w:sz w:val="32"/>
          <w:szCs w:val="32"/>
          <w:highlight w:val="none"/>
          <w:lang w:val="en-US" w:eastAsia="zh-CN" w:bidi="ar-SA"/>
        </w:rPr>
        <w:t>高标准</w:t>
      </w:r>
      <w:r>
        <w:rPr>
          <w:rFonts w:hint="eastAsia" w:ascii="Times New Roman" w:hAnsi="Times New Roman" w:cs="Times New Roman"/>
          <w:b w:val="0"/>
          <w:smallCaps w:val="0"/>
          <w:kern w:val="2"/>
          <w:sz w:val="32"/>
          <w:szCs w:val="32"/>
          <w:highlight w:val="none"/>
          <w:lang w:val="en-US" w:eastAsia="zh-CN" w:bidi="ar-SA"/>
        </w:rPr>
        <w:t>推进湖北省小龙虾产业技术研究院、潜江市高蛋白大豆良种繁育科技创新示范基地建设</w:t>
      </w:r>
      <w:r>
        <w:rPr>
          <w:rFonts w:hint="eastAsia" w:cs="Times New Roman"/>
          <w:b w:val="0"/>
          <w:smallCaps w:val="0"/>
          <w:kern w:val="2"/>
          <w:sz w:val="32"/>
          <w:szCs w:val="32"/>
          <w:highlight w:val="none"/>
          <w:lang w:val="en-US" w:eastAsia="zh-CN" w:bidi="ar-SA"/>
        </w:rPr>
        <w:t>，</w:t>
      </w:r>
      <w:r>
        <w:rPr>
          <w:rFonts w:hint="eastAsia" w:ascii="Times New Roman" w:hAnsi="Times New Roman" w:eastAsia="仿宋_GB2312" w:cs="Times New Roman"/>
          <w:b w:val="0"/>
          <w:smallCaps w:val="0"/>
          <w:kern w:val="2"/>
          <w:sz w:val="32"/>
          <w:szCs w:val="32"/>
          <w:highlight w:val="none"/>
          <w:lang w:val="en-US" w:eastAsia="zh-CN" w:bidi="ar-SA"/>
        </w:rPr>
        <w:t>力争</w:t>
      </w:r>
      <w:r>
        <w:rPr>
          <w:rFonts w:hint="eastAsia" w:cs="Times New Roman"/>
          <w:b w:val="0"/>
          <w:smallCaps w:val="0"/>
          <w:kern w:val="2"/>
          <w:sz w:val="32"/>
          <w:szCs w:val="32"/>
          <w:highlight w:val="none"/>
          <w:lang w:val="en-US" w:eastAsia="zh-CN" w:bidi="ar-SA"/>
        </w:rPr>
        <w:t>在</w:t>
      </w:r>
      <w:r>
        <w:rPr>
          <w:rFonts w:hint="eastAsia" w:ascii="Times New Roman" w:hAnsi="Times New Roman" w:eastAsia="仿宋_GB2312" w:cs="Times New Roman"/>
          <w:b w:val="0"/>
          <w:smallCaps w:val="0"/>
          <w:kern w:val="2"/>
          <w:sz w:val="32"/>
          <w:szCs w:val="32"/>
          <w:highlight w:val="none"/>
          <w:lang w:val="en-US" w:eastAsia="zh-CN" w:bidi="ar-SA"/>
        </w:rPr>
        <w:t>小龙虾</w:t>
      </w:r>
      <w:r>
        <w:rPr>
          <w:rFonts w:hint="eastAsia" w:cs="Times New Roman"/>
          <w:b w:val="0"/>
          <w:smallCaps w:val="0"/>
          <w:kern w:val="2"/>
          <w:sz w:val="32"/>
          <w:szCs w:val="32"/>
          <w:highlight w:val="none"/>
          <w:lang w:val="en-US" w:eastAsia="zh-CN" w:bidi="ar-SA"/>
        </w:rPr>
        <w:t>的</w:t>
      </w:r>
      <w:r>
        <w:rPr>
          <w:rFonts w:hint="eastAsia" w:ascii="Times New Roman" w:hAnsi="Times New Roman" w:eastAsia="仿宋_GB2312" w:cs="Times New Roman"/>
          <w:b w:val="0"/>
          <w:smallCaps w:val="0"/>
          <w:kern w:val="2"/>
          <w:sz w:val="32"/>
          <w:szCs w:val="32"/>
          <w:highlight w:val="none"/>
          <w:lang w:val="en-US" w:eastAsia="zh-CN" w:bidi="ar-SA"/>
        </w:rPr>
        <w:t>良种选育</w:t>
      </w:r>
      <w:r>
        <w:rPr>
          <w:rFonts w:hint="eastAsia" w:cs="Times New Roman"/>
          <w:b w:val="0"/>
          <w:smallCaps w:val="0"/>
          <w:kern w:val="2"/>
          <w:sz w:val="32"/>
          <w:szCs w:val="32"/>
          <w:highlight w:val="none"/>
          <w:lang w:val="en-US" w:eastAsia="zh-CN" w:bidi="ar-SA"/>
        </w:rPr>
        <w:t>、</w:t>
      </w:r>
      <w:r>
        <w:rPr>
          <w:rFonts w:hint="eastAsia" w:ascii="Times New Roman" w:hAnsi="Times New Roman" w:eastAsia="仿宋_GB2312" w:cs="Times New Roman"/>
          <w:b w:val="0"/>
          <w:smallCaps w:val="0"/>
          <w:kern w:val="2"/>
          <w:sz w:val="32"/>
          <w:szCs w:val="32"/>
          <w:highlight w:val="none"/>
          <w:lang w:val="en-US" w:eastAsia="zh-CN" w:bidi="ar-SA"/>
        </w:rPr>
        <w:t>甲壳素壳聚糖应用</w:t>
      </w:r>
      <w:r>
        <w:rPr>
          <w:rFonts w:hint="eastAsia" w:cs="Times New Roman"/>
          <w:b w:val="0"/>
          <w:smallCaps w:val="0"/>
          <w:kern w:val="2"/>
          <w:sz w:val="32"/>
          <w:szCs w:val="32"/>
          <w:highlight w:val="none"/>
          <w:lang w:val="en-US" w:eastAsia="zh-CN" w:bidi="ar-SA"/>
        </w:rPr>
        <w:t>以及</w:t>
      </w:r>
      <w:r>
        <w:rPr>
          <w:rFonts w:hint="eastAsia" w:ascii="Times New Roman" w:hAnsi="Times New Roman" w:eastAsia="仿宋_GB2312" w:cs="Times New Roman"/>
          <w:b w:val="0"/>
          <w:smallCaps w:val="0"/>
          <w:kern w:val="2"/>
          <w:sz w:val="32"/>
          <w:szCs w:val="32"/>
          <w:highlight w:val="none"/>
          <w:lang w:val="en-US" w:eastAsia="zh-CN" w:bidi="ar-SA"/>
        </w:rPr>
        <w:t>高蛋白大豆新品种等领域实现突破性发展。推动重点特色产业申报</w:t>
      </w:r>
      <w:r>
        <w:rPr>
          <w:rFonts w:hint="eastAsia" w:cs="Times New Roman"/>
          <w:b w:val="0"/>
          <w:smallCaps w:val="0"/>
          <w:kern w:val="2"/>
          <w:sz w:val="32"/>
          <w:szCs w:val="32"/>
          <w:highlight w:val="none"/>
          <w:lang w:val="en-US" w:eastAsia="zh-CN" w:bidi="ar-SA"/>
        </w:rPr>
        <w:t>省级</w:t>
      </w:r>
      <w:r>
        <w:rPr>
          <w:rFonts w:hint="eastAsia" w:ascii="Times New Roman" w:hAnsi="Times New Roman" w:eastAsia="仿宋_GB2312" w:cs="Times New Roman"/>
          <w:b w:val="0"/>
          <w:smallCaps w:val="0"/>
          <w:kern w:val="2"/>
          <w:sz w:val="32"/>
          <w:szCs w:val="32"/>
          <w:highlight w:val="none"/>
          <w:lang w:val="en-US" w:eastAsia="zh-CN" w:bidi="ar-SA"/>
        </w:rPr>
        <w:t>乡村振兴科技创新示范基地。加大星创天地建设力度，提高星创天地的建设质量。</w:t>
      </w:r>
      <w:bookmarkEnd w:id="156"/>
      <w:bookmarkEnd w:id="157"/>
      <w:bookmarkEnd w:id="158"/>
      <w:bookmarkStart w:id="159" w:name="_Toc10003"/>
      <w:bookmarkStart w:id="160" w:name="_Toc70"/>
      <w:r>
        <w:rPr>
          <w:rFonts w:hint="eastAsia" w:ascii="Times New Roman" w:hAnsi="Times New Roman" w:eastAsia="仿宋_GB2312" w:cs="Times New Roman"/>
          <w:b w:val="0"/>
          <w:smallCaps w:val="0"/>
          <w:kern w:val="2"/>
          <w:sz w:val="32"/>
          <w:szCs w:val="32"/>
          <w:highlight w:val="none"/>
          <w:lang w:val="en-US" w:eastAsia="zh-CN" w:bidi="ar-SA"/>
        </w:rPr>
        <w:t>推行科技特派员制度</w:t>
      </w:r>
      <w:r>
        <w:rPr>
          <w:rFonts w:hint="eastAsia" w:ascii="Times New Roman" w:hAnsi="Times New Roman" w:cs="Times New Roman"/>
          <w:b w:val="0"/>
          <w:smallCaps w:val="0"/>
          <w:kern w:val="2"/>
          <w:sz w:val="32"/>
          <w:szCs w:val="32"/>
          <w:highlight w:val="none"/>
          <w:lang w:val="en-US" w:eastAsia="zh-CN" w:bidi="ar-SA"/>
        </w:rPr>
        <w:t>，“十四五”期间，每年</w:t>
      </w:r>
      <w:r>
        <w:rPr>
          <w:rFonts w:hint="eastAsia" w:ascii="Times New Roman" w:hAnsi="Times New Roman" w:eastAsia="仿宋_GB2312" w:cs="Times New Roman"/>
          <w:b w:val="0"/>
          <w:smallCaps w:val="0"/>
          <w:kern w:val="2"/>
          <w:sz w:val="32"/>
          <w:szCs w:val="32"/>
          <w:highlight w:val="none"/>
          <w:lang w:val="en-US" w:eastAsia="zh-CN" w:bidi="ar-SA"/>
        </w:rPr>
        <w:t>争取选派10名市级科技特派员服务重点农业</w:t>
      </w:r>
      <w:r>
        <w:rPr>
          <w:rFonts w:hint="eastAsia" w:ascii="Times New Roman" w:hAnsi="Times New Roman" w:cs="Times New Roman"/>
          <w:b w:val="0"/>
          <w:smallCaps w:val="0"/>
          <w:kern w:val="2"/>
          <w:sz w:val="32"/>
          <w:szCs w:val="32"/>
          <w:highlight w:val="none"/>
          <w:lang w:val="en-US" w:eastAsia="zh-CN" w:bidi="ar-SA"/>
        </w:rPr>
        <w:t>产业</w:t>
      </w:r>
      <w:r>
        <w:rPr>
          <w:rFonts w:hint="eastAsia" w:ascii="Times New Roman" w:hAnsi="Times New Roman" w:eastAsia="仿宋_GB2312" w:cs="Times New Roman"/>
          <w:b w:val="0"/>
          <w:smallCaps w:val="0"/>
          <w:kern w:val="2"/>
          <w:sz w:val="32"/>
          <w:szCs w:val="32"/>
          <w:highlight w:val="none"/>
          <w:lang w:val="en-US" w:eastAsia="zh-CN" w:bidi="ar-SA"/>
        </w:rPr>
        <w:t>。建设1个国家农业科学观测实验站，打造一批农业科技强镇。</w:t>
      </w:r>
      <w:bookmarkStart w:id="161" w:name="_Toc3235"/>
      <w:bookmarkStart w:id="162" w:name="_Toc638"/>
      <w:r>
        <w:rPr>
          <w:rFonts w:hint="eastAsia" w:ascii="Times New Roman" w:hAnsi="Times New Roman" w:eastAsia="仿宋_GB2312" w:cs="Times New Roman"/>
          <w:b w:val="0"/>
          <w:smallCaps w:val="0"/>
          <w:kern w:val="2"/>
          <w:sz w:val="32"/>
          <w:szCs w:val="32"/>
          <w:highlight w:val="none"/>
          <w:lang w:val="en-US" w:eastAsia="zh-CN" w:bidi="ar-SA"/>
        </w:rPr>
        <w:t>争创国家农业高新技术产业示范区</w:t>
      </w:r>
      <w:r>
        <w:rPr>
          <w:rFonts w:hint="eastAsia" w:cs="Times New Roman"/>
          <w:b w:val="0"/>
          <w:smallCaps w:val="0"/>
          <w:kern w:val="2"/>
          <w:sz w:val="32"/>
          <w:szCs w:val="32"/>
          <w:highlight w:val="none"/>
          <w:lang w:val="en-US" w:eastAsia="zh-CN" w:bidi="ar-SA"/>
        </w:rPr>
        <w:t>。</w:t>
      </w:r>
    </w:p>
    <w:bookmarkEnd w:id="159"/>
    <w:bookmarkEnd w:id="160"/>
    <w:bookmarkEnd w:id="161"/>
    <w:bookmarkEnd w:id="162"/>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60" w:lineRule="exact"/>
        <w:ind w:left="0" w:leftChars="0" w:firstLine="0" w:firstLineChars="0"/>
        <w:jc w:val="center"/>
        <w:textAlignment w:val="auto"/>
        <w:outlineLvl w:val="1"/>
        <w:rPr>
          <w:rFonts w:hint="default" w:ascii="楷体" w:hAnsi="楷体" w:eastAsia="楷体" w:cs="楷体"/>
          <w:b/>
          <w:bCs/>
          <w:smallCaps w:val="0"/>
          <w:sz w:val="32"/>
          <w:szCs w:val="32"/>
          <w:highlight w:val="none"/>
          <w:lang w:val="en-US" w:eastAsia="zh-CN"/>
        </w:rPr>
      </w:pPr>
      <w:bookmarkStart w:id="163" w:name="_Toc2296"/>
      <w:bookmarkStart w:id="164" w:name="_Toc1146"/>
      <w:bookmarkStart w:id="165" w:name="_Toc20179"/>
      <w:r>
        <w:rPr>
          <w:rFonts w:hint="eastAsia" w:ascii="楷体" w:hAnsi="楷体" w:eastAsia="楷体" w:cs="楷体"/>
          <w:b/>
          <w:bCs/>
          <w:smallCaps w:val="0"/>
          <w:sz w:val="32"/>
          <w:szCs w:val="32"/>
          <w:highlight w:val="none"/>
          <w:lang w:val="en-US" w:eastAsia="zh-CN"/>
        </w:rPr>
        <w:t xml:space="preserve">第五节 </w:t>
      </w:r>
      <w:r>
        <w:rPr>
          <w:rFonts w:hint="default" w:ascii="楷体" w:hAnsi="楷体" w:eastAsia="楷体" w:cs="楷体"/>
          <w:b/>
          <w:bCs/>
          <w:smallCaps w:val="0"/>
          <w:sz w:val="32"/>
          <w:szCs w:val="32"/>
          <w:highlight w:val="none"/>
          <w:lang w:val="en-US" w:eastAsia="zh-CN"/>
        </w:rPr>
        <w:t>加强农业综合执法</w:t>
      </w:r>
      <w:r>
        <w:rPr>
          <w:rFonts w:hint="eastAsia" w:ascii="楷体" w:hAnsi="楷体" w:eastAsia="楷体" w:cs="楷体"/>
          <w:b/>
          <w:bCs/>
          <w:smallCaps w:val="0"/>
          <w:sz w:val="32"/>
          <w:szCs w:val="32"/>
          <w:highlight w:val="none"/>
          <w:lang w:val="en-US" w:eastAsia="zh-CN"/>
        </w:rPr>
        <w:t>能力建设</w:t>
      </w:r>
      <w:bookmarkEnd w:id="163"/>
      <w:bookmarkEnd w:id="164"/>
      <w:bookmarkEnd w:id="165"/>
    </w:p>
    <w:p>
      <w:pPr>
        <w:jc w:val="both"/>
        <w:rPr>
          <w:rFonts w:hint="eastAsia"/>
          <w:highlight w:val="none"/>
          <w:lang w:val="en-US" w:eastAsia="zh-CN"/>
        </w:rPr>
      </w:pPr>
      <w:r>
        <w:rPr>
          <w:rFonts w:hint="eastAsia"/>
          <w:lang w:val="en-US" w:eastAsia="zh-CN"/>
        </w:rPr>
        <w:t>全面深化农业综合行政执法改革。细化、完善农业综合行政执法事项指导目录，全面落实 “三项制度”</w:t>
      </w:r>
      <w:r>
        <w:rPr>
          <w:rStyle w:val="32"/>
          <w:rFonts w:hint="eastAsia"/>
          <w:lang w:val="en-US" w:eastAsia="zh-CN"/>
        </w:rPr>
        <w:footnoteReference w:id="11"/>
      </w:r>
      <w:r>
        <w:rPr>
          <w:rFonts w:hint="eastAsia"/>
          <w:lang w:val="en-US" w:eastAsia="zh-CN"/>
        </w:rPr>
        <w:t>、自由裁量权办法，严格遵守农业行政处罚程序规定，完善执法监督机制。建立执法经费财政保障机制，加大执法资金投入，</w:t>
      </w:r>
      <w:r>
        <w:rPr>
          <w:rFonts w:hint="eastAsia"/>
          <w:highlight w:val="none"/>
          <w:lang w:val="en-US" w:eastAsia="zh-CN"/>
        </w:rPr>
        <w:t>加强执法装备建设。加强农机安全生产监督管理。强化农机驾考管理，完善驾考平台建设。全面开展变型拖拉机专项整治工作。加快配置移动式农机检测设备，严抓农机年检审验工作。加强渔政执法建设。</w:t>
      </w:r>
      <w:r>
        <w:rPr>
          <w:rFonts w:hint="eastAsia"/>
          <w:lang w:val="en-US" w:eastAsia="zh-CN"/>
        </w:rPr>
        <w:t>全面落实汉江潜江段“十年禁渔”目标任务，深入开展禁捕退捕工作。</w:t>
      </w:r>
      <w:r>
        <w:rPr>
          <w:rFonts w:hint="eastAsia"/>
          <w:highlight w:val="none"/>
          <w:lang w:val="en-US" w:eastAsia="zh-CN"/>
        </w:rPr>
        <w:t>推进汉江潜江段全流域高清监控系统和渔政码头建设。推进潜江、天门、沙洋三地联合执法体制建设。加快组建专职护渔队伍。扎实推进畜牧兽医综合执法，严格落实“两项制度”</w:t>
      </w:r>
      <w:r>
        <w:rPr>
          <w:rStyle w:val="32"/>
          <w:rFonts w:hint="eastAsia"/>
          <w:highlight w:val="none"/>
          <w:lang w:val="en-US" w:eastAsia="zh-CN"/>
        </w:rPr>
        <w:footnoteReference w:id="12"/>
      </w:r>
      <w:r>
        <w:rPr>
          <w:rFonts w:hint="eastAsia"/>
          <w:highlight w:val="none"/>
          <w:lang w:val="en-US" w:eastAsia="zh-CN"/>
        </w:rPr>
        <w:t>和“两章两证”</w:t>
      </w:r>
      <w:r>
        <w:rPr>
          <w:rStyle w:val="32"/>
          <w:rFonts w:hint="eastAsia"/>
          <w:highlight w:val="none"/>
          <w:lang w:val="en-US" w:eastAsia="zh-CN"/>
        </w:rPr>
        <w:footnoteReference w:id="13"/>
      </w:r>
      <w:r>
        <w:rPr>
          <w:rFonts w:hint="eastAsia"/>
          <w:highlight w:val="none"/>
          <w:lang w:val="en-US" w:eastAsia="zh-CN"/>
        </w:rPr>
        <w:t>制度。加强饲料、农药、渔药及种子等农资监管，重点推进潜江龙虾养殖投入品专项整治行动，严厉打击非药品药品化、滥用抗生素等行为，构建潜江龙虾养殖投入品监管长效机制。加强农作物种子、水产种苗质量监管，保障农业生产用种安全。强化农产品质量监督抽检。严厉打击非法捕杀、经营野生动物行为。加大农业生态环保执法力度，推进农药包装废弃物回收，探索回收处理新模式。</w:t>
      </w:r>
    </w:p>
    <w:p>
      <w:pPr>
        <w:pStyle w:val="23"/>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cs="Times New Roman"/>
          <w:lang w:val="en-US" w:eastAsia="zh-CN"/>
        </w:rPr>
      </w:pPr>
      <w:r>
        <w:rPr>
          <w:rFonts w:hint="eastAsia" w:ascii="Times New Roman" w:hAnsi="Times New Roman" w:eastAsia="仿宋_GB2312" w:cs="Times New Roman"/>
          <w:kern w:val="2"/>
          <w:sz w:val="32"/>
          <w:szCs w:val="24"/>
          <w:highlight w:val="none"/>
          <w:lang w:val="en-US" w:eastAsia="zh-CN" w:bidi="ar-SA"/>
        </w:rPr>
        <w:t>加强执法队伍建设。制定执法人员培训规划和年度培训计划，组织开展执法技能竞赛</w:t>
      </w:r>
      <w:r>
        <w:rPr>
          <w:rFonts w:hint="eastAsia" w:eastAsia="仿宋_GB2312" w:cs="Times New Roman"/>
          <w:kern w:val="2"/>
          <w:sz w:val="32"/>
          <w:szCs w:val="24"/>
          <w:highlight w:val="none"/>
          <w:lang w:val="en-US" w:eastAsia="zh-CN" w:bidi="ar-SA"/>
        </w:rPr>
        <w:t>和</w:t>
      </w:r>
      <w:r>
        <w:rPr>
          <w:rFonts w:hint="eastAsia" w:ascii="Times New Roman" w:hAnsi="Times New Roman" w:eastAsia="仿宋_GB2312" w:cs="Times New Roman"/>
          <w:kern w:val="2"/>
          <w:sz w:val="32"/>
          <w:szCs w:val="24"/>
          <w:highlight w:val="none"/>
          <w:lang w:val="en-US" w:eastAsia="zh-CN" w:bidi="ar-SA"/>
        </w:rPr>
        <w:t>“执法标兵”评选等活动，争创全国农业综合行政执法示范窗口和示范单位。推进农业综合执法信息化建设，力争到2025年，农业执法的智慧管理系统应用比例达到95%。</w:t>
      </w:r>
    </w:p>
    <w:p>
      <w:pPr>
        <w:pStyle w:val="4"/>
        <w:ind w:left="0" w:leftChars="0" w:firstLine="0" w:firstLineChars="0"/>
        <w:jc w:val="center"/>
        <w:outlineLvl w:val="9"/>
        <w:rPr>
          <w:rFonts w:hint="eastAsia" w:ascii="Times New Roman" w:hAnsi="Times New Roman" w:cs="Times New Roman"/>
          <w:lang w:val="en-US" w:eastAsia="zh-CN"/>
        </w:rPr>
      </w:pPr>
    </w:p>
    <w:p>
      <w:pPr>
        <w:rPr>
          <w:rFonts w:hint="eastAsia" w:ascii="Times New Roman" w:hAnsi="Times New Roman" w:cs="Times New Roman"/>
          <w:lang w:val="en-US" w:eastAsia="zh-CN"/>
        </w:rPr>
      </w:pPr>
      <w:bookmarkStart w:id="166" w:name="_Toc26744"/>
      <w:r>
        <w:rPr>
          <w:rFonts w:hint="eastAsia" w:ascii="Times New Roman" w:hAnsi="Times New Roman" w:cs="Times New Roman"/>
          <w:lang w:val="en-US" w:eastAsia="zh-CN"/>
        </w:rPr>
        <w:br w:type="page"/>
      </w:r>
    </w:p>
    <w:p>
      <w:pPr>
        <w:pStyle w:val="4"/>
        <w:keepNext/>
        <w:keepLines/>
        <w:pageBreakBefore w:val="0"/>
        <w:widowControl w:val="0"/>
        <w:kinsoku/>
        <w:wordWrap/>
        <w:overflowPunct/>
        <w:topLinePunct w:val="0"/>
        <w:autoSpaceDE/>
        <w:autoSpaceDN/>
        <w:bidi w:val="0"/>
        <w:adjustRightInd/>
        <w:snapToGrid/>
        <w:spacing w:before="0" w:after="220" w:afterLines="50" w:line="600" w:lineRule="exact"/>
        <w:ind w:left="0" w:leftChars="0" w:firstLine="0" w:firstLineChars="0"/>
        <w:jc w:val="center"/>
        <w:textAlignment w:val="auto"/>
        <w:rPr>
          <w:rFonts w:hint="eastAsia" w:ascii="仿宋_GB2312" w:hAnsi="仿宋" w:eastAsia="仿宋_GB2312" w:cs="仿宋"/>
          <w:color w:val="auto"/>
          <w:kern w:val="2"/>
          <w:sz w:val="32"/>
          <w:szCs w:val="32"/>
          <w:lang w:val="en-US" w:eastAsia="zh-CN" w:bidi="ar-SA"/>
        </w:rPr>
      </w:pPr>
      <w:bookmarkStart w:id="167" w:name="_Toc22607"/>
      <w:r>
        <w:rPr>
          <w:rFonts w:hint="eastAsia" w:ascii="Times New Roman" w:hAnsi="Times New Roman" w:cs="Times New Roman"/>
          <w:lang w:val="en-US" w:eastAsia="zh-CN"/>
        </w:rPr>
        <w:t>第</w:t>
      </w:r>
      <w:r>
        <w:rPr>
          <w:rFonts w:hint="eastAsia" w:cs="Times New Roman"/>
          <w:lang w:val="en-US" w:eastAsia="zh-CN"/>
        </w:rPr>
        <w:t>六</w:t>
      </w:r>
      <w:r>
        <w:rPr>
          <w:rFonts w:hint="eastAsia" w:ascii="Times New Roman" w:hAnsi="Times New Roman" w:cs="Times New Roman"/>
          <w:lang w:val="en-US" w:eastAsia="zh-CN"/>
        </w:rPr>
        <w:t>章 全面实施乡村建设行动，加快推进农村现代化</w:t>
      </w:r>
      <w:bookmarkEnd w:id="126"/>
      <w:bookmarkEnd w:id="166"/>
      <w:bookmarkEnd w:id="167"/>
    </w:p>
    <w:p>
      <w:pPr>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left="0" w:leftChars="0" w:firstLine="640" w:firstLineChars="200"/>
        <w:textAlignment w:val="auto"/>
        <w:rPr>
          <w:rFonts w:hint="eastAsia"/>
          <w:lang w:val="en-US" w:eastAsia="zh-CN"/>
        </w:rPr>
      </w:pPr>
      <w:r>
        <w:rPr>
          <w:rFonts w:hint="eastAsia" w:ascii="仿宋_GB2312" w:hAnsi="仿宋" w:cs="仿宋"/>
          <w:color w:val="auto"/>
          <w:kern w:val="2"/>
          <w:sz w:val="32"/>
          <w:szCs w:val="32"/>
          <w:highlight w:val="none"/>
          <w:lang w:val="en-US" w:eastAsia="zh-CN" w:bidi="ar-SA"/>
        </w:rPr>
        <w:t>以建设美丽县城、美丽城镇和美丽乡村为目标，以推进全域土地综合整治为抓手，统筹城乡融合发展空间，科学有序引导村庄建设发展。推动乡村</w:t>
      </w:r>
      <w:r>
        <w:rPr>
          <w:rFonts w:hint="eastAsia" w:ascii="仿宋_GB2312" w:hAnsi="仿宋" w:eastAsia="仿宋_GB2312" w:cs="仿宋"/>
          <w:color w:val="auto"/>
          <w:kern w:val="2"/>
          <w:sz w:val="32"/>
          <w:szCs w:val="32"/>
          <w:highlight w:val="none"/>
          <w:lang w:val="en-US" w:eastAsia="zh-CN" w:bidi="ar-SA"/>
        </w:rPr>
        <w:t>公共基础设施建设</w:t>
      </w:r>
      <w:r>
        <w:rPr>
          <w:rFonts w:hint="eastAsia" w:ascii="仿宋_GB2312" w:hAnsi="仿宋" w:cs="仿宋"/>
          <w:color w:val="auto"/>
          <w:kern w:val="2"/>
          <w:sz w:val="32"/>
          <w:szCs w:val="32"/>
          <w:highlight w:val="none"/>
          <w:lang w:val="en-US" w:eastAsia="zh-CN" w:bidi="ar-SA"/>
        </w:rPr>
        <w:t>和</w:t>
      </w:r>
      <w:r>
        <w:rPr>
          <w:rFonts w:hint="eastAsia" w:ascii="仿宋_GB2312" w:hAnsi="仿宋" w:eastAsia="仿宋_GB2312" w:cs="仿宋"/>
          <w:color w:val="auto"/>
          <w:kern w:val="2"/>
          <w:sz w:val="32"/>
          <w:szCs w:val="32"/>
          <w:highlight w:val="none"/>
          <w:lang w:val="en-US" w:eastAsia="zh-CN" w:bidi="ar-SA"/>
        </w:rPr>
        <w:t>城乡基本公共服务均等化，</w:t>
      </w:r>
      <w:r>
        <w:rPr>
          <w:rFonts w:hint="eastAsia" w:ascii="仿宋_GB2312" w:hAnsi="仿宋" w:cs="仿宋"/>
          <w:color w:val="auto"/>
          <w:kern w:val="2"/>
          <w:sz w:val="32"/>
          <w:szCs w:val="32"/>
          <w:highlight w:val="none"/>
          <w:lang w:val="en-US" w:eastAsia="zh-CN" w:bidi="ar-SA"/>
        </w:rPr>
        <w:t>提升乡村治理现代化水平，</w:t>
      </w:r>
      <w:r>
        <w:rPr>
          <w:rFonts w:hint="eastAsia" w:ascii="仿宋_GB2312" w:hAnsi="仿宋" w:eastAsia="仿宋_GB2312" w:cs="仿宋"/>
          <w:color w:val="auto"/>
          <w:kern w:val="2"/>
          <w:sz w:val="32"/>
          <w:szCs w:val="32"/>
          <w:highlight w:val="none"/>
          <w:lang w:val="en-US" w:eastAsia="zh-CN" w:bidi="ar-SA"/>
        </w:rPr>
        <w:t>打造环境美、生活美、身心美、宜居、宜业、宜游、宜养的美丽</w:t>
      </w:r>
      <w:r>
        <w:rPr>
          <w:rFonts w:hint="eastAsia" w:ascii="仿宋_GB2312" w:hAnsi="仿宋" w:cs="仿宋"/>
          <w:color w:val="auto"/>
          <w:kern w:val="2"/>
          <w:sz w:val="32"/>
          <w:szCs w:val="32"/>
          <w:highlight w:val="none"/>
          <w:lang w:val="en-US" w:eastAsia="zh-CN" w:bidi="ar-SA"/>
        </w:rPr>
        <w:t>宜居</w:t>
      </w:r>
      <w:r>
        <w:rPr>
          <w:rFonts w:hint="eastAsia" w:ascii="仿宋_GB2312" w:hAnsi="仿宋" w:eastAsia="仿宋_GB2312" w:cs="仿宋"/>
          <w:color w:val="auto"/>
          <w:kern w:val="2"/>
          <w:sz w:val="32"/>
          <w:szCs w:val="32"/>
          <w:highlight w:val="none"/>
          <w:lang w:val="en-US" w:eastAsia="zh-CN" w:bidi="ar-SA"/>
        </w:rPr>
        <w:t>乡村</w:t>
      </w:r>
      <w:r>
        <w:rPr>
          <w:rFonts w:hint="eastAsia" w:ascii="仿宋_GB2312" w:hAnsi="仿宋" w:cs="仿宋"/>
          <w:color w:val="auto"/>
          <w:kern w:val="2"/>
          <w:sz w:val="32"/>
          <w:szCs w:val="32"/>
          <w:highlight w:val="none"/>
          <w:lang w:val="en-US" w:eastAsia="zh-CN" w:bidi="ar-SA"/>
        </w:rPr>
        <w:t>，推进潜江农村现代化发展。</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600" w:lineRule="exact"/>
        <w:ind w:leftChars="0"/>
        <w:jc w:val="center"/>
        <w:textAlignment w:val="auto"/>
        <w:outlineLvl w:val="1"/>
        <w:rPr>
          <w:rFonts w:hint="eastAsia" w:ascii="楷体" w:hAnsi="楷体" w:eastAsia="楷体" w:cs="楷体"/>
          <w:b/>
          <w:bCs/>
          <w:smallCaps w:val="0"/>
          <w:sz w:val="32"/>
          <w:szCs w:val="32"/>
          <w:lang w:val="en-US" w:eastAsia="zh-CN"/>
        </w:rPr>
      </w:pPr>
      <w:bookmarkStart w:id="168" w:name="_Toc16886"/>
      <w:bookmarkStart w:id="169" w:name="_Toc10081"/>
      <w:bookmarkStart w:id="170" w:name="_Toc5074"/>
      <w:r>
        <w:rPr>
          <w:rFonts w:hint="eastAsia" w:ascii="楷体" w:hAnsi="楷体" w:eastAsia="楷体" w:cs="楷体"/>
          <w:b/>
          <w:bCs/>
          <w:smallCaps w:val="0"/>
          <w:sz w:val="32"/>
          <w:szCs w:val="32"/>
          <w:lang w:val="en-US" w:eastAsia="zh-CN"/>
        </w:rPr>
        <w:t>第一节 科学有序引导村庄建设发展</w:t>
      </w:r>
      <w:bookmarkEnd w:id="168"/>
      <w:bookmarkEnd w:id="169"/>
      <w:bookmarkEnd w:id="170"/>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600" w:lineRule="exact"/>
        <w:ind w:leftChars="0" w:firstLine="640" w:firstLineChars="200"/>
        <w:jc w:val="both"/>
        <w:textAlignment w:val="auto"/>
        <w:outlineLvl w:val="9"/>
        <w:rPr>
          <w:rFonts w:hint="eastAsia" w:ascii="楷体" w:hAnsi="楷体" w:eastAsia="楷体" w:cs="楷体"/>
          <w:b/>
          <w:bCs/>
          <w:smallCaps w:val="0"/>
          <w:sz w:val="32"/>
          <w:szCs w:val="32"/>
          <w:lang w:val="en-US" w:eastAsia="zh-CN"/>
        </w:rPr>
      </w:pPr>
      <w:r>
        <w:rPr>
          <w:rFonts w:hint="eastAsia" w:ascii="仿宋_GB2312" w:hAnsi="仿宋" w:cs="仿宋"/>
          <w:b w:val="0"/>
          <w:color w:val="auto"/>
          <w:kern w:val="2"/>
          <w:sz w:val="32"/>
          <w:szCs w:val="32"/>
          <w:highlight w:val="none"/>
          <w:lang w:val="en-US" w:eastAsia="zh-CN" w:bidi="ar-SA"/>
        </w:rPr>
        <w:t>坚持规划引领、多规合一。以</w:t>
      </w:r>
      <w:r>
        <w:rPr>
          <w:rFonts w:hint="eastAsia" w:ascii="仿宋_GB2312" w:hAnsi="仿宋" w:eastAsia="仿宋_GB2312" w:cs="仿宋"/>
          <w:b w:val="0"/>
          <w:color w:val="auto"/>
          <w:kern w:val="2"/>
          <w:sz w:val="32"/>
          <w:szCs w:val="32"/>
          <w:highlight w:val="none"/>
          <w:lang w:val="en-US" w:eastAsia="zh-CN" w:bidi="ar-SA"/>
        </w:rPr>
        <w:t>《潜江市全域村庄布局规划（</w:t>
      </w:r>
      <w:r>
        <w:rPr>
          <w:rFonts w:hint="default" w:ascii="Times New Roman" w:hAnsi="Times New Roman" w:eastAsia="仿宋_GB2312" w:cs="Times New Roman"/>
          <w:b w:val="0"/>
          <w:color w:val="auto"/>
          <w:kern w:val="2"/>
          <w:sz w:val="32"/>
          <w:szCs w:val="32"/>
          <w:highlight w:val="none"/>
          <w:lang w:val="en-US" w:eastAsia="zh-CN" w:bidi="ar-SA"/>
        </w:rPr>
        <w:t>2020-2035</w:t>
      </w:r>
      <w:r>
        <w:rPr>
          <w:rFonts w:hint="eastAsia" w:ascii="仿宋_GB2312" w:hAnsi="仿宋" w:eastAsia="仿宋_GB2312" w:cs="仿宋"/>
          <w:b w:val="0"/>
          <w:color w:val="auto"/>
          <w:kern w:val="2"/>
          <w:sz w:val="32"/>
          <w:szCs w:val="32"/>
          <w:highlight w:val="none"/>
          <w:lang w:val="en-US" w:eastAsia="zh-CN" w:bidi="ar-SA"/>
        </w:rPr>
        <w:t>年）》</w:t>
      </w:r>
      <w:r>
        <w:rPr>
          <w:rFonts w:hint="eastAsia" w:ascii="仿宋_GB2312" w:hAnsi="仿宋" w:cs="仿宋"/>
          <w:b w:val="0"/>
          <w:color w:val="auto"/>
          <w:kern w:val="2"/>
          <w:sz w:val="32"/>
          <w:szCs w:val="32"/>
          <w:highlight w:val="none"/>
          <w:lang w:val="en-US" w:eastAsia="zh-CN" w:bidi="ar-SA"/>
        </w:rPr>
        <w:t>为上位规划</w:t>
      </w:r>
      <w:r>
        <w:rPr>
          <w:rFonts w:hint="eastAsia" w:ascii="Times New Roman" w:hAnsi="Times New Roman" w:cs="Times New Roman"/>
          <w:b w:val="0"/>
          <w:color w:val="auto"/>
          <w:kern w:val="2"/>
          <w:sz w:val="32"/>
          <w:szCs w:val="32"/>
          <w:highlight w:val="none"/>
          <w:lang w:val="en-US" w:eastAsia="zh-CN" w:bidi="ar-SA"/>
        </w:rPr>
        <w:t>，立足现有基础，保留乡村特色，不搞大拆大建。</w:t>
      </w:r>
      <w:r>
        <w:rPr>
          <w:rFonts w:hint="eastAsia" w:ascii="仿宋_GB2312" w:hAnsi="仿宋" w:eastAsia="仿宋_GB2312" w:cs="仿宋"/>
          <w:b w:val="0"/>
          <w:color w:val="auto"/>
          <w:kern w:val="2"/>
          <w:sz w:val="32"/>
          <w:szCs w:val="32"/>
          <w:highlight w:val="none"/>
          <w:lang w:val="en-US" w:eastAsia="zh-CN" w:bidi="ar-SA"/>
        </w:rPr>
        <w:t>充分运用</w:t>
      </w:r>
      <w:r>
        <w:rPr>
          <w:rFonts w:hint="eastAsia" w:ascii="仿宋_GB2312" w:hAnsi="仿宋" w:cs="仿宋"/>
          <w:b w:val="0"/>
          <w:color w:val="auto"/>
          <w:kern w:val="2"/>
          <w:sz w:val="32"/>
          <w:szCs w:val="32"/>
          <w:highlight w:val="none"/>
          <w:lang w:val="en-US" w:eastAsia="zh-CN" w:bidi="ar-SA"/>
        </w:rPr>
        <w:t>全域村庄布局</w:t>
      </w:r>
      <w:r>
        <w:rPr>
          <w:rFonts w:hint="eastAsia" w:ascii="仿宋_GB2312" w:hAnsi="仿宋" w:eastAsia="仿宋_GB2312" w:cs="仿宋"/>
          <w:b w:val="0"/>
          <w:color w:val="auto"/>
          <w:kern w:val="2"/>
          <w:sz w:val="32"/>
          <w:szCs w:val="32"/>
          <w:highlight w:val="none"/>
          <w:lang w:val="en-US" w:eastAsia="zh-CN" w:bidi="ar-SA"/>
        </w:rPr>
        <w:t>规划</w:t>
      </w:r>
      <w:r>
        <w:rPr>
          <w:rFonts w:hint="eastAsia" w:ascii="仿宋_GB2312" w:hAnsi="仿宋" w:cs="仿宋"/>
          <w:b w:val="0"/>
          <w:color w:val="auto"/>
          <w:kern w:val="2"/>
          <w:sz w:val="32"/>
          <w:szCs w:val="32"/>
          <w:highlight w:val="none"/>
          <w:lang w:val="en-US" w:eastAsia="zh-CN" w:bidi="ar-SA"/>
        </w:rPr>
        <w:t>的</w:t>
      </w:r>
      <w:r>
        <w:rPr>
          <w:rFonts w:hint="eastAsia" w:ascii="仿宋_GB2312" w:hAnsi="仿宋" w:eastAsia="仿宋_GB2312" w:cs="仿宋"/>
          <w:b w:val="0"/>
          <w:color w:val="auto"/>
          <w:kern w:val="2"/>
          <w:sz w:val="32"/>
          <w:szCs w:val="32"/>
          <w:highlight w:val="none"/>
          <w:lang w:val="en-US" w:eastAsia="zh-CN" w:bidi="ar-SA"/>
        </w:rPr>
        <w:t>编制成果，统筹</w:t>
      </w:r>
      <w:r>
        <w:rPr>
          <w:rFonts w:hint="default" w:ascii="Times New Roman" w:hAnsi="Times New Roman" w:cs="Times New Roman"/>
          <w:b w:val="0"/>
          <w:color w:val="auto"/>
          <w:kern w:val="2"/>
          <w:sz w:val="32"/>
          <w:szCs w:val="32"/>
          <w:highlight w:val="none"/>
          <w:lang w:val="en-US" w:eastAsia="zh-CN" w:bidi="ar-SA"/>
        </w:rPr>
        <w:t>23个</w:t>
      </w:r>
      <w:r>
        <w:rPr>
          <w:rFonts w:hint="default" w:ascii="Times New Roman" w:hAnsi="Times New Roman" w:eastAsia="仿宋_GB2312" w:cs="Times New Roman"/>
          <w:b w:val="0"/>
          <w:color w:val="auto"/>
          <w:kern w:val="2"/>
          <w:sz w:val="32"/>
          <w:szCs w:val="32"/>
          <w:highlight w:val="none"/>
          <w:lang w:val="en-US" w:eastAsia="zh-CN" w:bidi="ar-SA"/>
        </w:rPr>
        <w:t>镇</w:t>
      </w:r>
      <w:r>
        <w:rPr>
          <w:rFonts w:hint="default" w:ascii="Times New Roman" w:hAnsi="Times New Roman" w:cs="Times New Roman"/>
          <w:b w:val="0"/>
          <w:color w:val="auto"/>
          <w:kern w:val="2"/>
          <w:sz w:val="32"/>
          <w:szCs w:val="32"/>
          <w:highlight w:val="none"/>
          <w:lang w:val="en-US" w:eastAsia="zh-CN" w:bidi="ar-SA"/>
        </w:rPr>
        <w:t>处</w:t>
      </w:r>
      <w:r>
        <w:rPr>
          <w:rFonts w:hint="eastAsia" w:ascii="Times New Roman" w:hAnsi="Times New Roman" w:cs="Times New Roman"/>
          <w:b w:val="0"/>
          <w:color w:val="auto"/>
          <w:kern w:val="2"/>
          <w:sz w:val="32"/>
          <w:szCs w:val="32"/>
          <w:highlight w:val="none"/>
          <w:lang w:val="en-US" w:eastAsia="zh-CN" w:bidi="ar-SA"/>
        </w:rPr>
        <w:t>街道</w:t>
      </w:r>
      <w:r>
        <w:rPr>
          <w:rFonts w:hint="default" w:ascii="Times New Roman" w:hAnsi="Times New Roman" w:eastAsia="仿宋_GB2312" w:cs="Times New Roman"/>
          <w:b w:val="0"/>
          <w:color w:val="auto"/>
          <w:kern w:val="2"/>
          <w:sz w:val="32"/>
          <w:szCs w:val="32"/>
          <w:highlight w:val="none"/>
          <w:lang w:val="en-US" w:eastAsia="zh-CN" w:bidi="ar-SA"/>
        </w:rPr>
        <w:t>和</w:t>
      </w:r>
      <w:r>
        <w:rPr>
          <w:rFonts w:hint="eastAsia" w:ascii="Times New Roman" w:hAnsi="Times New Roman" w:cs="Times New Roman"/>
          <w:b w:val="0"/>
          <w:color w:val="auto"/>
          <w:kern w:val="2"/>
          <w:sz w:val="32"/>
          <w:szCs w:val="32"/>
          <w:highlight w:val="none"/>
          <w:lang w:val="en-US" w:eastAsia="zh-CN" w:bidi="ar-SA"/>
        </w:rPr>
        <w:t>404</w:t>
      </w:r>
      <w:r>
        <w:rPr>
          <w:rFonts w:hint="default" w:ascii="Times New Roman" w:hAnsi="Times New Roman" w:cs="Times New Roman"/>
          <w:b w:val="0"/>
          <w:color w:val="auto"/>
          <w:kern w:val="2"/>
          <w:sz w:val="32"/>
          <w:szCs w:val="32"/>
          <w:highlight w:val="none"/>
          <w:lang w:val="en-US" w:eastAsia="zh-CN" w:bidi="ar-SA"/>
        </w:rPr>
        <w:t>个</w:t>
      </w:r>
      <w:r>
        <w:rPr>
          <w:rFonts w:hint="eastAsia" w:ascii="仿宋_GB2312" w:hAnsi="仿宋" w:cs="仿宋"/>
          <w:b w:val="0"/>
          <w:color w:val="auto"/>
          <w:kern w:val="2"/>
          <w:sz w:val="32"/>
          <w:szCs w:val="32"/>
          <w:highlight w:val="none"/>
          <w:lang w:val="en-US" w:eastAsia="zh-CN" w:bidi="ar-SA"/>
        </w:rPr>
        <w:t>行政村</w:t>
      </w:r>
      <w:r>
        <w:rPr>
          <w:rFonts w:hint="eastAsia" w:ascii="仿宋_GB2312" w:hAnsi="仿宋" w:eastAsia="仿宋_GB2312" w:cs="仿宋"/>
          <w:b w:val="0"/>
          <w:color w:val="auto"/>
          <w:kern w:val="2"/>
          <w:sz w:val="32"/>
          <w:szCs w:val="32"/>
          <w:highlight w:val="none"/>
          <w:lang w:val="en-US" w:eastAsia="zh-CN" w:bidi="ar-SA"/>
        </w:rPr>
        <w:t>规划建设，</w:t>
      </w:r>
      <w:r>
        <w:rPr>
          <w:rFonts w:hint="eastAsia" w:ascii="仿宋_GB2312" w:hAnsi="仿宋" w:cs="仿宋"/>
          <w:b w:val="0"/>
          <w:color w:val="auto"/>
          <w:kern w:val="2"/>
          <w:sz w:val="32"/>
          <w:szCs w:val="32"/>
          <w:highlight w:val="none"/>
          <w:lang w:val="en-US" w:eastAsia="zh-CN" w:bidi="ar-SA"/>
        </w:rPr>
        <w:t>逐步引导行政村按照“四类村庄”标准因地制宜科学发展，打造</w:t>
      </w:r>
      <w:r>
        <w:rPr>
          <w:rFonts w:hint="default" w:ascii="Times New Roman" w:hAnsi="Times New Roman" w:cs="Times New Roman"/>
          <w:b w:val="0"/>
          <w:color w:val="auto"/>
          <w:kern w:val="2"/>
          <w:sz w:val="32"/>
          <w:szCs w:val="32"/>
          <w:highlight w:val="none"/>
          <w:lang w:val="en-US" w:eastAsia="zh-CN" w:bidi="ar-SA"/>
        </w:rPr>
        <w:t>221</w:t>
      </w:r>
      <w:r>
        <w:rPr>
          <w:rFonts w:hint="eastAsia" w:ascii="仿宋_GB2312" w:hAnsi="仿宋" w:cs="仿宋"/>
          <w:b w:val="0"/>
          <w:color w:val="auto"/>
          <w:kern w:val="2"/>
          <w:sz w:val="32"/>
          <w:szCs w:val="32"/>
          <w:highlight w:val="none"/>
          <w:lang w:val="en-US" w:eastAsia="zh-CN" w:bidi="ar-SA"/>
        </w:rPr>
        <w:t>个</w:t>
      </w:r>
      <w:r>
        <w:rPr>
          <w:rFonts w:hint="default" w:ascii="Times New Roman" w:hAnsi="Times New Roman" w:eastAsia="仿宋_GB2312" w:cs="Times New Roman"/>
          <w:b w:val="0"/>
          <w:color w:val="auto"/>
          <w:kern w:val="2"/>
          <w:sz w:val="32"/>
          <w:szCs w:val="32"/>
          <w:highlight w:val="none"/>
          <w:lang w:val="en-US" w:eastAsia="zh-CN" w:bidi="ar-SA"/>
        </w:rPr>
        <w:t>集聚提升类村庄</w:t>
      </w:r>
      <w:r>
        <w:rPr>
          <w:rFonts w:hint="eastAsia" w:ascii="Times New Roman" w:hAnsi="Times New Roman" w:cs="Times New Roman"/>
          <w:b w:val="0"/>
          <w:color w:val="auto"/>
          <w:kern w:val="2"/>
          <w:sz w:val="32"/>
          <w:szCs w:val="32"/>
          <w:highlight w:val="none"/>
          <w:lang w:val="en-US" w:eastAsia="zh-CN" w:bidi="ar-SA"/>
        </w:rPr>
        <w:t>、</w:t>
      </w:r>
      <w:r>
        <w:rPr>
          <w:rFonts w:hint="default" w:ascii="Times New Roman" w:hAnsi="Times New Roman" w:eastAsia="仿宋_GB2312" w:cs="Times New Roman"/>
          <w:b w:val="0"/>
          <w:color w:val="auto"/>
          <w:kern w:val="2"/>
          <w:sz w:val="32"/>
          <w:szCs w:val="32"/>
          <w:highlight w:val="none"/>
          <w:lang w:val="en-US" w:eastAsia="zh-CN" w:bidi="ar-SA"/>
        </w:rPr>
        <w:t>32个特色保护类村庄</w:t>
      </w:r>
      <w:r>
        <w:rPr>
          <w:rFonts w:hint="eastAsia" w:ascii="Times New Roman" w:hAnsi="Times New Roman" w:cs="Times New Roman"/>
          <w:b w:val="0"/>
          <w:color w:val="auto"/>
          <w:kern w:val="2"/>
          <w:sz w:val="32"/>
          <w:szCs w:val="32"/>
          <w:highlight w:val="none"/>
          <w:lang w:val="en-US" w:eastAsia="zh-CN" w:bidi="ar-SA"/>
        </w:rPr>
        <w:t>、</w:t>
      </w:r>
      <w:r>
        <w:rPr>
          <w:rFonts w:hint="default" w:ascii="Times New Roman" w:hAnsi="Times New Roman" w:eastAsia="仿宋_GB2312" w:cs="Times New Roman"/>
          <w:b w:val="0"/>
          <w:color w:val="auto"/>
          <w:kern w:val="2"/>
          <w:sz w:val="32"/>
          <w:szCs w:val="32"/>
          <w:highlight w:val="none"/>
          <w:lang w:val="en-US" w:eastAsia="zh-CN" w:bidi="ar-SA"/>
        </w:rPr>
        <w:t>127个城郊融合类村庄</w:t>
      </w:r>
      <w:r>
        <w:rPr>
          <w:rFonts w:hint="eastAsia" w:ascii="Times New Roman" w:hAnsi="Times New Roman" w:cs="Times New Roman"/>
          <w:b w:val="0"/>
          <w:color w:val="auto"/>
          <w:kern w:val="2"/>
          <w:sz w:val="32"/>
          <w:szCs w:val="32"/>
          <w:highlight w:val="none"/>
          <w:lang w:val="en-US" w:eastAsia="zh-CN" w:bidi="ar-SA"/>
        </w:rPr>
        <w:t>，规划</w:t>
      </w:r>
      <w:r>
        <w:rPr>
          <w:rFonts w:hint="default" w:ascii="Times New Roman" w:hAnsi="Times New Roman" w:eastAsia="仿宋_GB2312" w:cs="Times New Roman"/>
          <w:b w:val="0"/>
          <w:color w:val="auto"/>
          <w:kern w:val="2"/>
          <w:sz w:val="32"/>
          <w:szCs w:val="32"/>
          <w:highlight w:val="none"/>
          <w:lang w:val="en-US" w:eastAsia="zh-CN" w:bidi="ar-SA"/>
        </w:rPr>
        <w:t>搬迁撤并</w:t>
      </w:r>
      <w:r>
        <w:rPr>
          <w:rFonts w:hint="eastAsia" w:ascii="Times New Roman" w:hAnsi="Times New Roman" w:cs="Times New Roman"/>
          <w:b w:val="0"/>
          <w:color w:val="auto"/>
          <w:kern w:val="2"/>
          <w:sz w:val="32"/>
          <w:szCs w:val="32"/>
          <w:highlight w:val="none"/>
          <w:lang w:val="en-US" w:eastAsia="zh-CN" w:bidi="ar-SA"/>
        </w:rPr>
        <w:t>类村庄24个</w:t>
      </w:r>
      <w:r>
        <w:rPr>
          <w:rFonts w:hint="default" w:ascii="Times New Roman" w:hAnsi="Times New Roman" w:eastAsia="仿宋_GB2312" w:cs="Times New Roman"/>
          <w:b w:val="0"/>
          <w:color w:val="auto"/>
          <w:kern w:val="2"/>
          <w:sz w:val="32"/>
          <w:szCs w:val="32"/>
          <w:highlight w:val="none"/>
          <w:lang w:val="en-US" w:eastAsia="zh-CN" w:bidi="ar-SA"/>
        </w:rPr>
        <w:t>。</w:t>
      </w:r>
      <w:r>
        <w:rPr>
          <w:rFonts w:hint="eastAsia" w:ascii="仿宋_GB2312" w:hAnsi="仿宋" w:eastAsia="仿宋_GB2312" w:cs="仿宋"/>
          <w:b w:val="0"/>
          <w:color w:val="auto"/>
          <w:kern w:val="2"/>
          <w:sz w:val="32"/>
          <w:szCs w:val="32"/>
          <w:highlight w:val="none"/>
          <w:lang w:val="en-US" w:eastAsia="zh-CN" w:bidi="ar-SA"/>
        </w:rPr>
        <w:t>科学布局乡村生产生态生活空间。加强乡村建设风貌引导，推广</w:t>
      </w:r>
      <w:r>
        <w:rPr>
          <w:rFonts w:hint="eastAsia" w:ascii="仿宋_GB2312" w:hAnsi="仿宋" w:cs="仿宋"/>
          <w:b w:val="0"/>
          <w:color w:val="auto"/>
          <w:kern w:val="2"/>
          <w:sz w:val="32"/>
          <w:szCs w:val="32"/>
          <w:highlight w:val="none"/>
          <w:lang w:val="en-US" w:eastAsia="zh-CN" w:bidi="ar-SA"/>
        </w:rPr>
        <w:t>“江汉平原潜江民居”</w:t>
      </w:r>
      <w:r>
        <w:rPr>
          <w:rFonts w:hint="eastAsia" w:ascii="仿宋_GB2312" w:hAnsi="仿宋" w:eastAsia="仿宋_GB2312" w:cs="仿宋"/>
          <w:b w:val="0"/>
          <w:color w:val="auto"/>
          <w:kern w:val="2"/>
          <w:sz w:val="32"/>
          <w:szCs w:val="32"/>
          <w:highlight w:val="none"/>
          <w:lang w:val="en-US" w:eastAsia="zh-CN" w:bidi="ar-SA"/>
        </w:rPr>
        <w:t>，</w:t>
      </w:r>
      <w:r>
        <w:rPr>
          <w:rFonts w:hint="eastAsia" w:ascii="仿宋_GB2312" w:hAnsi="仿宋" w:cs="仿宋"/>
          <w:b w:val="0"/>
          <w:color w:val="auto"/>
          <w:kern w:val="2"/>
          <w:sz w:val="32"/>
          <w:szCs w:val="32"/>
          <w:highlight w:val="none"/>
          <w:lang w:val="en-US" w:eastAsia="zh-CN" w:bidi="ar-SA"/>
        </w:rPr>
        <w:t>大力推进</w:t>
      </w:r>
      <w:r>
        <w:rPr>
          <w:rFonts w:hint="eastAsia" w:ascii="仿宋_GB2312" w:hAnsi="仿宋" w:eastAsia="仿宋_GB2312" w:cs="仿宋"/>
          <w:b w:val="0"/>
          <w:color w:val="auto"/>
          <w:kern w:val="2"/>
          <w:sz w:val="32"/>
          <w:szCs w:val="32"/>
          <w:highlight w:val="none"/>
          <w:lang w:val="en-US" w:eastAsia="zh-CN" w:bidi="ar-SA"/>
        </w:rPr>
        <w:t>农村住房建设试点。</w:t>
      </w:r>
      <w:r>
        <w:rPr>
          <w:rFonts w:hint="eastAsia" w:ascii="仿宋_GB2312" w:hAnsi="仿宋" w:cs="仿宋"/>
          <w:b w:val="0"/>
          <w:color w:val="auto"/>
          <w:kern w:val="2"/>
          <w:sz w:val="32"/>
          <w:szCs w:val="32"/>
          <w:highlight w:val="none"/>
          <w:lang w:val="en-US" w:eastAsia="zh-CN" w:bidi="ar-SA"/>
        </w:rPr>
        <w:t>加强全市农房建设质量监管和排查，</w:t>
      </w:r>
      <w:r>
        <w:rPr>
          <w:rFonts w:hint="default" w:ascii="Times New Roman" w:hAnsi="Times New Roman" w:cs="Times New Roman"/>
          <w:b w:val="0"/>
          <w:color w:val="auto"/>
          <w:kern w:val="2"/>
          <w:sz w:val="32"/>
          <w:szCs w:val="32"/>
          <w:highlight w:val="none"/>
          <w:lang w:val="en-US" w:eastAsia="zh-CN" w:bidi="ar-SA"/>
        </w:rPr>
        <w:t>202</w:t>
      </w:r>
      <w:r>
        <w:rPr>
          <w:rFonts w:hint="eastAsia" w:ascii="Times New Roman" w:hAnsi="Times New Roman" w:cs="Times New Roman"/>
          <w:b w:val="0"/>
          <w:color w:val="auto"/>
          <w:kern w:val="2"/>
          <w:sz w:val="32"/>
          <w:szCs w:val="32"/>
          <w:highlight w:val="none"/>
          <w:lang w:val="en-US" w:eastAsia="zh-CN" w:bidi="ar-SA"/>
        </w:rPr>
        <w:t>3</w:t>
      </w:r>
      <w:r>
        <w:rPr>
          <w:rFonts w:hint="default" w:ascii="Times New Roman" w:hAnsi="Times New Roman" w:cs="Times New Roman"/>
          <w:b w:val="0"/>
          <w:color w:val="auto"/>
          <w:kern w:val="2"/>
          <w:sz w:val="32"/>
          <w:szCs w:val="32"/>
          <w:highlight w:val="none"/>
          <w:lang w:val="en-US" w:eastAsia="zh-CN" w:bidi="ar-SA"/>
        </w:rPr>
        <w:t>年</w:t>
      </w:r>
      <w:r>
        <w:rPr>
          <w:rFonts w:hint="eastAsia" w:ascii="仿宋_GB2312" w:hAnsi="仿宋" w:cs="仿宋"/>
          <w:b w:val="0"/>
          <w:color w:val="auto"/>
          <w:kern w:val="2"/>
          <w:sz w:val="32"/>
          <w:szCs w:val="32"/>
          <w:highlight w:val="none"/>
          <w:lang w:val="en-US" w:eastAsia="zh-CN" w:bidi="ar-SA"/>
        </w:rPr>
        <w:t>前完成安全隐患排查整治。</w:t>
      </w:r>
      <w:r>
        <w:rPr>
          <w:rFonts w:hint="eastAsia" w:ascii="仿宋_GB2312" w:hAnsi="仿宋" w:eastAsia="仿宋_GB2312" w:cs="仿宋"/>
          <w:b w:val="0"/>
          <w:color w:val="auto"/>
          <w:kern w:val="2"/>
          <w:sz w:val="32"/>
          <w:szCs w:val="32"/>
          <w:highlight w:val="none"/>
          <w:lang w:val="en-US" w:eastAsia="zh-CN" w:bidi="ar-SA"/>
        </w:rPr>
        <w:t>加强历史文化名镇名村、传统村落、传统民居及农村文物保护管理。充分尊重农民意愿，准确把握时度效，稳妥开展村级建制调整，严格规范村庄撤并。</w:t>
      </w:r>
      <w:bookmarkStart w:id="171" w:name="_Toc26365"/>
      <w:bookmarkStart w:id="172" w:name="_Toc27046"/>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600" w:lineRule="exact"/>
        <w:ind w:leftChars="0"/>
        <w:jc w:val="center"/>
        <w:textAlignment w:val="auto"/>
        <w:outlineLvl w:val="1"/>
        <w:rPr>
          <w:rFonts w:hint="eastAsia" w:ascii="楷体" w:hAnsi="楷体" w:eastAsia="楷体" w:cs="楷体"/>
          <w:b/>
          <w:bCs/>
          <w:smallCaps w:val="0"/>
          <w:sz w:val="32"/>
          <w:szCs w:val="32"/>
          <w:lang w:val="en-US" w:eastAsia="zh-CN"/>
        </w:rPr>
      </w:pPr>
      <w:bookmarkStart w:id="173" w:name="_Toc21336"/>
      <w:r>
        <w:rPr>
          <w:rFonts w:hint="eastAsia" w:ascii="楷体" w:hAnsi="楷体" w:eastAsia="楷体" w:cs="楷体"/>
          <w:b/>
          <w:bCs/>
          <w:smallCaps w:val="0"/>
          <w:sz w:val="32"/>
          <w:szCs w:val="32"/>
          <w:lang w:val="en-US" w:eastAsia="zh-CN"/>
        </w:rPr>
        <w:t>第二节 推进乡村基础设施提档升级</w:t>
      </w:r>
      <w:bookmarkEnd w:id="171"/>
      <w:bookmarkEnd w:id="172"/>
      <w:bookmarkEnd w:id="173"/>
    </w:p>
    <w:p>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r>
        <w:rPr>
          <w:rFonts w:hint="eastAsia" w:ascii="仿宋_GB2312" w:cstheme="minorBidi"/>
          <w:szCs w:val="32"/>
          <w:lang w:val="en-US" w:eastAsia="zh-CN"/>
        </w:rPr>
        <w:t>重点突出乡村</w:t>
      </w:r>
      <w:r>
        <w:rPr>
          <w:rFonts w:hint="eastAsia" w:ascii="仿宋_GB2312" w:cstheme="minorBidi"/>
          <w:szCs w:val="32"/>
        </w:rPr>
        <w:t>公共设施建设，加快补上现代化短板</w:t>
      </w:r>
      <w:r>
        <w:rPr>
          <w:rFonts w:hint="eastAsia" w:ascii="仿宋_GB2312" w:cstheme="minorBidi"/>
          <w:szCs w:val="32"/>
          <w:lang w:eastAsia="zh-CN"/>
        </w:rPr>
        <w:t>。加强农村公路路域环境整治，积极打造美丽农村路。</w:t>
      </w:r>
      <w:r>
        <w:rPr>
          <w:rFonts w:hint="eastAsia" w:ascii="仿宋_GB2312" w:cstheme="minorBidi"/>
          <w:szCs w:val="32"/>
        </w:rPr>
        <w:t>巩固后湖</w:t>
      </w:r>
      <w:r>
        <w:rPr>
          <w:rFonts w:hint="eastAsia" w:ascii="仿宋_GB2312" w:cstheme="minorBidi"/>
          <w:szCs w:val="32"/>
          <w:lang w:val="en-US" w:eastAsia="zh-CN"/>
        </w:rPr>
        <w:t>管理区</w:t>
      </w:r>
      <w:r>
        <w:rPr>
          <w:rFonts w:hint="eastAsia" w:ascii="仿宋_GB2312" w:cstheme="minorBidi"/>
          <w:szCs w:val="32"/>
        </w:rPr>
        <w:t>、高石碑</w:t>
      </w:r>
      <w:r>
        <w:rPr>
          <w:rFonts w:hint="eastAsia" w:ascii="仿宋_GB2312" w:cstheme="minorBidi"/>
          <w:szCs w:val="32"/>
          <w:lang w:val="en-US" w:eastAsia="zh-CN"/>
        </w:rPr>
        <w:t>镇和</w:t>
      </w:r>
      <w:r>
        <w:rPr>
          <w:rFonts w:hint="eastAsia" w:ascii="仿宋_GB2312" w:cstheme="minorBidi"/>
          <w:szCs w:val="32"/>
        </w:rPr>
        <w:t>运粮湖</w:t>
      </w:r>
      <w:r>
        <w:rPr>
          <w:rFonts w:hint="eastAsia" w:ascii="仿宋_GB2312" w:cstheme="minorBidi"/>
          <w:szCs w:val="32"/>
          <w:lang w:val="en-US" w:eastAsia="zh-CN"/>
        </w:rPr>
        <w:t>管理区</w:t>
      </w:r>
      <w:r>
        <w:rPr>
          <w:rFonts w:hint="eastAsia" w:ascii="仿宋_GB2312" w:cstheme="minorBidi"/>
          <w:szCs w:val="32"/>
        </w:rPr>
        <w:t>等省级“四好农村路”示范乡镇创建成果，</w:t>
      </w:r>
      <w:r>
        <w:rPr>
          <w:rFonts w:hint="eastAsia" w:ascii="仿宋_GB2312" w:cstheme="minorBidi"/>
          <w:szCs w:val="32"/>
          <w:lang w:eastAsia="zh-CN"/>
        </w:rPr>
        <w:t>大力开展省级“四好农村路”示范乡镇创建。</w:t>
      </w:r>
      <w:r>
        <w:rPr>
          <w:rFonts w:hint="eastAsia" w:ascii="仿宋_GB2312" w:hAnsi="仿宋_GB2312" w:eastAsia="仿宋_GB2312" w:cs="仿宋_GB2312"/>
          <w:sz w:val="32"/>
          <w:szCs w:val="32"/>
          <w:lang w:val="en-US" w:eastAsia="zh-CN"/>
        </w:rPr>
        <w:t>持续推进县乡公路升级改造，逐步完善农村骨干公路网，确保县道三级及以上等级比例和乡道四级及以上等级比例稳步提升。重点推进行政村双车道改造，实现</w:t>
      </w:r>
      <w:r>
        <w:rPr>
          <w:rFonts w:hint="default" w:ascii="Times New Roman" w:hAnsi="Times New Roman" w:eastAsia="仿宋_GB2312" w:cs="Times New Roman"/>
          <w:sz w:val="32"/>
          <w:szCs w:val="32"/>
          <w:lang w:val="en-US" w:eastAsia="zh-CN"/>
        </w:rPr>
        <w:t xml:space="preserve"> 100%行政村5.5米农村公路连通</w:t>
      </w:r>
      <w:r>
        <w:rPr>
          <w:rFonts w:hint="eastAsia" w:ascii="仿宋_GB2312" w:hAnsi="仿宋_GB2312" w:eastAsia="仿宋_GB2312" w:cs="仿宋_GB2312"/>
          <w:sz w:val="32"/>
          <w:szCs w:val="32"/>
          <w:lang w:val="en-US" w:eastAsia="zh-CN"/>
        </w:rPr>
        <w:t>。实施村组道路连通工程，持续推进交通项目</w:t>
      </w:r>
      <w:r>
        <w:rPr>
          <w:rFonts w:hint="eastAsia" w:ascii="仿宋_GB2312" w:hAnsi="仿宋_GB2312" w:eastAsia="仿宋_GB2312" w:cs="仿宋_GB2312"/>
          <w:i w:val="0"/>
          <w:iCs w:val="0"/>
          <w:caps w:val="0"/>
          <w:color w:val="191919"/>
          <w:spacing w:val="0"/>
          <w:sz w:val="32"/>
          <w:szCs w:val="32"/>
          <w:shd w:val="clear" w:fill="FFFFFF"/>
        </w:rPr>
        <w:t>向进村入户倾斜</w:t>
      </w:r>
      <w:r>
        <w:rPr>
          <w:rFonts w:hint="eastAsia" w:ascii="仿宋_GB2312" w:hAnsi="仿宋_GB2312" w:eastAsia="仿宋_GB2312" w:cs="仿宋_GB2312"/>
          <w:sz w:val="32"/>
          <w:szCs w:val="32"/>
          <w:lang w:val="en-US" w:eastAsia="zh-CN"/>
        </w:rPr>
        <w:t>。以“深化农村公路管养体制改革试点”为契机，全面推行农村公路“路长制”，完善农村公路管养体制机制，着力提升农村公路管养水平。</w:t>
      </w:r>
    </w:p>
    <w:p>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hint="default"/>
          <w:lang w:val="en-US" w:eastAsia="zh-CN"/>
        </w:rPr>
      </w:pPr>
      <w:r>
        <w:rPr>
          <w:rFonts w:hint="eastAsia" w:ascii="仿宋_GB2312" w:cstheme="minorBidi"/>
          <w:szCs w:val="32"/>
        </w:rPr>
        <w:t>全面实施乡村电气化提升工程，改善农村电网设施，完成新一轮农村电网改造。实施乡村清洁能源建设工程</w:t>
      </w:r>
      <w:r>
        <w:rPr>
          <w:rFonts w:hint="eastAsia" w:ascii="仿宋_GB2312" w:cstheme="minorBidi"/>
          <w:szCs w:val="32"/>
          <w:lang w:eastAsia="zh-CN"/>
        </w:rPr>
        <w:t>。</w:t>
      </w:r>
      <w:r>
        <w:rPr>
          <w:rFonts w:hint="eastAsia" w:ascii="仿宋_GB2312" w:cstheme="minorBidi"/>
          <w:szCs w:val="32"/>
        </w:rPr>
        <w:t>推进燃气下乡</w:t>
      </w:r>
      <w:r>
        <w:rPr>
          <w:rFonts w:hint="eastAsia" w:ascii="仿宋_GB2312" w:cstheme="minorBidi"/>
          <w:szCs w:val="32"/>
          <w:lang w:eastAsia="zh-CN"/>
        </w:rPr>
        <w:t>，支持建设安全可靠的乡村储气罐站和微管网供气系统，</w:t>
      </w:r>
      <w:r>
        <w:rPr>
          <w:rFonts w:hint="eastAsia" w:ascii="仿宋_GB2312" w:cstheme="minorBidi"/>
          <w:szCs w:val="32"/>
          <w:lang w:val="en-US" w:eastAsia="zh-CN"/>
        </w:rPr>
        <w:t>力争</w:t>
      </w:r>
      <w:r>
        <w:rPr>
          <w:rFonts w:hint="eastAsia" w:ascii="仿宋_GB2312" w:cstheme="minorBidi"/>
          <w:szCs w:val="32"/>
          <w:lang w:eastAsia="zh-CN"/>
        </w:rPr>
        <w:t>农村供气普及率</w:t>
      </w:r>
      <w:r>
        <w:rPr>
          <w:rFonts w:hint="default" w:ascii="Times New Roman" w:hAnsi="Times New Roman" w:cs="Times New Roman"/>
          <w:szCs w:val="32"/>
          <w:lang w:eastAsia="zh-CN"/>
        </w:rPr>
        <w:t>75%</w:t>
      </w:r>
      <w:r>
        <w:rPr>
          <w:rFonts w:hint="eastAsia" w:ascii="仿宋_GB2312" w:cstheme="minorBidi"/>
          <w:szCs w:val="32"/>
          <w:lang w:eastAsia="zh-CN"/>
        </w:rPr>
        <w:t>以上</w:t>
      </w:r>
      <w:r>
        <w:rPr>
          <w:rFonts w:hint="eastAsia" w:ascii="仿宋_GB2312" w:cstheme="minorBidi"/>
          <w:szCs w:val="32"/>
        </w:rPr>
        <w:t>。发展农村生物质能源。完善乡镇、村组供水管网建设，</w:t>
      </w:r>
      <w:r>
        <w:rPr>
          <w:rFonts w:hint="eastAsia" w:ascii="仿宋_GB2312" w:cstheme="minorBidi"/>
          <w:szCs w:val="32"/>
          <w:highlight w:val="none"/>
          <w:lang w:val="en-US" w:eastAsia="zh-CN"/>
        </w:rPr>
        <w:t>持续</w:t>
      </w:r>
      <w:r>
        <w:rPr>
          <w:rFonts w:hint="eastAsia" w:ascii="仿宋_GB2312" w:cstheme="minorBidi"/>
          <w:szCs w:val="32"/>
          <w:highlight w:val="none"/>
        </w:rPr>
        <w:t>推进</w:t>
      </w:r>
      <w:r>
        <w:rPr>
          <w:rFonts w:hint="eastAsia" w:ascii="仿宋_GB2312" w:cstheme="minorBidi"/>
          <w:szCs w:val="32"/>
          <w:highlight w:val="none"/>
          <w:lang w:val="en-US" w:eastAsia="zh-CN"/>
        </w:rPr>
        <w:t>河湖长制，优化</w:t>
      </w:r>
      <w:r>
        <w:rPr>
          <w:rFonts w:hint="eastAsia" w:ascii="仿宋_GB2312" w:cstheme="minorBidi"/>
          <w:szCs w:val="32"/>
          <w:highlight w:val="none"/>
        </w:rPr>
        <w:t>水资源配置</w:t>
      </w:r>
      <w:r>
        <w:rPr>
          <w:rFonts w:hint="eastAsia" w:ascii="仿宋_GB2312" w:cstheme="minorBidi"/>
          <w:szCs w:val="32"/>
          <w:highlight w:val="none"/>
          <w:lang w:val="en-US" w:eastAsia="zh-CN"/>
        </w:rPr>
        <w:t>和水系连通</w:t>
      </w:r>
      <w:r>
        <w:rPr>
          <w:rFonts w:hint="eastAsia" w:ascii="仿宋_GB2312" w:cstheme="minorBidi"/>
          <w:szCs w:val="32"/>
          <w:highlight w:val="none"/>
        </w:rPr>
        <w:t>，</w:t>
      </w:r>
      <w:r>
        <w:rPr>
          <w:rFonts w:hint="eastAsia" w:ascii="仿宋_GB2312" w:cstheme="minorBidi"/>
          <w:szCs w:val="32"/>
        </w:rPr>
        <w:t>实施农村饮水安全巩固提升三年行动计划，全面推进城乡供水一体化建设</w:t>
      </w:r>
      <w:r>
        <w:rPr>
          <w:rFonts w:hint="eastAsia" w:ascii="仿宋_GB2312" w:cstheme="minorBidi"/>
          <w:szCs w:val="32"/>
          <w:lang w:eastAsia="zh-CN"/>
        </w:rPr>
        <w:t>，</w:t>
      </w:r>
      <w:r>
        <w:rPr>
          <w:rFonts w:hint="eastAsia" w:ascii="仿宋_GB2312" w:cstheme="minorBidi"/>
          <w:szCs w:val="32"/>
          <w:lang w:val="en-US" w:eastAsia="zh-CN"/>
        </w:rPr>
        <w:t>实现全市“同饮汉江水”</w:t>
      </w:r>
      <w:r>
        <w:rPr>
          <w:rFonts w:hint="eastAsia" w:ascii="仿宋_GB2312" w:cstheme="minorBidi"/>
          <w:szCs w:val="32"/>
        </w:rPr>
        <w:t>。实施信息进村入户工程，加快</w:t>
      </w:r>
      <w:r>
        <w:rPr>
          <w:rFonts w:hint="default" w:ascii="Times New Roman" w:hAnsi="Times New Roman" w:cs="Times New Roman"/>
          <w:szCs w:val="32"/>
        </w:rPr>
        <w:t>5G</w:t>
      </w:r>
      <w:r>
        <w:rPr>
          <w:rFonts w:hint="eastAsia" w:ascii="仿宋_GB2312" w:cstheme="minorBidi"/>
          <w:szCs w:val="32"/>
        </w:rPr>
        <w:t>网络建设和农村广播电视基础设施升级改造，推动</w:t>
      </w:r>
      <w:r>
        <w:rPr>
          <w:rFonts w:hint="eastAsia"/>
          <w:kern w:val="0"/>
          <w:szCs w:val="20"/>
        </w:rPr>
        <w:t>“12316”</w:t>
      </w:r>
      <w:r>
        <w:rPr>
          <w:rFonts w:hint="eastAsia" w:ascii="仿宋_GB2312" w:cstheme="minorBidi"/>
          <w:szCs w:val="32"/>
        </w:rPr>
        <w:t>信息进村入户</w:t>
      </w:r>
      <w:r>
        <w:rPr>
          <w:rFonts w:hint="eastAsia" w:ascii="仿宋_GB2312" w:cstheme="minorBidi"/>
          <w:szCs w:val="32"/>
          <w:lang w:eastAsia="zh-CN"/>
        </w:rPr>
        <w:t>，</w:t>
      </w:r>
      <w:r>
        <w:rPr>
          <w:rFonts w:hint="default" w:ascii="Times New Roman" w:hAnsi="Times New Roman" w:cs="Times New Roman"/>
          <w:szCs w:val="32"/>
        </w:rPr>
        <w:t>打造2-3个数字乡村</w:t>
      </w:r>
      <w:r>
        <w:rPr>
          <w:rFonts w:hint="eastAsia" w:ascii="仿宋_GB2312" w:cstheme="minorBidi"/>
          <w:szCs w:val="32"/>
        </w:rPr>
        <w:t>试点示范村。</w:t>
      </w:r>
    </w:p>
    <w:p>
      <w:pPr>
        <w:pStyle w:val="21"/>
        <w:keepNext w:val="0"/>
        <w:keepLines w:val="0"/>
        <w:pageBreakBefore w:val="0"/>
        <w:widowControl w:val="0"/>
        <w:numPr>
          <w:ilvl w:val="0"/>
          <w:numId w:val="0"/>
        </w:numPr>
        <w:tabs>
          <w:tab w:val="right" w:leader="dot" w:pos="8306"/>
        </w:tabs>
        <w:kinsoku/>
        <w:wordWrap/>
        <w:overflowPunct w:val="0"/>
        <w:topLinePunct w:val="0"/>
        <w:autoSpaceDE/>
        <w:autoSpaceDN/>
        <w:bidi w:val="0"/>
        <w:adjustRightInd/>
        <w:snapToGrid/>
        <w:spacing w:before="160" w:beforeLines="50" w:after="160" w:afterLines="50" w:line="600" w:lineRule="exact"/>
        <w:ind w:leftChars="0"/>
        <w:jc w:val="center"/>
        <w:textAlignment w:val="auto"/>
        <w:outlineLvl w:val="1"/>
        <w:rPr>
          <w:rFonts w:hint="eastAsia" w:ascii="楷体" w:hAnsi="楷体" w:eastAsia="楷体" w:cs="楷体"/>
          <w:b/>
          <w:bCs/>
          <w:smallCaps w:val="0"/>
          <w:sz w:val="32"/>
          <w:szCs w:val="32"/>
          <w:lang w:val="en-US" w:eastAsia="zh-CN"/>
        </w:rPr>
      </w:pPr>
      <w:bookmarkStart w:id="174" w:name="_Toc27482"/>
      <w:bookmarkStart w:id="175" w:name="_Toc18415"/>
      <w:bookmarkStart w:id="176" w:name="_Toc4296"/>
      <w:r>
        <w:rPr>
          <w:rFonts w:hint="eastAsia" w:ascii="楷体" w:hAnsi="楷体" w:eastAsia="楷体" w:cs="楷体"/>
          <w:b/>
          <w:bCs/>
          <w:smallCaps w:val="0"/>
          <w:sz w:val="32"/>
          <w:szCs w:val="32"/>
          <w:lang w:val="en-US" w:eastAsia="zh-CN"/>
        </w:rPr>
        <w:t>第三节 持续推进农村人居环境整治</w:t>
      </w:r>
      <w:bookmarkEnd w:id="174"/>
      <w:bookmarkEnd w:id="175"/>
      <w:bookmarkEnd w:id="176"/>
    </w:p>
    <w:p>
      <w:pPr>
        <w:keepNext w:val="0"/>
        <w:keepLines w:val="0"/>
        <w:pageBreakBefore w:val="0"/>
        <w:widowControl w:val="0"/>
        <w:kinsoku/>
        <w:wordWrap/>
        <w:overflowPunct w:val="0"/>
        <w:topLinePunct w:val="0"/>
        <w:autoSpaceDE/>
        <w:autoSpaceDN/>
        <w:bidi w:val="0"/>
        <w:adjustRightInd/>
        <w:snapToGrid/>
        <w:spacing w:line="600" w:lineRule="exact"/>
        <w:jc w:val="both"/>
        <w:textAlignment w:val="auto"/>
        <w:rPr>
          <w:rFonts w:hint="eastAsia"/>
          <w:lang w:eastAsia="zh-CN"/>
        </w:rPr>
      </w:pPr>
      <w:r>
        <w:rPr>
          <w:rFonts w:hint="eastAsia"/>
          <w:highlight w:val="none"/>
          <w:lang w:val="en-US" w:eastAsia="zh-CN"/>
        </w:rPr>
        <w:t>全面落实《潜江市疫后重振补短板强功能生态环境补短板工程三年行动实施方案（2020-2022年）》。大力</w:t>
      </w:r>
      <w:r>
        <w:rPr>
          <w:rFonts w:hint="eastAsia"/>
          <w:highlight w:val="none"/>
        </w:rPr>
        <w:t>实施农村人居环境整治提升五年行动</w:t>
      </w:r>
      <w:r>
        <w:rPr>
          <w:rFonts w:hint="eastAsia"/>
          <w:highlight w:val="none"/>
          <w:lang w:eastAsia="zh-CN"/>
        </w:rPr>
        <w:t>，</w:t>
      </w:r>
      <w:r>
        <w:rPr>
          <w:rFonts w:hint="eastAsia"/>
          <w:highlight w:val="none"/>
          <w:lang w:val="en-US" w:eastAsia="zh-CN"/>
        </w:rPr>
        <w:t>持续推进</w:t>
      </w:r>
      <w:r>
        <w:rPr>
          <w:rFonts w:hint="eastAsia"/>
          <w:highlight w:val="none"/>
        </w:rPr>
        <w:t>绿化、亮化、黑化、美化和文化</w:t>
      </w:r>
      <w:r>
        <w:rPr>
          <w:rFonts w:hint="eastAsia"/>
          <w:highlight w:val="none"/>
          <w:lang w:val="en-US" w:eastAsia="zh-CN"/>
        </w:rPr>
        <w:t>五大</w:t>
      </w:r>
      <w:r>
        <w:rPr>
          <w:rFonts w:hint="eastAsia"/>
          <w:highlight w:val="none"/>
          <w:lang w:eastAsia="zh-CN"/>
        </w:rPr>
        <w:t>工程。</w:t>
      </w:r>
      <w:r>
        <w:rPr>
          <w:rFonts w:hint="eastAsia"/>
          <w:highlight w:val="none"/>
        </w:rPr>
        <w:t>以</w:t>
      </w:r>
      <w:r>
        <w:rPr>
          <w:rFonts w:hint="eastAsia"/>
        </w:rPr>
        <w:t>“村庄清洁</w:t>
      </w:r>
      <w:r>
        <w:rPr>
          <w:rFonts w:hint="eastAsia"/>
          <w:lang w:val="en-US" w:eastAsia="zh-CN"/>
        </w:rPr>
        <w:t>行动</w:t>
      </w:r>
      <w:r>
        <w:rPr>
          <w:rFonts w:hint="eastAsia"/>
        </w:rPr>
        <w:t>”为抓手</w:t>
      </w:r>
      <w:r>
        <w:rPr>
          <w:rFonts w:hint="eastAsia"/>
          <w:lang w:eastAsia="zh-CN"/>
        </w:rPr>
        <w:t>，</w:t>
      </w:r>
      <w:r>
        <w:rPr>
          <w:rFonts w:hint="eastAsia"/>
        </w:rPr>
        <w:t>重点推进农村厕所粪污治理、农村生活垃圾治理、农村生活污水治理和村容村貌提升等任务</w:t>
      </w:r>
      <w:r>
        <w:rPr>
          <w:rFonts w:hint="eastAsia"/>
          <w:lang w:eastAsia="zh-CN"/>
        </w:rPr>
        <w:t>。</w:t>
      </w:r>
      <w:r>
        <w:rPr>
          <w:rFonts w:hint="eastAsia"/>
        </w:rPr>
        <w:t>因地制宜推进农村生活污水处理，</w:t>
      </w:r>
      <w:r>
        <w:rPr>
          <w:rFonts w:hint="eastAsia"/>
          <w:highlight w:val="none"/>
        </w:rPr>
        <w:t>提高镇</w:t>
      </w:r>
      <w:r>
        <w:rPr>
          <w:rFonts w:hint="eastAsia"/>
          <w:highlight w:val="none"/>
          <w:lang w:val="en-US" w:eastAsia="zh-CN"/>
        </w:rPr>
        <w:t>区</w:t>
      </w:r>
      <w:r>
        <w:rPr>
          <w:rFonts w:hint="eastAsia"/>
          <w:highlight w:val="none"/>
        </w:rPr>
        <w:t>污水管网覆盖率，加快城镇污水管网向村庄延伸覆盖</w:t>
      </w:r>
      <w:r>
        <w:rPr>
          <w:rFonts w:hint="eastAsia"/>
          <w:highlight w:val="none"/>
          <w:lang w:eastAsia="zh-CN"/>
        </w:rPr>
        <w:t>，</w:t>
      </w:r>
      <w:r>
        <w:rPr>
          <w:rFonts w:hint="eastAsia"/>
        </w:rPr>
        <w:t>逐步消除农村黑臭水体</w:t>
      </w:r>
      <w:r>
        <w:rPr>
          <w:rFonts w:hint="eastAsia"/>
          <w:lang w:eastAsia="zh-CN"/>
        </w:rPr>
        <w:t>。</w:t>
      </w:r>
      <w:r>
        <w:rPr>
          <w:rFonts w:hint="eastAsia"/>
        </w:rPr>
        <w:t>加强农村生活污水与厕所粪污治理的有效衔接，探索新建乡村住宅“</w:t>
      </w:r>
      <w:r>
        <w:rPr>
          <w:rFonts w:hint="eastAsia"/>
          <w:highlight w:val="none"/>
        </w:rPr>
        <w:t>改厕+生活污水一体化处理”模式</w:t>
      </w:r>
      <w:r>
        <w:rPr>
          <w:rFonts w:hint="eastAsia"/>
          <w:highlight w:val="none"/>
          <w:lang w:eastAsia="zh-CN"/>
        </w:rPr>
        <w:t>，</w:t>
      </w:r>
      <w:r>
        <w:rPr>
          <w:rFonts w:hint="eastAsia"/>
        </w:rPr>
        <w:t>实现农村厕所粪污有效处理或资源化利用</w:t>
      </w:r>
      <w:r>
        <w:rPr>
          <w:rFonts w:hint="eastAsia"/>
          <w:lang w:eastAsia="zh-CN"/>
        </w:rPr>
        <w:t>。健全农村人居环境设施管护机制，推进供销再生资源网、城管环卫网两网融合。全面推行林长制，加快建设汉江潜江段、东荆河绿色生态廊道。加大生态村、生态镇创建力度。</w:t>
      </w:r>
    </w:p>
    <w:p>
      <w:pPr>
        <w:keepNext w:val="0"/>
        <w:keepLines w:val="0"/>
        <w:pageBreakBefore w:val="0"/>
        <w:widowControl w:val="0"/>
        <w:kinsoku/>
        <w:wordWrap/>
        <w:overflowPunct w:val="0"/>
        <w:topLinePunct w:val="0"/>
        <w:autoSpaceDE/>
        <w:autoSpaceDN/>
        <w:bidi w:val="0"/>
        <w:adjustRightInd/>
        <w:snapToGrid/>
        <w:spacing w:line="600" w:lineRule="exact"/>
        <w:jc w:val="both"/>
        <w:textAlignment w:val="auto"/>
        <w:rPr>
          <w:rFonts w:hint="eastAsia" w:ascii="楷体" w:hAnsi="楷体" w:eastAsia="楷体" w:cs="楷体"/>
          <w:b/>
          <w:bCs/>
          <w:smallCaps w:val="0"/>
          <w:sz w:val="32"/>
          <w:szCs w:val="32"/>
          <w:lang w:val="en-US" w:eastAsia="zh-CN"/>
        </w:rPr>
      </w:pPr>
      <w:r>
        <w:rPr>
          <w:rFonts w:hint="eastAsia"/>
          <w:highlight w:val="none"/>
        </w:rPr>
        <w:t>到2025年，</w:t>
      </w:r>
      <w:r>
        <w:rPr>
          <w:rFonts w:hint="eastAsia"/>
          <w:highlight w:val="none"/>
          <w:lang w:val="en-US" w:eastAsia="zh-CN"/>
        </w:rPr>
        <w:t>全市</w:t>
      </w:r>
      <w:r>
        <w:rPr>
          <w:rFonts w:hint="eastAsia"/>
          <w:highlight w:val="none"/>
        </w:rPr>
        <w:t>农村卫生厕所普及率</w:t>
      </w:r>
      <w:r>
        <w:rPr>
          <w:rFonts w:hint="eastAsia"/>
          <w:highlight w:val="none"/>
          <w:lang w:val="en-US" w:eastAsia="zh-CN"/>
        </w:rPr>
        <w:t>100</w:t>
      </w:r>
      <w:r>
        <w:rPr>
          <w:rFonts w:hint="eastAsia"/>
          <w:highlight w:val="none"/>
        </w:rPr>
        <w:t>%</w:t>
      </w:r>
      <w:r>
        <w:rPr>
          <w:rFonts w:hint="eastAsia"/>
          <w:highlight w:val="none"/>
          <w:lang w:eastAsia="zh-CN"/>
        </w:rPr>
        <w:t>；</w:t>
      </w:r>
      <w:r>
        <w:rPr>
          <w:rFonts w:hint="eastAsia"/>
          <w:highlight w:val="none"/>
          <w:lang w:val="en-US" w:eastAsia="zh-CN"/>
        </w:rPr>
        <w:t>全市农村</w:t>
      </w:r>
      <w:r>
        <w:rPr>
          <w:rFonts w:hint="eastAsia"/>
          <w:highlight w:val="none"/>
        </w:rPr>
        <w:t>生活垃圾无害化处理</w:t>
      </w:r>
      <w:r>
        <w:rPr>
          <w:rFonts w:hint="eastAsia"/>
          <w:highlight w:val="none"/>
          <w:lang w:val="en-US" w:eastAsia="zh-CN"/>
        </w:rPr>
        <w:t>率</w:t>
      </w:r>
      <w:r>
        <w:rPr>
          <w:rFonts w:hint="default" w:ascii="Arial" w:hAnsi="Arial" w:cs="Arial"/>
          <w:highlight w:val="none"/>
        </w:rPr>
        <w:t>≥</w:t>
      </w:r>
      <w:r>
        <w:rPr>
          <w:rFonts w:hint="eastAsia"/>
          <w:highlight w:val="none"/>
          <w:lang w:val="en-US" w:eastAsia="zh-CN"/>
        </w:rPr>
        <w:t>98</w:t>
      </w:r>
      <w:r>
        <w:rPr>
          <w:rFonts w:hint="eastAsia"/>
          <w:highlight w:val="none"/>
        </w:rPr>
        <w:t>%</w:t>
      </w:r>
      <w:r>
        <w:rPr>
          <w:rFonts w:hint="eastAsia"/>
          <w:highlight w:val="none"/>
          <w:lang w:eastAsia="zh-CN"/>
        </w:rPr>
        <w:t>；农村生活污水治理率达到40%；</w:t>
      </w:r>
      <w:r>
        <w:rPr>
          <w:rFonts w:hint="eastAsia"/>
          <w:highlight w:val="none"/>
          <w:lang w:val="en-US" w:eastAsia="zh-CN"/>
        </w:rPr>
        <w:t>集镇生活污水运营维护管理机制建立健全。</w:t>
      </w:r>
      <w:r>
        <w:rPr>
          <w:rFonts w:hint="eastAsia"/>
          <w:highlight w:val="none"/>
        </w:rPr>
        <w:t>村容村貌和人居环境</w:t>
      </w:r>
      <w:r>
        <w:rPr>
          <w:rFonts w:hint="eastAsia"/>
          <w:highlight w:val="none"/>
          <w:lang w:val="en-US" w:eastAsia="zh-CN"/>
        </w:rPr>
        <w:t>得到明显改善，</w:t>
      </w:r>
      <w:r>
        <w:rPr>
          <w:rFonts w:hint="eastAsia"/>
          <w:highlight w:val="none"/>
        </w:rPr>
        <w:t>农村居民幸福指数全面提升</w:t>
      </w:r>
      <w:r>
        <w:rPr>
          <w:rFonts w:hint="eastAsia"/>
          <w:highlight w:val="none"/>
          <w:lang w:eastAsia="zh-CN"/>
        </w:rPr>
        <w:t>。</w:t>
      </w:r>
      <w:bookmarkStart w:id="177" w:name="_Toc23294"/>
      <w:bookmarkStart w:id="178" w:name="_Toc1701"/>
    </w:p>
    <w:p>
      <w:pPr>
        <w:pStyle w:val="21"/>
        <w:keepNext w:val="0"/>
        <w:keepLines w:val="0"/>
        <w:pageBreakBefore w:val="0"/>
        <w:widowControl w:val="0"/>
        <w:numPr>
          <w:ilvl w:val="0"/>
          <w:numId w:val="0"/>
        </w:numPr>
        <w:tabs>
          <w:tab w:val="right" w:leader="dot" w:pos="8306"/>
        </w:tabs>
        <w:kinsoku/>
        <w:wordWrap/>
        <w:overflowPunct w:val="0"/>
        <w:topLinePunct w:val="0"/>
        <w:autoSpaceDE/>
        <w:autoSpaceDN/>
        <w:bidi w:val="0"/>
        <w:adjustRightInd/>
        <w:snapToGrid/>
        <w:spacing w:before="160" w:beforeLines="50" w:after="160" w:afterLines="50" w:line="600" w:lineRule="exact"/>
        <w:ind w:leftChars="0"/>
        <w:jc w:val="center"/>
        <w:textAlignment w:val="auto"/>
        <w:outlineLvl w:val="1"/>
        <w:rPr>
          <w:rFonts w:hint="default" w:ascii="Times New Roman" w:hAnsi="Times New Roman" w:cs="Times New Roman"/>
          <w:highlight w:val="yellow"/>
          <w:lang w:val="en-US"/>
        </w:rPr>
      </w:pPr>
      <w:bookmarkStart w:id="179" w:name="_Toc11742"/>
      <w:r>
        <w:rPr>
          <w:rFonts w:hint="eastAsia" w:ascii="楷体" w:hAnsi="楷体" w:eastAsia="楷体" w:cs="楷体"/>
          <w:b/>
          <w:bCs/>
          <w:smallCaps w:val="0"/>
          <w:sz w:val="32"/>
          <w:szCs w:val="32"/>
          <w:lang w:val="en-US" w:eastAsia="zh-CN"/>
        </w:rPr>
        <w:t>第四节 大力推进美丽村镇建设</w:t>
      </w:r>
      <w:bookmarkEnd w:id="177"/>
      <w:bookmarkEnd w:id="178"/>
      <w:bookmarkEnd w:id="179"/>
    </w:p>
    <w:p>
      <w:pPr>
        <w:pStyle w:val="6"/>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Chars="200"/>
        <w:textAlignment w:val="auto"/>
        <w:rPr>
          <w:rFonts w:hint="eastAsia" w:ascii="楷体" w:hAnsi="楷体" w:eastAsia="楷体" w:cs="楷体"/>
          <w:highlight w:val="none"/>
          <w:lang w:val="en-US" w:eastAsia="zh-CN"/>
        </w:rPr>
      </w:pPr>
      <w:r>
        <w:rPr>
          <w:rFonts w:hint="eastAsia" w:ascii="楷体" w:hAnsi="楷体" w:eastAsia="楷体" w:cs="楷体"/>
          <w:b/>
          <w:bCs w:val="0"/>
          <w:sz w:val="32"/>
          <w:szCs w:val="27"/>
          <w:highlight w:val="none"/>
          <w:lang w:val="en-US" w:eastAsia="zh-CN"/>
        </w:rPr>
        <w:t>一、深入推进美丽宜居乡村建设</w:t>
      </w:r>
    </w:p>
    <w:p>
      <w:pPr>
        <w:keepNext w:val="0"/>
        <w:keepLines w:val="0"/>
        <w:pageBreakBefore w:val="0"/>
        <w:widowControl w:val="0"/>
        <w:kinsoku/>
        <w:wordWrap/>
        <w:overflowPunct w:val="0"/>
        <w:topLinePunct w:val="0"/>
        <w:autoSpaceDE/>
        <w:autoSpaceDN/>
        <w:bidi w:val="0"/>
        <w:adjustRightInd/>
        <w:snapToGrid/>
        <w:spacing w:line="600" w:lineRule="exact"/>
        <w:jc w:val="both"/>
        <w:textAlignment w:val="auto"/>
        <w:outlineLvl w:val="9"/>
        <w:rPr>
          <w:rFonts w:hint="default" w:cs="Times New Roman"/>
          <w:highlight w:val="none"/>
          <w:lang w:val="en-US" w:eastAsia="zh-CN"/>
        </w:rPr>
      </w:pPr>
      <w:r>
        <w:rPr>
          <w:rFonts w:hint="eastAsia"/>
          <w:highlight w:val="none"/>
          <w:lang w:val="en-US" w:eastAsia="zh-CN"/>
        </w:rPr>
        <w:t>统筹全域土地综合整治、农村黑臭水体治理、农村生活污水治理和农村“厕所革命”等项目</w:t>
      </w:r>
      <w:r>
        <w:rPr>
          <w:rFonts w:hint="eastAsia"/>
          <w:highlight w:val="none"/>
        </w:rPr>
        <w:t>，</w:t>
      </w:r>
      <w:r>
        <w:rPr>
          <w:rFonts w:hint="eastAsia"/>
          <w:highlight w:val="none"/>
          <w:lang w:val="en-US" w:eastAsia="zh-CN"/>
        </w:rPr>
        <w:t>围绕“三纵三横”美丽乡村示范带</w:t>
      </w:r>
      <w:r>
        <w:rPr>
          <w:rStyle w:val="32"/>
          <w:rFonts w:hint="eastAsia"/>
          <w:highlight w:val="none"/>
          <w:lang w:val="en-US" w:eastAsia="zh-CN"/>
        </w:rPr>
        <w:footnoteReference w:id="14"/>
      </w:r>
      <w:r>
        <w:rPr>
          <w:rFonts w:hint="eastAsia"/>
          <w:highlight w:val="none"/>
          <w:lang w:val="en-US" w:eastAsia="zh-CN"/>
        </w:rPr>
        <w:t>，</w:t>
      </w:r>
      <w:r>
        <w:rPr>
          <w:rFonts w:hint="eastAsia"/>
          <w:highlight w:val="none"/>
        </w:rPr>
        <w:t>开展美丽乡村连线连片建设。</w:t>
      </w:r>
      <w:r>
        <w:rPr>
          <w:rFonts w:hint="eastAsia"/>
          <w:highlight w:val="none"/>
          <w:lang w:val="en-US" w:eastAsia="zh-CN"/>
        </w:rPr>
        <w:t>加快推进</w:t>
      </w:r>
      <w:r>
        <w:rPr>
          <w:rFonts w:hint="eastAsia"/>
          <w:highlight w:val="none"/>
        </w:rPr>
        <w:t>省级美丽乡村示范村</w:t>
      </w:r>
      <w:r>
        <w:rPr>
          <w:rFonts w:hint="eastAsia"/>
          <w:highlight w:val="none"/>
          <w:lang w:val="en-US" w:eastAsia="zh-CN"/>
        </w:rPr>
        <w:t>和</w:t>
      </w:r>
      <w:r>
        <w:rPr>
          <w:rFonts w:hint="eastAsia"/>
          <w:highlight w:val="none"/>
        </w:rPr>
        <w:t>整治村建设。打造美丽乡村建设“精品”样板，重点提升龙湾镇</w:t>
      </w:r>
      <w:r>
        <w:rPr>
          <w:rFonts w:hint="eastAsia"/>
          <w:highlight w:val="none"/>
          <w:lang w:val="en-US" w:eastAsia="zh-CN"/>
        </w:rPr>
        <w:t>瞄</w:t>
      </w:r>
      <w:r>
        <w:rPr>
          <w:rFonts w:hint="eastAsia"/>
          <w:highlight w:val="none"/>
        </w:rPr>
        <w:t>新村和冻青垸村、熊口镇马场村</w:t>
      </w:r>
      <w:r>
        <w:rPr>
          <w:rFonts w:hint="eastAsia"/>
          <w:highlight w:val="none"/>
          <w:lang w:eastAsia="zh-CN"/>
        </w:rPr>
        <w:t>、</w:t>
      </w:r>
      <w:r>
        <w:rPr>
          <w:rFonts w:hint="eastAsia"/>
          <w:highlight w:val="none"/>
        </w:rPr>
        <w:t>瞄场村</w:t>
      </w:r>
      <w:r>
        <w:rPr>
          <w:rFonts w:hint="eastAsia"/>
          <w:highlight w:val="none"/>
          <w:lang w:val="en-US" w:eastAsia="zh-CN"/>
        </w:rPr>
        <w:t>和白果树村、</w:t>
      </w:r>
      <w:r>
        <w:rPr>
          <w:rFonts w:hint="eastAsia"/>
          <w:highlight w:val="none"/>
        </w:rPr>
        <w:t>张金镇王东村等省级美丽乡村建设试点村，注重特色塑造，提升美丽乡村建设层次和水平。支持渔洋镇</w:t>
      </w:r>
      <w:r>
        <w:rPr>
          <w:rFonts w:hint="eastAsia"/>
          <w:strike w:val="0"/>
          <w:highlight w:val="none"/>
        </w:rPr>
        <w:t>拖船埠</w:t>
      </w:r>
      <w:r>
        <w:rPr>
          <w:rFonts w:hint="eastAsia"/>
          <w:highlight w:val="none"/>
        </w:rPr>
        <w:t>等特色村建设，打造潜江风貌，体现潜江特色。以汉江—兴隆河生态风光带、返湾湖旅游片区为</w:t>
      </w:r>
      <w:r>
        <w:rPr>
          <w:rFonts w:hint="eastAsia"/>
          <w:highlight w:val="none"/>
          <w:lang w:val="en-US" w:eastAsia="zh-CN"/>
        </w:rPr>
        <w:t>重点</w:t>
      </w:r>
      <w:r>
        <w:rPr>
          <w:rFonts w:hint="eastAsia"/>
          <w:highlight w:val="none"/>
        </w:rPr>
        <w:t>区域，推进美丽乡村建设与乡村旅游发展紧密融合</w:t>
      </w:r>
      <w:r>
        <w:rPr>
          <w:rFonts w:hint="eastAsia"/>
          <w:highlight w:val="none"/>
          <w:lang w:eastAsia="zh-CN"/>
        </w:rPr>
        <w:t>，</w:t>
      </w:r>
      <w:r>
        <w:rPr>
          <w:rFonts w:hint="eastAsia"/>
          <w:highlight w:val="none"/>
        </w:rPr>
        <w:t>培育一批农旅融合示范村</w:t>
      </w:r>
      <w:r>
        <w:rPr>
          <w:rFonts w:hint="eastAsia"/>
          <w:highlight w:val="none"/>
          <w:lang w:eastAsia="zh-CN"/>
        </w:rPr>
        <w:t>，</w:t>
      </w:r>
      <w:r>
        <w:rPr>
          <w:rFonts w:hint="eastAsia"/>
          <w:highlight w:val="none"/>
        </w:rPr>
        <w:t>打造全市乡村旅游推进乡村振兴示范样本</w:t>
      </w:r>
      <w:r>
        <w:rPr>
          <w:rFonts w:hint="eastAsia"/>
          <w:highlight w:val="none"/>
          <w:lang w:eastAsia="zh-CN"/>
        </w:rPr>
        <w:t>。</w:t>
      </w:r>
      <w:r>
        <w:rPr>
          <w:rFonts w:hint="eastAsia" w:cs="Times New Roman"/>
          <w:highlight w:val="none"/>
          <w:lang w:val="en-US" w:eastAsia="zh-CN"/>
        </w:rPr>
        <w:t>深入开展</w:t>
      </w:r>
      <w:r>
        <w:rPr>
          <w:rFonts w:hint="eastAsia" w:ascii="Times New Roman" w:hAnsi="Times New Roman" w:cs="Times New Roman"/>
          <w:highlight w:val="none"/>
          <w:lang w:val="en-US" w:eastAsia="zh-CN"/>
        </w:rPr>
        <w:t>“美丽庭院”创建评比活动，加大小菜园、小果园、小花园建设</w:t>
      </w:r>
      <w:r>
        <w:rPr>
          <w:rFonts w:hint="eastAsia" w:cs="Times New Roman"/>
          <w:highlight w:val="none"/>
          <w:lang w:val="en-US" w:eastAsia="zh-CN"/>
        </w:rPr>
        <w:t>力度</w:t>
      </w:r>
      <w:r>
        <w:rPr>
          <w:rFonts w:hint="eastAsia" w:ascii="Times New Roman" w:hAnsi="Times New Roman" w:cs="Times New Roman"/>
          <w:highlight w:val="none"/>
          <w:lang w:val="en-US" w:eastAsia="zh-CN"/>
        </w:rPr>
        <w:t>，将创建“美丽庭院”与美丽乡村建设和环境整治相结合，研定《潜江市“美丽庭院”示范点创建工作方案》，</w:t>
      </w:r>
      <w:r>
        <w:rPr>
          <w:rFonts w:hint="eastAsia" w:cs="Times New Roman"/>
          <w:highlight w:val="none"/>
          <w:lang w:val="en-US" w:eastAsia="zh-CN"/>
        </w:rPr>
        <w:t>以</w:t>
      </w:r>
      <w:r>
        <w:rPr>
          <w:rFonts w:hint="eastAsia" w:ascii="Times New Roman" w:hAnsi="Times New Roman" w:cs="Times New Roman"/>
          <w:highlight w:val="none"/>
          <w:lang w:val="en-US" w:eastAsia="zh-CN"/>
        </w:rPr>
        <w:t>“试点先行，系统联动，全面推进”</w:t>
      </w:r>
      <w:r>
        <w:rPr>
          <w:rFonts w:hint="eastAsia" w:cs="Times New Roman"/>
          <w:highlight w:val="none"/>
          <w:lang w:val="en-US" w:eastAsia="zh-CN"/>
        </w:rPr>
        <w:t>为路径</w:t>
      </w:r>
      <w:r>
        <w:rPr>
          <w:rFonts w:hint="eastAsia" w:ascii="Times New Roman" w:hAnsi="Times New Roman" w:cs="Times New Roman"/>
          <w:highlight w:val="none"/>
          <w:lang w:val="en-US" w:eastAsia="zh-CN"/>
        </w:rPr>
        <w:t>，打造</w:t>
      </w:r>
      <w:r>
        <w:rPr>
          <w:rFonts w:hint="eastAsia" w:cs="Times New Roman"/>
          <w:highlight w:val="none"/>
          <w:lang w:val="en-US" w:eastAsia="zh-CN"/>
        </w:rPr>
        <w:t>一批</w:t>
      </w:r>
      <w:r>
        <w:rPr>
          <w:rFonts w:hint="eastAsia" w:ascii="Times New Roman" w:hAnsi="Times New Roman" w:cs="Times New Roman"/>
          <w:highlight w:val="none"/>
          <w:lang w:val="en-US" w:eastAsia="zh-CN"/>
        </w:rPr>
        <w:t>“美丽庭院”</w:t>
      </w:r>
      <w:r>
        <w:rPr>
          <w:rFonts w:hint="eastAsia" w:cs="Times New Roman"/>
          <w:highlight w:val="none"/>
          <w:lang w:val="en-US" w:eastAsia="zh-CN"/>
        </w:rPr>
        <w:t>全域建设村，改造一批精品“美丽庭院”。推进乡村农业文化遗产发掘与保护工作。</w:t>
      </w:r>
    </w:p>
    <w:p>
      <w:pPr>
        <w:keepNext w:val="0"/>
        <w:keepLines w:val="0"/>
        <w:pageBreakBefore w:val="0"/>
        <w:widowControl w:val="0"/>
        <w:kinsoku/>
        <w:wordWrap/>
        <w:overflowPunct w:val="0"/>
        <w:topLinePunct w:val="0"/>
        <w:autoSpaceDE/>
        <w:autoSpaceDN/>
        <w:bidi w:val="0"/>
        <w:adjustRightInd/>
        <w:snapToGrid/>
        <w:spacing w:line="600" w:lineRule="exact"/>
        <w:textAlignment w:val="auto"/>
        <w:outlineLvl w:val="9"/>
        <w:rPr>
          <w:rFonts w:hint="eastAsia"/>
          <w:lang w:val="en-US" w:eastAsia="zh-CN"/>
        </w:rPr>
      </w:pPr>
      <w:r>
        <w:rPr>
          <w:rFonts w:hint="eastAsia"/>
          <w:highlight w:val="none"/>
        </w:rPr>
        <w:t>“十四五”期间，</w:t>
      </w:r>
      <w:r>
        <w:rPr>
          <w:rFonts w:hint="eastAsia"/>
          <w:highlight w:val="none"/>
          <w:lang w:val="en-US" w:eastAsia="zh-CN"/>
        </w:rPr>
        <w:t>逐步推进</w:t>
      </w:r>
      <w:r>
        <w:rPr>
          <w:rFonts w:hint="eastAsia"/>
          <w:highlight w:val="none"/>
        </w:rPr>
        <w:t>G318乡村振兴示范带建设，辐射打造一批美丽乡村示范片区。</w:t>
      </w:r>
      <w:r>
        <w:rPr>
          <w:rFonts w:hint="eastAsia"/>
          <w:highlight w:val="none"/>
          <w:lang w:val="en-US" w:eastAsia="zh-CN"/>
        </w:rPr>
        <w:t>力争每年投入1.3亿元，</w:t>
      </w:r>
      <w:r>
        <w:rPr>
          <w:rFonts w:hint="eastAsia"/>
          <w:highlight w:val="none"/>
        </w:rPr>
        <w:t>按照4%和16%分年度推进省级美丽乡村示范村、整治村建设。到2022年，实现美丽乡村示范村、整治村全覆盖。</w:t>
      </w:r>
      <w:r>
        <w:rPr>
          <w:rFonts w:hint="eastAsia"/>
          <w:highlight w:val="none"/>
          <w:lang w:eastAsia="zh-CN"/>
        </w:rPr>
        <w:t>“美丽庭院”创建行政村覆盖率达到100%，每个</w:t>
      </w:r>
      <w:r>
        <w:rPr>
          <w:rFonts w:hint="eastAsia"/>
          <w:highlight w:val="none"/>
          <w:lang w:val="en-US" w:eastAsia="zh-CN"/>
        </w:rPr>
        <w:t>区、镇、街道</w:t>
      </w:r>
      <w:r>
        <w:rPr>
          <w:rFonts w:hint="eastAsia"/>
          <w:highlight w:val="none"/>
          <w:lang w:eastAsia="zh-CN"/>
        </w:rPr>
        <w:t>至少建成1个美丽庭院示范村（</w:t>
      </w:r>
      <w:r>
        <w:rPr>
          <w:rFonts w:hint="eastAsia"/>
          <w:highlight w:val="none"/>
          <w:lang w:val="en-US" w:eastAsia="zh-CN"/>
        </w:rPr>
        <w:t>组</w:t>
      </w:r>
      <w:r>
        <w:rPr>
          <w:rFonts w:hint="eastAsia"/>
          <w:highlight w:val="none"/>
          <w:lang w:eastAsia="zh-CN"/>
        </w:rPr>
        <w:t>）。</w:t>
      </w:r>
      <w:bookmarkStart w:id="180" w:name="_Toc29566"/>
    </w:p>
    <w:p>
      <w:pPr>
        <w:pStyle w:val="6"/>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textAlignment w:val="auto"/>
        <w:rPr>
          <w:rFonts w:hint="eastAsia" w:ascii="楷体" w:hAnsi="楷体" w:eastAsia="楷体" w:cs="楷体"/>
          <w:b/>
          <w:bCs w:val="0"/>
          <w:sz w:val="32"/>
          <w:szCs w:val="27"/>
          <w:highlight w:val="none"/>
          <w:lang w:val="en-US" w:eastAsia="zh-CN"/>
        </w:rPr>
      </w:pPr>
      <w:r>
        <w:rPr>
          <w:rFonts w:hint="eastAsia" w:ascii="楷体" w:hAnsi="楷体" w:eastAsia="楷体" w:cs="楷体"/>
          <w:b/>
          <w:bCs w:val="0"/>
          <w:sz w:val="32"/>
          <w:szCs w:val="27"/>
          <w:highlight w:val="none"/>
          <w:lang w:val="en-US" w:eastAsia="zh-CN"/>
        </w:rPr>
        <w:t>二、加快推进特色美丽城镇建设</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640" w:firstLineChars="200"/>
        <w:jc w:val="both"/>
        <w:textAlignment w:val="auto"/>
        <w:outlineLvl w:val="9"/>
        <w:rPr>
          <w:rFonts w:hint="eastAsia"/>
          <w:highlight w:val="none"/>
          <w:lang w:val="en-US" w:eastAsia="zh-CN"/>
        </w:rPr>
      </w:pPr>
      <w:r>
        <w:rPr>
          <w:rFonts w:hint="eastAsia" w:cs="Times New Roman"/>
          <w:b w:val="0"/>
          <w:smallCaps w:val="0"/>
          <w:kern w:val="2"/>
          <w:sz w:val="32"/>
          <w:szCs w:val="24"/>
          <w:highlight w:val="none"/>
          <w:lang w:val="en-US" w:eastAsia="zh-CN" w:bidi="ar-SA"/>
        </w:rPr>
        <w:t>围绕</w:t>
      </w:r>
      <w:r>
        <w:rPr>
          <w:rFonts w:hint="eastAsia" w:ascii="Times New Roman" w:hAnsi="Times New Roman" w:eastAsia="仿宋_GB2312" w:cs="Times New Roman"/>
          <w:b w:val="0"/>
          <w:smallCaps w:val="0"/>
          <w:kern w:val="2"/>
          <w:sz w:val="32"/>
          <w:szCs w:val="24"/>
          <w:highlight w:val="none"/>
          <w:lang w:val="en-US" w:eastAsia="zh-CN" w:bidi="ar-SA"/>
        </w:rPr>
        <w:t>江汉平原现代化中等城市</w:t>
      </w:r>
      <w:r>
        <w:rPr>
          <w:rFonts w:hint="eastAsia" w:cs="Times New Roman"/>
          <w:b w:val="0"/>
          <w:smallCaps w:val="0"/>
          <w:kern w:val="2"/>
          <w:sz w:val="32"/>
          <w:szCs w:val="24"/>
          <w:highlight w:val="none"/>
          <w:lang w:val="en-US" w:eastAsia="zh-CN" w:bidi="ar-SA"/>
        </w:rPr>
        <w:t>的建设目标，</w:t>
      </w:r>
      <w:r>
        <w:rPr>
          <w:rFonts w:hint="eastAsia" w:ascii="Times New Roman" w:hAnsi="Times New Roman" w:eastAsia="仿宋_GB2312" w:cs="Times New Roman"/>
          <w:b w:val="0"/>
          <w:smallCaps w:val="0"/>
          <w:kern w:val="2"/>
          <w:sz w:val="32"/>
          <w:szCs w:val="24"/>
          <w:highlight w:val="none"/>
          <w:lang w:val="en-US" w:eastAsia="zh-CN" w:bidi="ar-SA"/>
        </w:rPr>
        <w:t>抢抓国家重点支持</w:t>
      </w:r>
      <w:r>
        <w:rPr>
          <w:rFonts w:hint="eastAsia" w:ascii="Times New Roman" w:hAnsi="Times New Roman" w:cs="Times New Roman"/>
          <w:b w:val="0"/>
          <w:smallCaps w:val="0"/>
          <w:kern w:val="2"/>
          <w:sz w:val="32"/>
          <w:szCs w:val="24"/>
          <w:highlight w:val="none"/>
          <w:lang w:val="en-US" w:eastAsia="zh-CN" w:bidi="ar-SA"/>
        </w:rPr>
        <w:t>“两新一重”建设机遇</w:t>
      </w:r>
      <w:r>
        <w:rPr>
          <w:rFonts w:hint="eastAsia" w:ascii="Times New Roman" w:hAnsi="Times New Roman" w:eastAsia="仿宋_GB2312" w:cs="Times New Roman"/>
          <w:b w:val="0"/>
          <w:smallCaps w:val="0"/>
          <w:kern w:val="2"/>
          <w:sz w:val="32"/>
          <w:szCs w:val="24"/>
          <w:highlight w:val="none"/>
          <w:lang w:val="en-US" w:eastAsia="zh-CN" w:bidi="ar-SA"/>
        </w:rPr>
        <w:t>，</w:t>
      </w:r>
      <w:r>
        <w:rPr>
          <w:rFonts w:hint="eastAsia"/>
          <w:highlight w:val="none"/>
          <w:lang w:val="en-US" w:eastAsia="zh-CN"/>
        </w:rPr>
        <w:t>以国家级新型城镇化试点建设及全省农村住房试点建设为抓手，加快推进全市小城镇建设。大力推进“口子镇”建设。依托潜枣高速通道优势，支持沿线张金镇、浩口镇、积玉口镇、高石碑镇等潜西“口子镇”开放开发、升级发展；依托S350延长线及东荆四桥等重点工程建设，支持渔洋镇和老新镇等潜南“口子镇”双向对接、融合发展；依托汉江大桥，支持竹根滩镇等潜北“口子镇”加速崛起、振兴发展。深入实施“擦亮小城镇”行动。</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640" w:firstLineChars="200"/>
        <w:jc w:val="both"/>
        <w:textAlignment w:val="auto"/>
        <w:outlineLvl w:val="9"/>
        <w:rPr>
          <w:rFonts w:hint="eastAsia"/>
          <w:highlight w:val="none"/>
          <w:lang w:val="en-US" w:eastAsia="zh-CN"/>
        </w:rPr>
      </w:pPr>
      <w:r>
        <w:rPr>
          <w:rFonts w:hint="eastAsia"/>
          <w:highlight w:val="none"/>
          <w:lang w:val="en-US" w:eastAsia="zh-CN"/>
        </w:rPr>
        <w:t>加快特色小镇建设。支持</w:t>
      </w:r>
      <w:r>
        <w:rPr>
          <w:rFonts w:hint="eastAsia"/>
          <w:b w:val="0"/>
          <w:bCs w:val="0"/>
          <w:highlight w:val="none"/>
          <w:lang w:val="en-US" w:eastAsia="zh-CN"/>
        </w:rPr>
        <w:t>熊口镇</w:t>
      </w:r>
      <w:r>
        <w:rPr>
          <w:rFonts w:hint="eastAsia"/>
          <w:highlight w:val="none"/>
          <w:lang w:val="en-US" w:eastAsia="zh-CN"/>
        </w:rPr>
        <w:t>建设国家级龙虾特色小镇、国家级历史文化名镇、潜江中部商贸重镇、省级经济强镇，打造有国际影响的潜江龙虾和潜江虾稻等农副产品加工中心和龙虾产业发展样板示范区，成为一二三产业融合发展的示范标杆。支持后湖管理区加快虾谷小镇建设，以小龙虾交易中心为基础，构建“龙虾产业+旅游休闲+美食餐饮+民俗文化”相结合的发展平台，全力建设“设施高效农业、休闲观光农业、文化创意农业、示范体验农业、科普教育农业、健康养生农业”六位一体的虾谷小镇”。支持</w:t>
      </w:r>
      <w:r>
        <w:rPr>
          <w:rFonts w:hint="eastAsia"/>
          <w:b w:val="0"/>
          <w:bCs w:val="0"/>
          <w:highlight w:val="none"/>
          <w:lang w:val="en-US" w:eastAsia="zh-CN"/>
        </w:rPr>
        <w:t>积玉口镇</w:t>
      </w:r>
      <w:r>
        <w:rPr>
          <w:rFonts w:hint="eastAsia"/>
          <w:highlight w:val="none"/>
          <w:lang w:val="en-US" w:eastAsia="zh-CN"/>
        </w:rPr>
        <w:t>建设荆州、荆门和潜江交界地区绿色有机农产品生产加工、生态康养基地，“两高”（汉宜高铁与沿江高铁）连接线上重要的物流转运基地。支持</w:t>
      </w:r>
      <w:r>
        <w:rPr>
          <w:rFonts w:hint="eastAsia"/>
          <w:b w:val="0"/>
          <w:bCs w:val="0"/>
          <w:highlight w:val="none"/>
          <w:lang w:val="en-US" w:eastAsia="zh-CN"/>
        </w:rPr>
        <w:t>渔洋镇</w:t>
      </w:r>
      <w:r>
        <w:rPr>
          <w:rFonts w:hint="eastAsia"/>
          <w:highlight w:val="none"/>
          <w:lang w:val="en-US" w:eastAsia="zh-CN"/>
        </w:rPr>
        <w:t>打造潜东南绿色生态乡镇、农业现代化领军乡镇、宜居和谐幸福典范乡镇和“光伏特色小镇”。支持</w:t>
      </w:r>
      <w:r>
        <w:rPr>
          <w:rFonts w:hint="eastAsia"/>
          <w:b w:val="0"/>
          <w:bCs w:val="0"/>
          <w:highlight w:val="none"/>
          <w:lang w:val="en-US" w:eastAsia="zh-CN"/>
        </w:rPr>
        <w:t>高石碑镇</w:t>
      </w:r>
      <w:r>
        <w:rPr>
          <w:rFonts w:hint="eastAsia"/>
          <w:highlight w:val="none"/>
          <w:lang w:val="en-US" w:eastAsia="zh-CN"/>
        </w:rPr>
        <w:t>建设区域生态文体旅游示范区，打造江汉平原原生态文化农业旅游新地标。支持</w:t>
      </w:r>
      <w:r>
        <w:rPr>
          <w:rFonts w:hint="eastAsia"/>
          <w:b w:val="0"/>
          <w:bCs w:val="0"/>
          <w:highlight w:val="none"/>
          <w:lang w:val="en-US" w:eastAsia="zh-CN"/>
        </w:rPr>
        <w:t>王场镇立足光纤小镇建设，建设融光纤产业服务、创业创新、科技研发文化展示、旅游休闲、生活居住、社区服务等功能为一体的光纤小镇，打造“光纤制造典范区、活力创业新区、水乡慢活小镇”。</w:t>
      </w:r>
      <w:r>
        <w:rPr>
          <w:rFonts w:hint="eastAsia"/>
          <w:highlight w:val="none"/>
          <w:lang w:val="en-US" w:eastAsia="zh-CN"/>
        </w:rPr>
        <w:t>支持</w:t>
      </w:r>
      <w:r>
        <w:rPr>
          <w:rFonts w:hint="eastAsia"/>
          <w:b w:val="0"/>
          <w:bCs w:val="0"/>
          <w:highlight w:val="none"/>
          <w:lang w:val="en-US" w:eastAsia="zh-CN"/>
        </w:rPr>
        <w:t>张金镇</w:t>
      </w:r>
      <w:r>
        <w:rPr>
          <w:rFonts w:hint="eastAsia"/>
          <w:highlight w:val="none"/>
          <w:lang w:val="en-US" w:eastAsia="zh-CN"/>
        </w:rPr>
        <w:t>建成以服装产业为主、电汽为重点的省级经济强镇，大力发展以热电联供为基础的循环产业集群，努力建设工业强镇、农业强镇、商贸强镇，打造潜西南区域中心镇。支持</w:t>
      </w:r>
      <w:r>
        <w:rPr>
          <w:rFonts w:hint="eastAsia"/>
          <w:b w:val="0"/>
          <w:bCs w:val="0"/>
          <w:highlight w:val="none"/>
          <w:lang w:val="en-US" w:eastAsia="zh-CN"/>
        </w:rPr>
        <w:t>龙湾镇</w:t>
      </w:r>
      <w:r>
        <w:rPr>
          <w:rFonts w:hint="eastAsia"/>
          <w:highlight w:val="none"/>
          <w:lang w:val="en-US" w:eastAsia="zh-CN"/>
        </w:rPr>
        <w:t>围绕“一镇三区”打造荆楚文化特色小镇、现代农业核心区、服装产业聚集区和乡村振兴示范区等。支持</w:t>
      </w:r>
      <w:r>
        <w:rPr>
          <w:rFonts w:hint="eastAsia"/>
          <w:b w:val="0"/>
          <w:bCs w:val="0"/>
          <w:highlight w:val="none"/>
          <w:lang w:val="en-US" w:eastAsia="zh-CN"/>
        </w:rPr>
        <w:t>老新镇建</w:t>
      </w:r>
      <w:r>
        <w:rPr>
          <w:rFonts w:hint="eastAsia"/>
          <w:highlight w:val="none"/>
          <w:lang w:val="en-US" w:eastAsia="zh-CN"/>
        </w:rPr>
        <w:t>设产城融合示范区、商贸枢纽中心城、生态宜居秀美镇，打造产城融合、产业互通、秀美亮丽的潜南重镇。支持</w:t>
      </w:r>
      <w:r>
        <w:rPr>
          <w:rFonts w:hint="eastAsia"/>
          <w:b w:val="0"/>
          <w:bCs w:val="0"/>
          <w:highlight w:val="none"/>
          <w:lang w:val="en-US" w:eastAsia="zh-CN"/>
        </w:rPr>
        <w:t>浩口镇</w:t>
      </w:r>
      <w:r>
        <w:rPr>
          <w:rFonts w:hint="eastAsia"/>
          <w:highlight w:val="none"/>
          <w:lang w:val="en-US" w:eastAsia="zh-CN"/>
        </w:rPr>
        <w:t>建成以纺织服装业为主体、非遗文化展示中心和现代农业观光旅游基地为重点的省级重点镇，打造潜江西部强镇。支持</w:t>
      </w:r>
      <w:r>
        <w:rPr>
          <w:rFonts w:hint="eastAsia"/>
          <w:b w:val="0"/>
          <w:bCs w:val="0"/>
          <w:highlight w:val="none"/>
          <w:lang w:val="en-US" w:eastAsia="zh-CN"/>
        </w:rPr>
        <w:t>竹根滩镇</w:t>
      </w:r>
      <w:r>
        <w:rPr>
          <w:rFonts w:hint="eastAsia"/>
          <w:highlight w:val="none"/>
          <w:lang w:val="en-US" w:eastAsia="zh-CN"/>
        </w:rPr>
        <w:t>打造互联互通特色小镇、高新技术产业延展区、现代农业示范区、汉江生态旅游区。推进熊口镇和周矶管理区产业强镇建设工作。积极争取“零碳村镇”项目。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highlight w:val="none"/>
          <w:lang w:val="en-US" w:eastAsia="zh-CN"/>
        </w:rPr>
      </w:pPr>
      <w:r>
        <w:rPr>
          <w:rFonts w:hint="eastAsia"/>
          <w:highlight w:val="none"/>
          <w:lang w:val="en-US" w:eastAsia="zh-CN"/>
        </w:rPr>
        <w:drawing>
          <wp:anchor distT="0" distB="0" distL="114300" distR="114300" simplePos="0" relativeHeight="251659264" behindDoc="1" locked="0" layoutInCell="1" allowOverlap="1">
            <wp:simplePos x="0" y="0"/>
            <wp:positionH relativeFrom="column">
              <wp:posOffset>245745</wp:posOffset>
            </wp:positionH>
            <wp:positionV relativeFrom="paragraph">
              <wp:posOffset>43815</wp:posOffset>
            </wp:positionV>
            <wp:extent cx="4763770" cy="3839210"/>
            <wp:effectExtent l="0" t="0" r="17780" b="8890"/>
            <wp:wrapNone/>
            <wp:docPr id="5" name="图片 5" descr="3f0b1ff282d9fff36a5496656872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f0b1ff282d9fff36a5496656872c4f"/>
                    <pic:cNvPicPr>
                      <a:picLocks noChangeAspect="1"/>
                    </pic:cNvPicPr>
                  </pic:nvPicPr>
                  <pic:blipFill>
                    <a:blip r:embed="rId17"/>
                    <a:stretch>
                      <a:fillRect/>
                    </a:stretch>
                  </pic:blipFill>
                  <pic:spPr>
                    <a:xfrm>
                      <a:off x="0" y="0"/>
                      <a:ext cx="4763770" cy="383921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8"/>
          <w:szCs w:val="22"/>
          <w:highlight w:val="none"/>
          <w:lang w:val="en-US" w:eastAsia="zh-CN"/>
          <w14:textFill>
            <w14:solidFill>
              <w14:schemeClr w14:val="tx1"/>
            </w14:solidFill>
          </w14:textFill>
        </w:rPr>
      </w:pPr>
    </w:p>
    <w:p>
      <w:pPr>
        <w:pStyle w:val="2"/>
        <w:rPr>
          <w:rFonts w:hint="default" w:ascii="Times New Roman" w:hAnsi="Times New Roman" w:cs="Times New Roman"/>
          <w:color w:val="000000" w:themeColor="text1"/>
          <w:sz w:val="28"/>
          <w:szCs w:val="22"/>
          <w:highlight w:val="none"/>
          <w:lang w:val="en-US" w:eastAsia="zh-CN"/>
          <w14:textFill>
            <w14:solidFill>
              <w14:schemeClr w14:val="tx1"/>
            </w14:solidFill>
          </w14:textFill>
        </w:rPr>
      </w:pPr>
    </w:p>
    <w:p>
      <w:pPr>
        <w:rPr>
          <w:rFonts w:hint="default" w:ascii="Times New Roman" w:hAnsi="Times New Roman" w:cs="Times New Roman"/>
          <w:color w:val="000000" w:themeColor="text1"/>
          <w:sz w:val="28"/>
          <w:szCs w:val="22"/>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438" w:beforeLines="100" w:line="480" w:lineRule="auto"/>
        <w:ind w:left="0" w:leftChars="0" w:firstLine="0" w:firstLineChars="0"/>
        <w:jc w:val="center"/>
        <w:textAlignment w:val="auto"/>
        <w:outlineLvl w:val="9"/>
        <w:rPr>
          <w:rFonts w:hint="eastAsia" w:ascii="仿宋_GB2312" w:eastAsia="仿宋_GB2312"/>
          <w:sz w:val="32"/>
          <w:szCs w:val="32"/>
          <w:highlight w:val="none"/>
        </w:rPr>
      </w:pPr>
      <w:r>
        <w:rPr>
          <w:rFonts w:hint="default" w:ascii="Times New Roman" w:hAnsi="Times New Roman" w:cs="Times New Roman"/>
          <w:color w:val="000000" w:themeColor="text1"/>
          <w:sz w:val="28"/>
          <w:szCs w:val="22"/>
          <w:highlight w:val="none"/>
          <w:lang w:val="en-US" w:eastAsia="zh-CN"/>
          <w14:textFill>
            <w14:solidFill>
              <w14:schemeClr w14:val="tx1"/>
            </w14:solidFill>
          </w14:textFill>
        </w:rPr>
        <w:t>图</w:t>
      </w:r>
      <w:r>
        <w:rPr>
          <w:rFonts w:hint="eastAsia" w:cs="Times New Roman"/>
          <w:color w:val="000000" w:themeColor="text1"/>
          <w:sz w:val="28"/>
          <w:szCs w:val="22"/>
          <w:highlight w:val="none"/>
          <w:lang w:val="en-US" w:eastAsia="zh-CN"/>
          <w14:textFill>
            <w14:solidFill>
              <w14:schemeClr w14:val="tx1"/>
            </w14:solidFill>
          </w14:textFill>
        </w:rPr>
        <w:t>5</w:t>
      </w:r>
      <w:r>
        <w:rPr>
          <w:rFonts w:hint="default" w:ascii="Times New Roman" w:hAnsi="Times New Roman" w:cs="Times New Roman"/>
          <w:color w:val="000000" w:themeColor="text1"/>
          <w:sz w:val="28"/>
          <w:szCs w:val="22"/>
          <w:highlight w:val="none"/>
          <w:lang w:val="en-US" w:eastAsia="zh-CN"/>
          <w14:textFill>
            <w14:solidFill>
              <w14:schemeClr w14:val="tx1"/>
            </w14:solidFill>
          </w14:textFill>
        </w:rPr>
        <w:t>-</w:t>
      </w:r>
      <w:r>
        <w:rPr>
          <w:rFonts w:hint="eastAsia" w:cs="Times New Roman"/>
          <w:color w:val="000000" w:themeColor="text1"/>
          <w:sz w:val="28"/>
          <w:szCs w:val="22"/>
          <w:highlight w:val="none"/>
          <w:lang w:val="en-US" w:eastAsia="zh-CN"/>
          <w14:textFill>
            <w14:solidFill>
              <w14:schemeClr w14:val="tx1"/>
            </w14:solidFill>
          </w14:textFill>
        </w:rPr>
        <w:t>1</w:t>
      </w:r>
      <w:r>
        <w:rPr>
          <w:rFonts w:hint="eastAsia"/>
          <w:color w:val="000000" w:themeColor="text1"/>
          <w:sz w:val="28"/>
          <w:szCs w:val="22"/>
          <w:highlight w:val="none"/>
          <w:lang w:val="en-US" w:eastAsia="zh-CN"/>
          <w14:textFill>
            <w14:solidFill>
              <w14:schemeClr w14:val="tx1"/>
            </w14:solidFill>
          </w14:textFill>
        </w:rPr>
        <w:t>潜江市“十四五”时期特色小城镇布局图</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outlineLvl w:val="9"/>
        <w:rPr>
          <w:rFonts w:hint="eastAsia"/>
          <w:highlight w:val="none"/>
          <w:lang w:val="en-US" w:eastAsia="zh-CN"/>
        </w:rPr>
      </w:pPr>
      <w:r>
        <w:rPr>
          <w:rFonts w:hint="eastAsia" w:ascii="仿宋_GB2312" w:eastAsia="仿宋_GB2312"/>
          <w:sz w:val="32"/>
          <w:szCs w:val="32"/>
        </w:rPr>
        <w:t>贯彻落实省委、省政府关于支持潜江全国县城新型城镇化示范建设的精神，加快实施《潜江市县城城镇化补短板强弱项实施方案》，补强环境卫生、市政公用、公共服务</w:t>
      </w:r>
      <w:r>
        <w:rPr>
          <w:rFonts w:hint="eastAsia" w:ascii="仿宋_GB2312"/>
          <w:sz w:val="32"/>
          <w:szCs w:val="32"/>
          <w:lang w:val="en-US" w:eastAsia="zh-CN"/>
        </w:rPr>
        <w:t>和</w:t>
      </w:r>
      <w:r>
        <w:rPr>
          <w:rFonts w:hint="eastAsia" w:ascii="仿宋_GB2312" w:eastAsia="仿宋_GB2312"/>
          <w:sz w:val="32"/>
          <w:szCs w:val="32"/>
        </w:rPr>
        <w:t>产业配套等领域的短板弱项</w:t>
      </w:r>
      <w:r>
        <w:rPr>
          <w:rFonts w:hint="eastAsia"/>
          <w:highlight w:val="none"/>
          <w:lang w:val="en-US" w:eastAsia="zh-CN"/>
        </w:rPr>
        <w:t>，加快建成一批宜居、宜业、宜游、宜养的连线美丽城镇。统筹市域城镇空间格局，构建“三级五类”城乡发展布局，有序推动全市农村人口就近向条件较好、发展空间较大的城镇、特色小镇和中心村相对集中居住和创业发展。探索建立以镇（区）为中心，辐射所辖村湾，通过基础设施、公共服务设施及美丽村镇建设，构建起“以镇（区）带村、以村促镇（区）、镇（区）村融合”的“1+N”镇（区）村联动发展模式，逐步把镇（区）建成服务农民的区域中心。到2025年，镇区人口集聚能力大幅提升，全市常住人口城镇化率达到61%，城镇化体制机制不断完善，城乡进一步融合发展。</w:t>
      </w:r>
    </w:p>
    <w:p>
      <w:pPr>
        <w:keepNext w:val="0"/>
        <w:keepLines w:val="0"/>
        <w:pageBreakBefore w:val="0"/>
        <w:widowControl w:val="0"/>
        <w:kinsoku/>
        <w:wordWrap/>
        <w:overflowPunct/>
        <w:topLinePunct w:val="0"/>
        <w:autoSpaceDE/>
        <w:autoSpaceDN/>
        <w:bidi w:val="0"/>
        <w:adjustRightInd/>
        <w:snapToGrid/>
        <w:spacing w:line="160" w:lineRule="exact"/>
        <w:ind w:firstLine="0" w:firstLineChars="0"/>
        <w:jc w:val="both"/>
        <w:textAlignment w:val="auto"/>
        <w:rPr>
          <w:rFonts w:hint="eastAsia" w:ascii="黑体" w:hAnsi="黑体" w:eastAsia="黑体" w:cs="黑体"/>
          <w:sz w:val="28"/>
          <w:szCs w:val="28"/>
        </w:rPr>
      </w:pPr>
    </w:p>
    <w:p>
      <w:pPr>
        <w:spacing w:line="360" w:lineRule="auto"/>
        <w:ind w:firstLine="0" w:firstLineChars="0"/>
        <w:jc w:val="center"/>
        <w:rPr>
          <w:rFonts w:hint="default"/>
          <w:sz w:val="28"/>
          <w:szCs w:val="28"/>
          <w:lang w:val="en-US" w:eastAsia="zh-CN"/>
        </w:rPr>
      </w:pPr>
      <w:r>
        <w:rPr>
          <w:rFonts w:hint="eastAsia" w:ascii="黑体" w:hAnsi="黑体" w:eastAsia="黑体" w:cs="黑体"/>
          <w:sz w:val="28"/>
          <w:szCs w:val="28"/>
        </w:rPr>
        <w:t>表</w:t>
      </w:r>
      <w:r>
        <w:rPr>
          <w:rFonts w:hint="default" w:ascii="Times New Roman" w:hAnsi="Times New Roman" w:eastAsia="黑体" w:cs="Times New Roman"/>
          <w:sz w:val="28"/>
          <w:szCs w:val="28"/>
          <w:lang w:val="en-US" w:eastAsia="zh-CN"/>
        </w:rPr>
        <w:t>5-1</w:t>
      </w:r>
      <w:r>
        <w:rPr>
          <w:rFonts w:hint="eastAsia" w:eastAsia="黑体" w:cs="Times New Roman"/>
          <w:sz w:val="28"/>
          <w:szCs w:val="28"/>
          <w:lang w:val="en-US" w:eastAsia="zh-CN"/>
        </w:rPr>
        <w:t>潜江市“三级五类”城乡体系全域发展指引表</w:t>
      </w:r>
    </w:p>
    <w:tbl>
      <w:tblPr>
        <w:tblStyle w:val="24"/>
        <w:tblW w:w="8087" w:type="dxa"/>
        <w:jc w:val="center"/>
        <w:shd w:val="clear" w:color="auto" w:fill="auto"/>
        <w:tblLayout w:type="autofit"/>
        <w:tblCellMar>
          <w:top w:w="45" w:type="dxa"/>
          <w:left w:w="113" w:type="dxa"/>
          <w:bottom w:w="45" w:type="dxa"/>
          <w:right w:w="113" w:type="dxa"/>
        </w:tblCellMar>
      </w:tblPr>
      <w:tblGrid>
        <w:gridCol w:w="1146"/>
        <w:gridCol w:w="1126"/>
        <w:gridCol w:w="1297"/>
        <w:gridCol w:w="4518"/>
      </w:tblGrid>
      <w:tr>
        <w:tblPrEx>
          <w:shd w:val="clear" w:color="auto" w:fill="auto"/>
          <w:tblCellMar>
            <w:top w:w="45" w:type="dxa"/>
            <w:left w:w="113" w:type="dxa"/>
            <w:bottom w:w="45" w:type="dxa"/>
            <w:right w:w="113" w:type="dxa"/>
          </w:tblCellMar>
        </w:tblPrEx>
        <w:trPr>
          <w:trHeight w:val="396" w:hRule="atLeast"/>
          <w:tblHeader/>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val="0"/>
              <w:snapToGrid w:val="0"/>
              <w:spacing w:line="300" w:lineRule="exact"/>
              <w:ind w:left="0" w:leftChars="0" w:firstLine="0" w:firstLineChars="0"/>
              <w:jc w:val="both"/>
              <w:rPr>
                <w:rFonts w:hint="eastAsia" w:ascii="宋体" w:hAnsi="宋体" w:eastAsia="宋体" w:cs="宋体"/>
                <w:b/>
                <w:kern w:val="0"/>
                <w:sz w:val="20"/>
                <w:szCs w:val="20"/>
                <w:lang w:val="en-US" w:eastAsia="zh-CN"/>
              </w:rPr>
            </w:pPr>
            <w:r>
              <w:rPr>
                <w:rFonts w:hint="eastAsia" w:ascii="宋体" w:hAnsi="宋体" w:eastAsia="宋体" w:cs="宋体"/>
                <w:b/>
                <w:kern w:val="0"/>
                <w:sz w:val="20"/>
                <w:szCs w:val="20"/>
                <w:lang w:val="en-US" w:eastAsia="zh-CN"/>
              </w:rPr>
              <w:t>城镇等级</w:t>
            </w:r>
          </w:p>
        </w:tc>
        <w:tc>
          <w:tcPr>
            <w:tcW w:w="1126"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val="0"/>
              <w:snapToGrid w:val="0"/>
              <w:spacing w:line="300" w:lineRule="exact"/>
              <w:ind w:left="0" w:leftChars="0" w:firstLine="0" w:firstLineChars="0"/>
              <w:jc w:val="both"/>
              <w:rPr>
                <w:rFonts w:hint="eastAsia" w:ascii="宋体" w:hAnsi="宋体" w:eastAsia="宋体" w:cs="宋体"/>
                <w:b/>
                <w:kern w:val="0"/>
                <w:sz w:val="20"/>
                <w:szCs w:val="20"/>
                <w:lang w:val="en-US" w:eastAsia="zh-CN"/>
              </w:rPr>
            </w:pPr>
            <w:r>
              <w:rPr>
                <w:rFonts w:hint="eastAsia" w:ascii="宋体" w:hAnsi="宋体" w:eastAsia="宋体" w:cs="宋体"/>
                <w:b/>
                <w:kern w:val="0"/>
                <w:sz w:val="20"/>
                <w:szCs w:val="20"/>
                <w:lang w:val="en-US" w:eastAsia="zh-CN"/>
              </w:rPr>
              <w:t>城镇职能</w:t>
            </w:r>
          </w:p>
        </w:tc>
        <w:tc>
          <w:tcPr>
            <w:tcW w:w="1297"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val="0"/>
              <w:snapToGrid w:val="0"/>
              <w:spacing w:line="300" w:lineRule="exact"/>
              <w:ind w:left="0" w:leftChars="0" w:firstLine="0" w:firstLineChars="0"/>
              <w:jc w:val="center"/>
              <w:rPr>
                <w:rFonts w:hint="eastAsia" w:ascii="宋体" w:hAnsi="宋体" w:eastAsia="宋体" w:cs="宋体"/>
                <w:b/>
                <w:kern w:val="0"/>
                <w:sz w:val="20"/>
                <w:szCs w:val="20"/>
                <w:lang w:val="en-US" w:eastAsia="zh-CN"/>
              </w:rPr>
            </w:pPr>
            <w:r>
              <w:rPr>
                <w:rFonts w:hint="eastAsia" w:ascii="宋体" w:hAnsi="宋体" w:eastAsia="宋体" w:cs="宋体"/>
                <w:b/>
                <w:kern w:val="0"/>
                <w:sz w:val="20"/>
                <w:szCs w:val="20"/>
                <w:lang w:val="en-US" w:eastAsia="zh-CN"/>
              </w:rPr>
              <w:t>城镇名称</w:t>
            </w:r>
          </w:p>
        </w:tc>
        <w:tc>
          <w:tcPr>
            <w:tcW w:w="4518"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val="0"/>
              <w:snapToGrid w:val="0"/>
              <w:spacing w:line="300" w:lineRule="exact"/>
              <w:ind w:left="0" w:leftChars="0" w:firstLine="0" w:firstLineChars="0"/>
              <w:jc w:val="center"/>
              <w:rPr>
                <w:rFonts w:hint="eastAsia" w:ascii="宋体" w:hAnsi="宋体" w:eastAsia="宋体" w:cs="宋体"/>
                <w:b/>
                <w:kern w:val="0"/>
                <w:sz w:val="20"/>
                <w:szCs w:val="20"/>
                <w:lang w:val="en-US" w:eastAsia="zh-CN"/>
              </w:rPr>
            </w:pPr>
            <w:r>
              <w:rPr>
                <w:rFonts w:hint="eastAsia" w:ascii="宋体" w:hAnsi="宋体" w:eastAsia="宋体" w:cs="宋体"/>
                <w:b/>
                <w:kern w:val="0"/>
                <w:sz w:val="20"/>
                <w:szCs w:val="20"/>
                <w:lang w:val="en-US" w:eastAsia="zh-CN"/>
              </w:rPr>
              <w:t>发展指引</w:t>
            </w:r>
          </w:p>
        </w:tc>
      </w:tr>
      <w:tr>
        <w:tblPrEx>
          <w:shd w:val="clear" w:color="auto" w:fill="auto"/>
          <w:tblCellMar>
            <w:top w:w="45" w:type="dxa"/>
            <w:left w:w="113" w:type="dxa"/>
            <w:bottom w:w="45" w:type="dxa"/>
            <w:right w:w="113" w:type="dxa"/>
          </w:tblCellMar>
        </w:tblPrEx>
        <w:trPr>
          <w:trHeight w:val="811"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中心城区</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综合性</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中心城区</w:t>
            </w:r>
          </w:p>
        </w:tc>
        <w:tc>
          <w:tcPr>
            <w:tcW w:w="4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以国家高新区为抓手推进高质量发展，塑造优质水乡园林人文城市。</w:t>
            </w:r>
          </w:p>
        </w:tc>
      </w:tr>
      <w:tr>
        <w:tblPrEx>
          <w:shd w:val="clear" w:color="auto" w:fill="auto"/>
          <w:tblCellMar>
            <w:top w:w="45" w:type="dxa"/>
            <w:left w:w="113" w:type="dxa"/>
            <w:bottom w:w="45" w:type="dxa"/>
            <w:right w:w="113" w:type="dxa"/>
          </w:tblCellMar>
        </w:tblPrEx>
        <w:trPr>
          <w:trHeight w:val="840" w:hRule="atLeast"/>
          <w:jc w:val="center"/>
        </w:trPr>
        <w:tc>
          <w:tcPr>
            <w:tcW w:w="114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重点镇</w:t>
            </w:r>
          </w:p>
        </w:tc>
        <w:tc>
          <w:tcPr>
            <w:tcW w:w="112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商贸型</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熊口镇、</w:t>
            </w: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熊口管理区</w:t>
            </w:r>
          </w:p>
        </w:tc>
        <w:tc>
          <w:tcPr>
            <w:tcW w:w="4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发展农副产品深加工、生物医药；发展综合性或专业性商品批发市场。加快熊口特色小镇建设。</w:t>
            </w:r>
          </w:p>
        </w:tc>
      </w:tr>
      <w:tr>
        <w:tblPrEx>
          <w:shd w:val="clear" w:color="auto" w:fill="auto"/>
          <w:tblCellMar>
            <w:top w:w="45" w:type="dxa"/>
            <w:left w:w="113" w:type="dxa"/>
            <w:bottom w:w="45" w:type="dxa"/>
            <w:right w:w="113" w:type="dxa"/>
          </w:tblCellMar>
        </w:tblPrEx>
        <w:trPr>
          <w:trHeight w:val="314" w:hRule="atLeast"/>
          <w:jc w:val="center"/>
        </w:trPr>
        <w:tc>
          <w:tcPr>
            <w:tcW w:w="114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b/>
                <w:bCs/>
                <w:i w:val="0"/>
                <w:iCs w:val="0"/>
                <w:color w:val="000000"/>
                <w:kern w:val="0"/>
                <w:sz w:val="20"/>
                <w:szCs w:val="20"/>
                <w:u w:val="none"/>
                <w:lang w:val="en-US" w:eastAsia="zh-CN" w:bidi="ar"/>
              </w:rPr>
            </w:pPr>
          </w:p>
        </w:tc>
        <w:tc>
          <w:tcPr>
            <w:tcW w:w="112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kern w:val="0"/>
                <w:sz w:val="20"/>
                <w:szCs w:val="20"/>
                <w:u w:val="none"/>
                <w:lang w:val="en-US" w:eastAsia="zh-CN" w:bidi="ar"/>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color w:val="000000"/>
                <w:kern w:val="0"/>
                <w:sz w:val="20"/>
                <w:szCs w:val="20"/>
                <w:highlight w:val="none"/>
                <w:u w:val="none"/>
                <w:lang w:val="en-US" w:eastAsia="zh-CN" w:bidi="ar"/>
              </w:rPr>
              <w:t>后湖管理区</w:t>
            </w:r>
          </w:p>
        </w:tc>
        <w:tc>
          <w:tcPr>
            <w:tcW w:w="4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color w:val="000000"/>
                <w:kern w:val="0"/>
                <w:sz w:val="20"/>
                <w:szCs w:val="20"/>
                <w:highlight w:val="none"/>
                <w:u w:val="none"/>
                <w:lang w:val="en-US" w:eastAsia="zh-CN" w:bidi="ar"/>
              </w:rPr>
              <w:t>以小龙虾交易中心为基础，构建集休闲康养为一体的小镇</w:t>
            </w:r>
          </w:p>
        </w:tc>
      </w:tr>
      <w:tr>
        <w:tblPrEx>
          <w:shd w:val="clear" w:color="auto" w:fill="auto"/>
          <w:tblCellMar>
            <w:top w:w="45" w:type="dxa"/>
            <w:left w:w="113" w:type="dxa"/>
            <w:bottom w:w="45" w:type="dxa"/>
            <w:right w:w="113" w:type="dxa"/>
          </w:tblCellMar>
        </w:tblPrEx>
        <w:trPr>
          <w:trHeight w:val="819" w:hRule="atLeast"/>
          <w:jc w:val="center"/>
        </w:trPr>
        <w:tc>
          <w:tcPr>
            <w:tcW w:w="1146"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12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工贸型</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浩口镇</w:t>
            </w:r>
          </w:p>
        </w:tc>
        <w:tc>
          <w:tcPr>
            <w:tcW w:w="4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纺织服装业为主体、非遗文化展示中心和现代农业观光旅游基地。</w:t>
            </w:r>
          </w:p>
        </w:tc>
      </w:tr>
      <w:tr>
        <w:tblPrEx>
          <w:shd w:val="clear" w:color="auto" w:fill="auto"/>
          <w:tblCellMar>
            <w:top w:w="45" w:type="dxa"/>
            <w:left w:w="113" w:type="dxa"/>
            <w:bottom w:w="45" w:type="dxa"/>
            <w:right w:w="113" w:type="dxa"/>
          </w:tblCellMar>
        </w:tblPrEx>
        <w:trPr>
          <w:trHeight w:val="743" w:hRule="atLeast"/>
          <w:jc w:val="center"/>
        </w:trPr>
        <w:tc>
          <w:tcPr>
            <w:tcW w:w="1146"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126" w:type="dxa"/>
            <w:vMerge w:val="continue"/>
            <w:tcBorders>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张金镇</w:t>
            </w:r>
          </w:p>
        </w:tc>
        <w:tc>
          <w:tcPr>
            <w:tcW w:w="4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打造以服装产业为主、电汽为重点的省级经济强镇，大力发展以热电联供为基础的循环产业集群。</w:t>
            </w:r>
          </w:p>
        </w:tc>
      </w:tr>
      <w:tr>
        <w:tblPrEx>
          <w:shd w:val="clear" w:color="auto" w:fill="auto"/>
          <w:tblCellMar>
            <w:top w:w="45" w:type="dxa"/>
            <w:left w:w="113" w:type="dxa"/>
            <w:bottom w:w="45" w:type="dxa"/>
            <w:right w:w="113" w:type="dxa"/>
          </w:tblCellMar>
        </w:tblPrEx>
        <w:trPr>
          <w:trHeight w:val="364" w:hRule="atLeast"/>
          <w:jc w:val="center"/>
        </w:trPr>
        <w:tc>
          <w:tcPr>
            <w:tcW w:w="114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12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王场镇</w:t>
            </w:r>
          </w:p>
        </w:tc>
        <w:tc>
          <w:tcPr>
            <w:tcW w:w="4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大力发展光纤产业、光电子信息新兴产业。</w:t>
            </w:r>
          </w:p>
        </w:tc>
      </w:tr>
      <w:tr>
        <w:tblPrEx>
          <w:shd w:val="clear" w:color="auto" w:fill="auto"/>
          <w:tblCellMar>
            <w:top w:w="45" w:type="dxa"/>
            <w:left w:w="113" w:type="dxa"/>
            <w:bottom w:w="45" w:type="dxa"/>
            <w:right w:w="113" w:type="dxa"/>
          </w:tblCellMar>
        </w:tblPrEx>
        <w:trPr>
          <w:trHeight w:val="289" w:hRule="atLeast"/>
          <w:jc w:val="center"/>
        </w:trPr>
        <w:tc>
          <w:tcPr>
            <w:tcW w:w="11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b/>
                <w:bCs/>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b/>
                <w:bCs/>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b/>
                <w:bCs/>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b/>
                <w:bCs/>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b/>
                <w:bCs/>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b/>
                <w:bCs/>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b/>
                <w:bCs/>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b/>
                <w:bCs/>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b/>
                <w:bCs/>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一般镇</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旅游型</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龙湾镇</w:t>
            </w:r>
          </w:p>
        </w:tc>
        <w:tc>
          <w:tcPr>
            <w:tcW w:w="4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开发“龙湾遗址”，展示楚文化内涵，促进乡村旅游业发展。</w:t>
            </w:r>
          </w:p>
        </w:tc>
      </w:tr>
      <w:tr>
        <w:tblPrEx>
          <w:shd w:val="clear" w:color="auto" w:fill="auto"/>
          <w:tblCellMar>
            <w:top w:w="45" w:type="dxa"/>
            <w:left w:w="113" w:type="dxa"/>
            <w:bottom w:w="45" w:type="dxa"/>
            <w:right w:w="113" w:type="dxa"/>
          </w:tblCellMar>
        </w:tblPrEx>
        <w:trPr>
          <w:trHeight w:val="486" w:hRule="atLeast"/>
          <w:jc w:val="center"/>
        </w:trPr>
        <w:tc>
          <w:tcPr>
            <w:tcW w:w="11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高石碑镇</w:t>
            </w:r>
          </w:p>
        </w:tc>
        <w:tc>
          <w:tcPr>
            <w:tcW w:w="4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依托生态特色，大力发展“农业+旅游”，打造江汉平原原生态文化农业旅游新地标。</w:t>
            </w:r>
          </w:p>
        </w:tc>
      </w:tr>
      <w:tr>
        <w:tblPrEx>
          <w:shd w:val="clear" w:color="auto" w:fill="auto"/>
          <w:tblCellMar>
            <w:top w:w="45" w:type="dxa"/>
            <w:left w:w="113" w:type="dxa"/>
            <w:bottom w:w="45" w:type="dxa"/>
            <w:right w:w="113" w:type="dxa"/>
          </w:tblCellMar>
        </w:tblPrEx>
        <w:trPr>
          <w:trHeight w:val="486" w:hRule="atLeast"/>
          <w:jc w:val="center"/>
        </w:trPr>
        <w:tc>
          <w:tcPr>
            <w:tcW w:w="11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积玉口镇</w:t>
            </w:r>
          </w:p>
        </w:tc>
        <w:tc>
          <w:tcPr>
            <w:tcW w:w="4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建设绿色有机农产品生产加工；打造生态康养基地；打造“两高”连接线上重要的物流转运基地。</w:t>
            </w:r>
          </w:p>
        </w:tc>
      </w:tr>
      <w:tr>
        <w:tblPrEx>
          <w:shd w:val="clear" w:color="auto" w:fill="auto"/>
          <w:tblCellMar>
            <w:top w:w="45" w:type="dxa"/>
            <w:left w:w="113" w:type="dxa"/>
            <w:bottom w:w="45" w:type="dxa"/>
            <w:right w:w="113" w:type="dxa"/>
          </w:tblCellMar>
        </w:tblPrEx>
        <w:trPr>
          <w:trHeight w:val="310" w:hRule="atLeast"/>
          <w:jc w:val="center"/>
        </w:trPr>
        <w:tc>
          <w:tcPr>
            <w:tcW w:w="11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农贸型</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渔洋镇</w:t>
            </w:r>
          </w:p>
        </w:tc>
        <w:tc>
          <w:tcPr>
            <w:tcW w:w="4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重点发展光伏产业，打造“光伏特色小镇”。</w:t>
            </w:r>
          </w:p>
        </w:tc>
      </w:tr>
      <w:tr>
        <w:tblPrEx>
          <w:shd w:val="clear" w:color="auto" w:fill="auto"/>
          <w:tblCellMar>
            <w:top w:w="45" w:type="dxa"/>
            <w:left w:w="113" w:type="dxa"/>
            <w:bottom w:w="45" w:type="dxa"/>
            <w:right w:w="113" w:type="dxa"/>
          </w:tblCellMar>
        </w:tblPrEx>
        <w:trPr>
          <w:trHeight w:val="493" w:hRule="atLeast"/>
          <w:jc w:val="center"/>
        </w:trPr>
        <w:tc>
          <w:tcPr>
            <w:tcW w:w="11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老新镇</w:t>
            </w:r>
          </w:p>
        </w:tc>
        <w:tc>
          <w:tcPr>
            <w:tcW w:w="4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pacing w:val="-6"/>
                <w:kern w:val="0"/>
                <w:sz w:val="20"/>
                <w:szCs w:val="20"/>
                <w:u w:val="none"/>
                <w:lang w:val="en-US" w:eastAsia="zh-CN" w:bidi="ar"/>
              </w:rPr>
              <w:t>强化商贸服务特色，坚持发展传统农业、水产养殖业、粮棉加工。打造产城融合示范区、商贸枢纽中心城、生态宜居秀美镇</w:t>
            </w:r>
            <w:r>
              <w:rPr>
                <w:rFonts w:hint="eastAsia" w:ascii="宋体" w:hAnsi="宋体" w:eastAsia="宋体" w:cs="宋体"/>
                <w:i w:val="0"/>
                <w:iCs w:val="0"/>
                <w:color w:val="000000"/>
                <w:kern w:val="0"/>
                <w:sz w:val="20"/>
                <w:szCs w:val="20"/>
                <w:u w:val="none"/>
                <w:lang w:val="en-US" w:eastAsia="zh-CN" w:bidi="ar"/>
              </w:rPr>
              <w:t>。</w:t>
            </w:r>
          </w:p>
        </w:tc>
      </w:tr>
      <w:tr>
        <w:tblPrEx>
          <w:shd w:val="clear" w:color="auto" w:fill="auto"/>
          <w:tblCellMar>
            <w:top w:w="45" w:type="dxa"/>
            <w:left w:w="113" w:type="dxa"/>
            <w:bottom w:w="45" w:type="dxa"/>
            <w:right w:w="113" w:type="dxa"/>
          </w:tblCellMar>
        </w:tblPrEx>
        <w:trPr>
          <w:trHeight w:val="693" w:hRule="atLeast"/>
          <w:jc w:val="center"/>
        </w:trPr>
        <w:tc>
          <w:tcPr>
            <w:tcW w:w="11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竹根滩镇</w:t>
            </w:r>
          </w:p>
        </w:tc>
        <w:tc>
          <w:tcPr>
            <w:tcW w:w="4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推进潜江半夏全产业链发展、推进“优质大豆+绿色蔬菜”高产高效种植模式试验示范区建设。努力打造现代农业示范区、汉江生态旅游区。</w:t>
            </w:r>
          </w:p>
        </w:tc>
      </w:tr>
      <w:tr>
        <w:tblPrEx>
          <w:shd w:val="clear" w:color="auto" w:fill="auto"/>
          <w:tblCellMar>
            <w:top w:w="45" w:type="dxa"/>
            <w:left w:w="113" w:type="dxa"/>
            <w:bottom w:w="45" w:type="dxa"/>
            <w:right w:w="113" w:type="dxa"/>
          </w:tblCellMar>
        </w:tblPrEx>
        <w:trPr>
          <w:trHeight w:val="489" w:hRule="atLeast"/>
          <w:jc w:val="center"/>
        </w:trPr>
        <w:tc>
          <w:tcPr>
            <w:tcW w:w="11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pacing w:val="17"/>
                <w:kern w:val="0"/>
                <w:sz w:val="20"/>
                <w:szCs w:val="20"/>
                <w:u w:val="none"/>
                <w:lang w:val="en-US" w:eastAsia="zh-CN" w:bidi="ar"/>
              </w:rPr>
            </w:pPr>
            <w:r>
              <w:rPr>
                <w:rFonts w:hint="eastAsia" w:ascii="宋体" w:hAnsi="宋体" w:eastAsia="宋体" w:cs="宋体"/>
                <w:i w:val="0"/>
                <w:iCs w:val="0"/>
                <w:color w:val="000000"/>
                <w:spacing w:val="17"/>
                <w:kern w:val="0"/>
                <w:sz w:val="20"/>
                <w:szCs w:val="20"/>
                <w:u w:val="none"/>
                <w:lang w:val="en-US" w:eastAsia="zh-CN" w:bidi="ar"/>
              </w:rPr>
              <w:t>白鹭湖</w:t>
            </w: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pacing w:val="17"/>
                <w:kern w:val="0"/>
                <w:sz w:val="20"/>
                <w:szCs w:val="20"/>
                <w:u w:val="none"/>
                <w:lang w:val="en-US" w:eastAsia="zh-CN" w:bidi="ar"/>
              </w:rPr>
              <w:t>管理区</w:t>
            </w:r>
          </w:p>
        </w:tc>
        <w:tc>
          <w:tcPr>
            <w:tcW w:w="4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发展食品加工业及粮棉加工业，建设生态城镇，促进生态体验型农业旅游业形成。</w:t>
            </w:r>
          </w:p>
        </w:tc>
      </w:tr>
      <w:tr>
        <w:tblPrEx>
          <w:shd w:val="clear" w:color="auto" w:fill="auto"/>
          <w:tblCellMar>
            <w:top w:w="45" w:type="dxa"/>
            <w:left w:w="113" w:type="dxa"/>
            <w:bottom w:w="45" w:type="dxa"/>
            <w:right w:w="113" w:type="dxa"/>
          </w:tblCellMar>
        </w:tblPrEx>
        <w:trPr>
          <w:trHeight w:val="486" w:hRule="atLeast"/>
          <w:jc w:val="center"/>
        </w:trPr>
        <w:tc>
          <w:tcPr>
            <w:tcW w:w="11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宋体" w:hAnsi="宋体" w:eastAsia="宋体" w:cs="宋体"/>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周矶管理区</w:t>
            </w:r>
          </w:p>
        </w:tc>
        <w:tc>
          <w:tcPr>
            <w:tcW w:w="4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宋体" w:hAnsi="宋体" w:eastAsia="宋体" w:cs="宋体"/>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20"/>
                <w:szCs w:val="20"/>
                <w:u w:val="none"/>
                <w:lang w:val="en-US" w:eastAsia="zh-CN" w:bidi="ar"/>
              </w:rPr>
              <w:t>发展</w:t>
            </w:r>
            <w:r>
              <w:rPr>
                <w:rFonts w:hint="eastAsia" w:ascii="宋体" w:hAnsi="宋体" w:eastAsia="宋体" w:cs="宋体"/>
                <w:i w:val="0"/>
                <w:iCs w:val="0"/>
                <w:color w:val="000000"/>
                <w:kern w:val="0"/>
                <w:sz w:val="20"/>
                <w:szCs w:val="20"/>
                <w:u w:val="none"/>
                <w:lang w:val="en-US" w:eastAsia="zh-CN" w:bidi="ar"/>
              </w:rPr>
              <w:fldChar w:fldCharType="begin"/>
            </w:r>
            <w:r>
              <w:rPr>
                <w:rFonts w:hint="eastAsia" w:ascii="宋体" w:hAnsi="宋体" w:eastAsia="宋体" w:cs="宋体"/>
                <w:i w:val="0"/>
                <w:iCs w:val="0"/>
                <w:color w:val="000000"/>
                <w:kern w:val="0"/>
                <w:sz w:val="20"/>
                <w:szCs w:val="20"/>
                <w:u w:val="none"/>
                <w:lang w:val="en-US" w:eastAsia="zh-CN" w:bidi="ar"/>
              </w:rPr>
              <w:instrText xml:space="preserve"> HYPERLINK "https://baike.baidu.com/item/%E7%B2%BE%E5%93%81%E5%86%9C%E4%B8%9A/7788994" \t "https://baike.baidu.com/item/%E5%91%A8%E7%9F%B6%E7%AE%A1%E7%90%86%E5%8C%BA/_blank" </w:instrText>
            </w:r>
            <w:r>
              <w:rPr>
                <w:rFonts w:hint="eastAsia" w:ascii="宋体" w:hAnsi="宋体" w:eastAsia="宋体" w:cs="宋体"/>
                <w:i w:val="0"/>
                <w:iCs w:val="0"/>
                <w:color w:val="000000"/>
                <w:kern w:val="0"/>
                <w:sz w:val="20"/>
                <w:szCs w:val="20"/>
                <w:u w:val="none"/>
                <w:lang w:val="en-US" w:eastAsia="zh-CN" w:bidi="ar"/>
              </w:rPr>
              <w:fldChar w:fldCharType="separate"/>
            </w:r>
            <w:r>
              <w:rPr>
                <w:rFonts w:hint="default" w:ascii="宋体" w:hAnsi="宋体" w:eastAsia="宋体" w:cs="宋体"/>
                <w:i w:val="0"/>
                <w:iCs w:val="0"/>
                <w:color w:val="000000"/>
                <w:kern w:val="0"/>
                <w:sz w:val="20"/>
                <w:szCs w:val="20"/>
                <w:u w:val="none"/>
                <w:lang w:val="en-US" w:eastAsia="zh-CN" w:bidi="ar"/>
              </w:rPr>
              <w:t>精品农业</w:t>
            </w:r>
            <w:r>
              <w:rPr>
                <w:rFonts w:hint="default" w:ascii="宋体" w:hAnsi="宋体" w:eastAsia="宋体" w:cs="宋体"/>
                <w:i w:val="0"/>
                <w:iCs w:val="0"/>
                <w:color w:val="000000"/>
                <w:kern w:val="0"/>
                <w:sz w:val="20"/>
                <w:szCs w:val="20"/>
                <w:u w:val="none"/>
                <w:lang w:val="en-US" w:eastAsia="zh-CN" w:bidi="ar"/>
              </w:rPr>
              <w:fldChar w:fldCharType="end"/>
            </w:r>
            <w:r>
              <w:rPr>
                <w:rFonts w:hint="default" w:ascii="宋体" w:hAnsi="宋体" w:eastAsia="宋体" w:cs="宋体"/>
                <w:i w:val="0"/>
                <w:iCs w:val="0"/>
                <w:color w:val="000000"/>
                <w:kern w:val="0"/>
                <w:sz w:val="20"/>
                <w:szCs w:val="20"/>
                <w:u w:val="none"/>
                <w:lang w:val="en-US" w:eastAsia="zh-CN" w:bidi="ar"/>
              </w:rPr>
              <w:t>、</w:t>
            </w:r>
            <w:r>
              <w:rPr>
                <w:rFonts w:hint="default" w:ascii="宋体" w:hAnsi="宋体" w:eastAsia="宋体" w:cs="宋体"/>
                <w:i w:val="0"/>
                <w:iCs w:val="0"/>
                <w:color w:val="000000"/>
                <w:kern w:val="0"/>
                <w:sz w:val="20"/>
                <w:szCs w:val="20"/>
                <w:u w:val="none"/>
                <w:lang w:val="en-US" w:eastAsia="zh-CN" w:bidi="ar"/>
              </w:rPr>
              <w:fldChar w:fldCharType="begin"/>
            </w:r>
            <w:r>
              <w:rPr>
                <w:rFonts w:hint="default" w:ascii="宋体" w:hAnsi="宋体" w:eastAsia="宋体" w:cs="宋体"/>
                <w:i w:val="0"/>
                <w:iCs w:val="0"/>
                <w:color w:val="000000"/>
                <w:kern w:val="0"/>
                <w:sz w:val="20"/>
                <w:szCs w:val="20"/>
                <w:u w:val="none"/>
                <w:lang w:val="en-US" w:eastAsia="zh-CN" w:bidi="ar"/>
              </w:rPr>
              <w:instrText xml:space="preserve"> HYPERLINK "https://baike.baidu.com/item/%E8%A7%82%E5%85%89%E5%86%9C%E4%B8%9A/9060726" \t "https://baike.baidu.com/item/%E5%91%A8%E7%9F%B6%E7%AE%A1%E7%90%86%E5%8C%BA/_blank" </w:instrText>
            </w:r>
            <w:r>
              <w:rPr>
                <w:rFonts w:hint="default" w:ascii="宋体" w:hAnsi="宋体" w:eastAsia="宋体" w:cs="宋体"/>
                <w:i w:val="0"/>
                <w:iCs w:val="0"/>
                <w:color w:val="000000"/>
                <w:kern w:val="0"/>
                <w:sz w:val="20"/>
                <w:szCs w:val="20"/>
                <w:u w:val="none"/>
                <w:lang w:val="en-US" w:eastAsia="zh-CN" w:bidi="ar"/>
              </w:rPr>
              <w:fldChar w:fldCharType="separate"/>
            </w:r>
            <w:r>
              <w:rPr>
                <w:rFonts w:hint="default" w:ascii="宋体" w:hAnsi="宋体" w:eastAsia="宋体" w:cs="宋体"/>
                <w:i w:val="0"/>
                <w:iCs w:val="0"/>
                <w:color w:val="000000"/>
                <w:kern w:val="0"/>
                <w:sz w:val="20"/>
                <w:szCs w:val="20"/>
                <w:u w:val="none"/>
                <w:lang w:val="en-US" w:eastAsia="zh-CN" w:bidi="ar"/>
              </w:rPr>
              <w:t>观光农业</w:t>
            </w:r>
            <w:r>
              <w:rPr>
                <w:rFonts w:hint="default" w:ascii="宋体" w:hAnsi="宋体" w:eastAsia="宋体" w:cs="宋体"/>
                <w:i w:val="0"/>
                <w:iCs w:val="0"/>
                <w:color w:val="000000"/>
                <w:kern w:val="0"/>
                <w:sz w:val="20"/>
                <w:szCs w:val="20"/>
                <w:u w:val="none"/>
                <w:lang w:val="en-US" w:eastAsia="zh-CN" w:bidi="ar"/>
              </w:rPr>
              <w:fldChar w:fldCharType="end"/>
            </w:r>
            <w:r>
              <w:rPr>
                <w:rFonts w:hint="default" w:ascii="宋体" w:hAnsi="宋体" w:eastAsia="宋体" w:cs="宋体"/>
                <w:i w:val="0"/>
                <w:iCs w:val="0"/>
                <w:color w:val="000000"/>
                <w:kern w:val="0"/>
                <w:sz w:val="20"/>
                <w:szCs w:val="20"/>
                <w:u w:val="none"/>
                <w:lang w:val="en-US" w:eastAsia="zh-CN" w:bidi="ar"/>
              </w:rPr>
              <w:t>、</w:t>
            </w:r>
            <w:r>
              <w:rPr>
                <w:rFonts w:hint="default" w:ascii="宋体" w:hAnsi="宋体" w:eastAsia="宋体" w:cs="宋体"/>
                <w:i w:val="0"/>
                <w:iCs w:val="0"/>
                <w:color w:val="000000"/>
                <w:kern w:val="0"/>
                <w:sz w:val="20"/>
                <w:szCs w:val="20"/>
                <w:u w:val="none"/>
                <w:lang w:val="en-US" w:eastAsia="zh-CN" w:bidi="ar"/>
              </w:rPr>
              <w:fldChar w:fldCharType="begin"/>
            </w:r>
            <w:r>
              <w:rPr>
                <w:rFonts w:hint="default" w:ascii="宋体" w:hAnsi="宋体" w:eastAsia="宋体" w:cs="宋体"/>
                <w:i w:val="0"/>
                <w:iCs w:val="0"/>
                <w:color w:val="000000"/>
                <w:kern w:val="0"/>
                <w:sz w:val="20"/>
                <w:szCs w:val="20"/>
                <w:u w:val="none"/>
                <w:lang w:val="en-US" w:eastAsia="zh-CN" w:bidi="ar"/>
              </w:rPr>
              <w:instrText xml:space="preserve"> HYPERLINK "https://baike.baidu.com/item/%E9%AB%98%E6%95%88%E5%86%9C%E4%B8%9A/9348744" \t "https://baike.baidu.com/item/%E5%91%A8%E7%9F%B6%E7%AE%A1%E7%90%86%E5%8C%BA/_blank" </w:instrText>
            </w:r>
            <w:r>
              <w:rPr>
                <w:rFonts w:hint="default" w:ascii="宋体" w:hAnsi="宋体" w:eastAsia="宋体" w:cs="宋体"/>
                <w:i w:val="0"/>
                <w:iCs w:val="0"/>
                <w:color w:val="000000"/>
                <w:kern w:val="0"/>
                <w:sz w:val="20"/>
                <w:szCs w:val="20"/>
                <w:u w:val="none"/>
                <w:lang w:val="en-US" w:eastAsia="zh-CN" w:bidi="ar"/>
              </w:rPr>
              <w:fldChar w:fldCharType="separate"/>
            </w:r>
            <w:r>
              <w:rPr>
                <w:rFonts w:hint="default" w:ascii="宋体" w:hAnsi="宋体" w:eastAsia="宋体" w:cs="宋体"/>
                <w:i w:val="0"/>
                <w:iCs w:val="0"/>
                <w:color w:val="000000"/>
                <w:kern w:val="0"/>
                <w:sz w:val="20"/>
                <w:szCs w:val="20"/>
                <w:u w:val="none"/>
                <w:lang w:val="en-US" w:eastAsia="zh-CN" w:bidi="ar"/>
              </w:rPr>
              <w:t>高效农业</w:t>
            </w:r>
            <w:r>
              <w:rPr>
                <w:rFonts w:hint="default" w:ascii="宋体" w:hAnsi="宋体" w:eastAsia="宋体" w:cs="宋体"/>
                <w:i w:val="0"/>
                <w:iCs w:val="0"/>
                <w:color w:val="000000"/>
                <w:kern w:val="0"/>
                <w:sz w:val="20"/>
                <w:szCs w:val="20"/>
                <w:u w:val="none"/>
                <w:lang w:val="en-US" w:eastAsia="zh-CN" w:bidi="ar"/>
              </w:rPr>
              <w:fldChar w:fldCharType="end"/>
            </w:r>
            <w:r>
              <w:rPr>
                <w:rFonts w:hint="eastAsia" w:ascii="宋体" w:hAnsi="宋体" w:eastAsia="宋体" w:cs="宋体"/>
                <w:i w:val="0"/>
                <w:iCs w:val="0"/>
                <w:color w:val="000000"/>
                <w:kern w:val="0"/>
                <w:sz w:val="20"/>
                <w:szCs w:val="20"/>
                <w:u w:val="none"/>
                <w:lang w:val="en-US" w:eastAsia="zh-CN" w:bidi="ar"/>
              </w:rPr>
              <w:t>。加快潜半夏药业加工与开发，支持湖北尝香思食品做大做强。推进产业强镇建设。</w:t>
            </w:r>
          </w:p>
        </w:tc>
      </w:tr>
      <w:tr>
        <w:tblPrEx>
          <w:shd w:val="clear" w:color="auto" w:fill="auto"/>
          <w:tblCellMar>
            <w:top w:w="45" w:type="dxa"/>
            <w:left w:w="113" w:type="dxa"/>
            <w:bottom w:w="45" w:type="dxa"/>
            <w:right w:w="113" w:type="dxa"/>
          </w:tblCellMar>
        </w:tblPrEx>
        <w:trPr>
          <w:trHeight w:val="486" w:hRule="atLeast"/>
          <w:jc w:val="center"/>
        </w:trPr>
        <w:tc>
          <w:tcPr>
            <w:tcW w:w="11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运粮湖管理区</w:t>
            </w:r>
          </w:p>
        </w:tc>
        <w:tc>
          <w:tcPr>
            <w:tcW w:w="4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建设富硒小镇，大力推动现代农业与水产养殖业，发展农副产品加工、发挥其交通优势，发展农产品物流产业。</w:t>
            </w:r>
          </w:p>
        </w:tc>
      </w:tr>
      <w:tr>
        <w:tblPrEx>
          <w:shd w:val="clear" w:color="auto" w:fill="auto"/>
          <w:tblCellMar>
            <w:top w:w="45" w:type="dxa"/>
            <w:left w:w="113" w:type="dxa"/>
            <w:bottom w:w="45" w:type="dxa"/>
            <w:right w:w="113" w:type="dxa"/>
          </w:tblCellMar>
        </w:tblPrEx>
        <w:trPr>
          <w:trHeight w:val="711" w:hRule="atLeast"/>
          <w:jc w:val="center"/>
        </w:trPr>
        <w:tc>
          <w:tcPr>
            <w:tcW w:w="11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outlineLvl w:val="9"/>
              <w:rPr>
                <w:rFonts w:hint="eastAsia" w:ascii="宋体" w:hAnsi="宋体" w:eastAsia="宋体" w:cs="宋体"/>
                <w:i w:val="0"/>
                <w:iCs w:val="0"/>
                <w:color w:val="000000"/>
                <w:sz w:val="20"/>
                <w:szCs w:val="20"/>
                <w:u w:val="none"/>
              </w:rPr>
            </w:pP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工贸型</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总口管理区</w:t>
            </w:r>
          </w:p>
        </w:tc>
        <w:tc>
          <w:tcPr>
            <w:tcW w:w="4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利用邻近市区的优势，大力发展商贸、物流、服务业，重点发展电商物流产业，做好园区与总口集镇区的商贸、服务业对接，推进现代农业发展。</w:t>
            </w:r>
          </w:p>
        </w:tc>
      </w:tr>
    </w:tbl>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ind w:leftChars="0"/>
        <w:jc w:val="center"/>
        <w:textAlignment w:val="auto"/>
        <w:outlineLvl w:val="1"/>
        <w:rPr>
          <w:rFonts w:hint="default" w:ascii="楷体" w:hAnsi="楷体" w:eastAsia="楷体" w:cs="楷体"/>
          <w:b/>
          <w:bCs/>
          <w:smallCaps w:val="0"/>
          <w:sz w:val="32"/>
          <w:szCs w:val="32"/>
          <w:highlight w:val="none"/>
          <w:lang w:val="en-US" w:eastAsia="zh-CN"/>
        </w:rPr>
      </w:pPr>
      <w:bookmarkStart w:id="181" w:name="_Toc145"/>
      <w:bookmarkStart w:id="182" w:name="_Toc14877"/>
      <w:r>
        <w:rPr>
          <w:rFonts w:hint="eastAsia" w:ascii="楷体" w:hAnsi="楷体" w:eastAsia="楷体" w:cs="楷体"/>
          <w:b/>
          <w:bCs/>
          <w:smallCaps w:val="0"/>
          <w:sz w:val="32"/>
          <w:szCs w:val="32"/>
          <w:highlight w:val="none"/>
          <w:lang w:val="en-US" w:eastAsia="zh-CN"/>
        </w:rPr>
        <w:t>第五节 推进城乡公共服务一体化</w:t>
      </w:r>
      <w:bookmarkEnd w:id="181"/>
      <w:bookmarkEnd w:id="182"/>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ighlight w:val="none"/>
          <w:lang w:val="en-US" w:eastAsia="zh-CN"/>
        </w:rPr>
      </w:pPr>
      <w:r>
        <w:rPr>
          <w:rFonts w:hint="eastAsia"/>
          <w:highlight w:val="none"/>
          <w:lang w:val="en-US" w:eastAsia="zh-CN"/>
        </w:rPr>
        <w:t>深入实施“东进南扩、产城融合，四区联动、全域振兴”发展战略，以城乡基本公共服务均等化为导向，以“四大产业聚集区”建设、美丽城镇建设和全域土地综合整治为抓手，着力推进市镇（区）村公共服务一体化发展。进一步完善中心村和集镇的文化生活广场、图书室、乡村文娱活动中心基层设施，提升服务功能和服务水平。以中心村为单元建设农村幼儿园，以镇（区）为中心建设现代化设施的中学，鼓励农村学校开设特色课程。推进优质教育资源城乡共享。推进镇（区）卫生院全面升级，强化村级公共卫生服务站基础设施建设。建立市、镇（区）二级医疗远程治疗体系，实现医疗资源二级共享。开展镇（区）养老院设施提档升级，建设镇（区）级乡村公共福利中心，解决农村老人和幼儿托管问题。提高农村居民养老保险和医疗保险水平。</w:t>
      </w:r>
    </w:p>
    <w:p>
      <w:pPr>
        <w:jc w:val="both"/>
        <w:outlineLvl w:val="9"/>
        <w:rPr>
          <w:rFonts w:hint="eastAsia" w:ascii="楷体" w:hAnsi="楷体" w:eastAsia="楷体" w:cs="楷体"/>
          <w:b/>
          <w:bCs/>
          <w:smallCaps w:val="0"/>
          <w:sz w:val="32"/>
          <w:szCs w:val="32"/>
          <w:highlight w:val="none"/>
          <w:lang w:val="en-US" w:eastAsia="zh-CN"/>
        </w:rPr>
      </w:pPr>
      <w:r>
        <w:rPr>
          <w:rFonts w:hint="eastAsia"/>
          <w:highlight w:val="none"/>
          <w:lang w:val="en-US" w:eastAsia="zh-CN"/>
        </w:rPr>
        <w:t>到2025年，市镇（区）村公共服务协同发展，功能互补。公共服务水平趋于均衡，基础设施互联互通基本实现，人民基本生活保障水平大体相当，一体化发展体制机制更加完善，整体达到全省领先水平，成为江汉平原最具影响力和带动力的强劲活跃增长极。</w:t>
      </w:r>
      <w:bookmarkStart w:id="183" w:name="_Toc12872"/>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ind w:leftChars="0"/>
        <w:jc w:val="center"/>
        <w:textAlignment w:val="auto"/>
        <w:outlineLvl w:val="1"/>
        <w:rPr>
          <w:rFonts w:hint="eastAsia" w:ascii="楷体" w:hAnsi="楷体" w:eastAsia="楷体" w:cs="楷体"/>
          <w:b/>
          <w:bCs/>
          <w:smallCaps w:val="0"/>
          <w:sz w:val="32"/>
          <w:szCs w:val="32"/>
          <w:highlight w:val="none"/>
          <w:lang w:val="en-US" w:eastAsia="zh-CN"/>
        </w:rPr>
      </w:pPr>
      <w:bookmarkStart w:id="184" w:name="_Toc32716"/>
      <w:r>
        <w:rPr>
          <w:rFonts w:hint="eastAsia" w:ascii="楷体" w:hAnsi="楷体" w:eastAsia="楷体" w:cs="楷体"/>
          <w:b/>
          <w:bCs/>
          <w:smallCaps w:val="0"/>
          <w:sz w:val="32"/>
          <w:szCs w:val="32"/>
          <w:highlight w:val="none"/>
          <w:lang w:val="en-US" w:eastAsia="zh-CN"/>
        </w:rPr>
        <w:t>第六节 提升乡村治理现代化水平</w:t>
      </w:r>
      <w:bookmarkEnd w:id="183"/>
      <w:bookmarkEnd w:id="184"/>
    </w:p>
    <w:p>
      <w:pPr>
        <w:pStyle w:val="33"/>
        <w:keepNext w:val="0"/>
        <w:keepLines w:val="0"/>
        <w:pageBreakBefore w:val="0"/>
        <w:widowControl/>
        <w:kinsoku/>
        <w:wordWrap/>
        <w:overflowPunct/>
        <w:topLinePunct w:val="0"/>
        <w:autoSpaceDE w:val="0"/>
        <w:autoSpaceDN w:val="0"/>
        <w:bidi w:val="0"/>
        <w:adjustRightInd w:val="0"/>
        <w:snapToGrid w:val="0"/>
        <w:spacing w:line="560" w:lineRule="exact"/>
        <w:textAlignment w:val="auto"/>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t>加强村民会议、村民理事会、村民协商议事会、村务监督委员会等农村群众性自治组织建设，推广“村社合一”模式，健全和创新村民自治机制。推进以村党组织为领导核心的农村社区村民协商议事会、村民理事会、村务监督委员会协同治理。发挥农民主体作用，推进“三治融合”。</w:t>
      </w:r>
    </w:p>
    <w:p>
      <w:pPr>
        <w:pStyle w:val="33"/>
        <w:keepNext w:val="0"/>
        <w:keepLines w:val="0"/>
        <w:pageBreakBefore w:val="0"/>
        <w:widowControl/>
        <w:kinsoku/>
        <w:wordWrap/>
        <w:overflowPunct/>
        <w:topLinePunct w:val="0"/>
        <w:autoSpaceDE w:val="0"/>
        <w:autoSpaceDN w:val="0"/>
        <w:bidi w:val="0"/>
        <w:adjustRightInd w:val="0"/>
        <w:snapToGrid w:val="0"/>
        <w:spacing w:line="560" w:lineRule="exact"/>
        <w:textAlignment w:val="auto"/>
        <w:rPr>
          <w:rFonts w:hint="eastAsia"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t>推动“互联网+党建”“互联网+社区”向农村延伸，提高村级综合服务信息化水平，推动乡村建设和规划管理信息化，建立乡村数字治理新体系。改善公共法律服务，健全市、镇、村三级公共法律服务网络体系，完善法律顾问制度，推进“社区法律”“网格律师”工作机制建设。深化“法律进乡村”“法律进企业”活动，加强法治宣传教育。</w:t>
      </w:r>
    </w:p>
    <w:p>
      <w:pPr>
        <w:pStyle w:val="33"/>
        <w:keepNext w:val="0"/>
        <w:keepLines w:val="0"/>
        <w:pageBreakBefore w:val="0"/>
        <w:widowControl/>
        <w:kinsoku/>
        <w:wordWrap/>
        <w:overflowPunct/>
        <w:topLinePunct w:val="0"/>
        <w:autoSpaceDE w:val="0"/>
        <w:autoSpaceDN w:val="0"/>
        <w:bidi w:val="0"/>
        <w:adjustRightInd w:val="0"/>
        <w:snapToGrid w:val="0"/>
        <w:spacing w:line="560" w:lineRule="exact"/>
        <w:textAlignment w:val="auto"/>
        <w:rPr>
          <w:rFonts w:hint="eastAsia"/>
          <w:highlight w:val="none"/>
          <w:lang w:val="en-US" w:eastAsia="zh-CN"/>
        </w:rPr>
      </w:pPr>
      <w:r>
        <w:rPr>
          <w:rFonts w:hint="eastAsia" w:ascii="Times New Roman" w:hAnsi="Times New Roman" w:eastAsia="仿宋_GB2312" w:cs="Times New Roman"/>
          <w:kern w:val="2"/>
          <w:sz w:val="32"/>
          <w:szCs w:val="24"/>
          <w:highlight w:val="none"/>
          <w:lang w:val="en-US" w:eastAsia="zh-CN" w:bidi="ar-SA"/>
        </w:rPr>
        <w:t>探索推进以乡俗、乡风、乡贤构建起的乡村新文化文明体系建设。深挖乡风文明的历史内涵和时代价值，保护、活化、利用海量的农耕文化资源，推进信息化技术与荆州花鼓戏、江汉平原皮影戏、潜江民歌、潜江草把龙灯、广场舞、农家书屋、</w:t>
      </w:r>
      <w:r>
        <w:rPr>
          <w:rFonts w:hint="eastAsia" w:ascii="Times New Roman" w:eastAsia="仿宋_GB2312" w:cs="Times New Roman"/>
          <w:kern w:val="2"/>
          <w:sz w:val="32"/>
          <w:szCs w:val="24"/>
          <w:highlight w:val="none"/>
          <w:lang w:val="en-US" w:eastAsia="zh-CN" w:bidi="ar-SA"/>
        </w:rPr>
        <w:t>农民丰收节和潜江龙虾节</w:t>
      </w:r>
      <w:r>
        <w:rPr>
          <w:rFonts w:hint="eastAsia" w:ascii="Times New Roman" w:hAnsi="Times New Roman" w:eastAsia="仿宋_GB2312" w:cs="Times New Roman"/>
          <w:kern w:val="2"/>
          <w:sz w:val="32"/>
          <w:szCs w:val="24"/>
          <w:highlight w:val="none"/>
          <w:lang w:val="en-US" w:eastAsia="zh-CN" w:bidi="ar-SA"/>
        </w:rPr>
        <w:t>等的融合，推进乡村文化振兴与文明建设。结合潜江农村实际，推广城市社区治理</w:t>
      </w:r>
      <w:r>
        <w:rPr>
          <w:rFonts w:hint="eastAsia" w:ascii="Times New Roman" w:eastAsia="仿宋_GB2312" w:cs="Times New Roman"/>
          <w:kern w:val="2"/>
          <w:sz w:val="32"/>
          <w:szCs w:val="24"/>
          <w:highlight w:val="none"/>
          <w:lang w:val="en-US" w:eastAsia="zh-CN" w:bidi="ar-SA"/>
        </w:rPr>
        <w:t>的</w:t>
      </w:r>
      <w:r>
        <w:rPr>
          <w:rFonts w:hint="eastAsia" w:ascii="Times New Roman" w:hAnsi="Times New Roman" w:eastAsia="仿宋_GB2312" w:cs="Times New Roman"/>
          <w:kern w:val="2"/>
          <w:sz w:val="32"/>
          <w:szCs w:val="24"/>
          <w:highlight w:val="none"/>
          <w:lang w:val="en-US" w:eastAsia="zh-CN" w:bidi="ar-SA"/>
        </w:rPr>
        <w:t>好经验好做法，探索基层治理的城乡融合新模式。</w:t>
      </w:r>
      <w:r>
        <w:rPr>
          <w:rFonts w:hint="eastAsia" w:ascii="Times New Roman" w:eastAsia="仿宋_GB2312" w:cs="Times New Roman"/>
          <w:kern w:val="2"/>
          <w:sz w:val="32"/>
          <w:szCs w:val="24"/>
          <w:highlight w:val="none"/>
          <w:lang w:val="en-US" w:eastAsia="zh-CN" w:bidi="ar-SA"/>
        </w:rPr>
        <w:t>到2025年，</w:t>
      </w:r>
      <w:r>
        <w:rPr>
          <w:rFonts w:hint="eastAsia" w:ascii="Times New Roman" w:hAnsi="Times New Roman" w:eastAsia="仿宋_GB2312" w:cs="Times New Roman"/>
          <w:kern w:val="2"/>
          <w:sz w:val="32"/>
          <w:szCs w:val="24"/>
          <w:highlight w:val="none"/>
          <w:lang w:val="en-US" w:eastAsia="zh-CN" w:bidi="ar-SA"/>
        </w:rPr>
        <w:t>乡风文明程度进一步提升</w:t>
      </w:r>
      <w:r>
        <w:rPr>
          <w:rFonts w:hint="eastAsia" w:ascii="Times New Roman" w:eastAsia="仿宋_GB2312" w:cs="Times New Roman"/>
          <w:kern w:val="2"/>
          <w:sz w:val="32"/>
          <w:szCs w:val="24"/>
          <w:highlight w:val="none"/>
          <w:lang w:val="en-US" w:eastAsia="zh-CN" w:bidi="ar-SA"/>
        </w:rPr>
        <w:t>，</w:t>
      </w:r>
      <w:r>
        <w:rPr>
          <w:rFonts w:hint="eastAsia" w:ascii="Times New Roman" w:hAnsi="Times New Roman" w:eastAsia="仿宋_GB2312" w:cs="Times New Roman"/>
          <w:kern w:val="2"/>
          <w:sz w:val="32"/>
          <w:szCs w:val="24"/>
          <w:highlight w:val="none"/>
          <w:lang w:val="en-US" w:eastAsia="zh-CN" w:bidi="ar-SA"/>
        </w:rPr>
        <w:t>自治、法治、德治相结合的乡村治理体系更加完善，基层组织建设明显加强。</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ighlight w:val="none"/>
          <w:lang w:val="en-US" w:eastAsia="zh-CN"/>
        </w:rPr>
      </w:pPr>
    </w:p>
    <w:bookmarkEnd w:id="180"/>
    <w:p>
      <w:pPr>
        <w:ind w:left="0" w:leftChars="0" w:firstLine="0" w:firstLineChars="0"/>
        <w:jc w:val="both"/>
        <w:rPr>
          <w:rFonts w:hint="eastAsia" w:ascii="Times New Roman" w:hAnsi="Times New Roman" w:cs="Times New Roman"/>
          <w:highlight w:val="none"/>
          <w:lang w:val="en-US" w:eastAsia="zh-CN"/>
        </w:rPr>
      </w:pPr>
      <w:bookmarkStart w:id="185" w:name="_Toc20723"/>
      <w:r>
        <w:rPr>
          <w:rFonts w:hint="eastAsia" w:ascii="Times New Roman" w:hAnsi="Times New Roman" w:cs="Times New Roman"/>
          <w:highlight w:val="none"/>
          <w:lang w:val="en-US" w:eastAsia="zh-CN"/>
        </w:rPr>
        <w:br w:type="page"/>
      </w:r>
    </w:p>
    <w:p>
      <w:pPr>
        <w:pStyle w:val="4"/>
        <w:ind w:left="0" w:leftChars="0" w:firstLine="0" w:firstLineChars="0"/>
        <w:jc w:val="center"/>
        <w:rPr>
          <w:rFonts w:hint="default" w:ascii="Times New Roman" w:hAnsi="Times New Roman" w:cs="Times New Roman"/>
          <w:highlight w:val="none"/>
          <w:lang w:val="en-US" w:eastAsia="zh-CN"/>
        </w:rPr>
      </w:pPr>
      <w:bookmarkStart w:id="186" w:name="_Toc14786"/>
      <w:bookmarkStart w:id="187" w:name="_Toc28836"/>
      <w:r>
        <w:rPr>
          <w:rFonts w:hint="eastAsia" w:ascii="Times New Roman" w:hAnsi="Times New Roman" w:cs="Times New Roman"/>
          <w:highlight w:val="none"/>
          <w:lang w:val="en-US" w:eastAsia="zh-CN"/>
        </w:rPr>
        <w:t>第</w:t>
      </w:r>
      <w:r>
        <w:rPr>
          <w:rFonts w:hint="eastAsia" w:cs="Times New Roman"/>
          <w:highlight w:val="none"/>
          <w:lang w:val="en-US" w:eastAsia="zh-CN"/>
        </w:rPr>
        <w:t>七</w:t>
      </w:r>
      <w:r>
        <w:rPr>
          <w:rFonts w:hint="eastAsia" w:ascii="Times New Roman" w:hAnsi="Times New Roman" w:cs="Times New Roman"/>
          <w:highlight w:val="none"/>
          <w:lang w:val="en-US" w:eastAsia="zh-CN"/>
        </w:rPr>
        <w:t xml:space="preserve">章 </w:t>
      </w:r>
      <w:r>
        <w:rPr>
          <w:rFonts w:hint="eastAsia" w:cs="Times New Roman"/>
          <w:highlight w:val="none"/>
          <w:lang w:val="en-US" w:eastAsia="zh-CN"/>
        </w:rPr>
        <w:t>加强乡村人才队伍建设</w:t>
      </w:r>
      <w:r>
        <w:rPr>
          <w:rFonts w:hint="eastAsia" w:ascii="Times New Roman" w:hAnsi="Times New Roman" w:cs="Times New Roman"/>
          <w:highlight w:val="none"/>
          <w:lang w:val="en-US" w:eastAsia="zh-CN"/>
        </w:rPr>
        <w:t>，</w:t>
      </w:r>
      <w:r>
        <w:rPr>
          <w:rFonts w:hint="eastAsia" w:cs="Times New Roman"/>
          <w:highlight w:val="none"/>
          <w:lang w:val="en-US" w:eastAsia="zh-CN"/>
        </w:rPr>
        <w:t>实现</w:t>
      </w:r>
      <w:r>
        <w:rPr>
          <w:rFonts w:hint="eastAsia" w:ascii="Times New Roman" w:hAnsi="Times New Roman" w:cs="Times New Roman"/>
          <w:highlight w:val="none"/>
          <w:lang w:val="en-US" w:eastAsia="zh-CN"/>
        </w:rPr>
        <w:t>乡村</w:t>
      </w:r>
      <w:r>
        <w:rPr>
          <w:rFonts w:hint="eastAsia" w:cs="Times New Roman"/>
          <w:highlight w:val="none"/>
          <w:lang w:val="en-US" w:eastAsia="zh-CN"/>
        </w:rPr>
        <w:t>人才振兴</w:t>
      </w:r>
      <w:bookmarkEnd w:id="185"/>
      <w:bookmarkEnd w:id="186"/>
      <w:bookmarkEnd w:id="187"/>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Times New Roman" w:hAnsi="Times New Roman" w:cs="Times New Roman"/>
          <w:b w:val="0"/>
          <w:smallCaps w:val="0"/>
          <w:kern w:val="2"/>
          <w:sz w:val="32"/>
          <w:szCs w:val="24"/>
          <w:lang w:val="en-US" w:eastAsia="zh-CN" w:bidi="ar-SA"/>
        </w:rPr>
      </w:pPr>
      <w:r>
        <w:rPr>
          <w:rFonts w:hint="eastAsia" w:ascii="Times New Roman" w:hAnsi="Times New Roman" w:cs="Times New Roman"/>
          <w:b w:val="0"/>
          <w:smallCaps w:val="0"/>
          <w:kern w:val="2"/>
          <w:sz w:val="32"/>
          <w:szCs w:val="24"/>
          <w:lang w:val="en-US" w:eastAsia="zh-CN" w:bidi="ar-SA"/>
        </w:rPr>
        <w:t>大力实施人才强市战略和人才优先发展战略，落实招才引智“20条”，以实施“三乡工程”为抓手，围绕4大主导产业，组建招商引才专班，重点引进和培育高层次、急需、紧缺的农业</w:t>
      </w:r>
      <w:r>
        <w:rPr>
          <w:rFonts w:hint="eastAsia" w:ascii="Times New Roman" w:hAnsi="Times New Roman" w:cs="Times New Roman"/>
          <w:b w:val="0"/>
          <w:bCs w:val="0"/>
          <w:smallCaps w:val="0"/>
          <w:kern w:val="2"/>
          <w:sz w:val="32"/>
          <w:szCs w:val="24"/>
          <w:lang w:val="en-US" w:eastAsia="zh-CN" w:bidi="ar-SA"/>
        </w:rPr>
        <w:t>人才。全面整合教育、人社、农业、旅游、水利、投促、科技等部门师资及培训资源，</w:t>
      </w:r>
      <w:r>
        <w:rPr>
          <w:rFonts w:hint="eastAsia" w:ascii="Times New Roman" w:hAnsi="Times New Roman" w:cs="Times New Roman"/>
          <w:b w:val="0"/>
          <w:smallCaps w:val="0"/>
          <w:kern w:val="2"/>
          <w:sz w:val="32"/>
          <w:szCs w:val="24"/>
          <w:lang w:val="en-US" w:eastAsia="zh-CN" w:bidi="ar-SA"/>
        </w:rPr>
        <w:t>聚焦产教融合、校企合作、工学结合等，建立市、镇（街道）、村三级联动培养机制，</w:t>
      </w:r>
      <w:r>
        <w:rPr>
          <w:rFonts w:hint="eastAsia" w:ascii="Times New Roman" w:hAnsi="Times New Roman" w:cs="Times New Roman"/>
          <w:b w:val="0"/>
          <w:smallCaps w:val="0"/>
          <w:kern w:val="2"/>
          <w:sz w:val="32"/>
          <w:szCs w:val="24"/>
          <w:highlight w:val="none"/>
          <w:lang w:val="en-US" w:eastAsia="zh-CN" w:bidi="ar-SA"/>
        </w:rPr>
        <w:t>将“五类人才”培养纳入干部教育培训规划和政府公共服务事项，</w:t>
      </w:r>
      <w:r>
        <w:rPr>
          <w:rFonts w:hint="eastAsia" w:ascii="Times New Roman" w:hAnsi="Times New Roman" w:cs="Times New Roman"/>
          <w:b w:val="0"/>
          <w:smallCaps w:val="0"/>
          <w:kern w:val="2"/>
          <w:sz w:val="32"/>
          <w:szCs w:val="24"/>
          <w:lang w:val="en-US" w:eastAsia="zh-CN" w:bidi="ar-SA"/>
        </w:rPr>
        <w:t>建立目标和绩效考核制度，不断提升人才队伍建设质量。</w:t>
      </w:r>
    </w:p>
    <w:p>
      <w:pPr>
        <w:keepNext w:val="0"/>
        <w:keepLines w:val="0"/>
        <w:pageBreakBefore w:val="0"/>
        <w:kinsoku/>
        <w:wordWrap/>
        <w:overflowPunct/>
        <w:topLinePunct w:val="0"/>
        <w:autoSpaceDE/>
        <w:autoSpaceDN/>
        <w:bidi w:val="0"/>
        <w:adjustRightInd/>
        <w:snapToGrid/>
        <w:spacing w:line="560" w:lineRule="exact"/>
        <w:textAlignment w:val="auto"/>
        <w:rPr>
          <w:rFonts w:hint="default"/>
          <w:lang w:val="en-US" w:eastAsia="zh-CN"/>
        </w:rPr>
      </w:pPr>
      <w:r>
        <w:rPr>
          <w:rFonts w:hint="eastAsia"/>
          <w:highlight w:val="none"/>
          <w:lang w:val="en-US" w:eastAsia="zh-CN"/>
        </w:rPr>
        <w:t>力争到2025年，全市引进和培育20名以上乡村振兴领军人才、100名专业精英、1000名乡村“创客”、2000名能人乡贤、3000名农业农村技能人才；培养高素质农民2000人以上、电商“新农人”1500人以上、乡村旅游人才500人以上、规划建设人才20人以上、生态环保人才50人以上，使全市乡村人才资源总量达到4万人。至“十四五”末，三农各领域人才规模不断壮大、素质稳步提升、结构持续优化，各类人才支持服务乡村格局基本形成，乡村人才综合竞争力全省领先，率先建成湖北省乡村人才振兴标杆市。</w:t>
      </w:r>
      <w:r>
        <w:rPr>
          <w:rFonts w:hint="eastAsia"/>
          <w:lang w:val="en-US" w:eastAsia="zh-CN"/>
        </w:rPr>
        <w:t xml:space="preserve">        </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ind w:leftChars="0"/>
        <w:jc w:val="center"/>
        <w:textAlignment w:val="auto"/>
        <w:outlineLvl w:val="1"/>
        <w:rPr>
          <w:rFonts w:hint="eastAsia" w:ascii="楷体" w:hAnsi="楷体" w:eastAsia="楷体" w:cs="楷体"/>
          <w:b/>
          <w:bCs/>
          <w:smallCaps w:val="0"/>
          <w:sz w:val="32"/>
          <w:szCs w:val="32"/>
          <w:lang w:val="en-US" w:eastAsia="zh-CN"/>
        </w:rPr>
      </w:pPr>
      <w:bookmarkStart w:id="188" w:name="_Toc422"/>
      <w:bookmarkStart w:id="189" w:name="_Toc27650"/>
      <w:bookmarkStart w:id="190" w:name="_Toc5345"/>
      <w:r>
        <w:rPr>
          <w:rFonts w:hint="eastAsia" w:ascii="楷体" w:hAnsi="楷体" w:eastAsia="楷体" w:cs="楷体"/>
          <w:b/>
          <w:bCs/>
          <w:smallCaps w:val="0"/>
          <w:sz w:val="32"/>
          <w:szCs w:val="32"/>
          <w:lang w:val="en-US" w:eastAsia="zh-CN"/>
        </w:rPr>
        <w:t>第一节 加快农业生产经营人才培养</w:t>
      </w:r>
      <w:bookmarkEnd w:id="188"/>
      <w:bookmarkEnd w:id="189"/>
      <w:bookmarkEnd w:id="190"/>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600" w:lineRule="exact"/>
        <w:ind w:leftChars="0" w:firstLine="640" w:firstLineChars="200"/>
        <w:jc w:val="both"/>
        <w:textAlignment w:val="auto"/>
        <w:outlineLvl w:val="9"/>
        <w:rPr>
          <w:rFonts w:hint="eastAsia" w:ascii="Times New Roman" w:hAnsi="Times New Roman" w:cs="Times New Roman"/>
          <w:highlight w:val="none"/>
          <w:lang w:val="en-US" w:eastAsia="zh-CN"/>
        </w:rPr>
      </w:pPr>
      <w:r>
        <w:rPr>
          <w:rFonts w:hint="eastAsia" w:ascii="Times New Roman" w:hAnsi="Times New Roman" w:cs="Times New Roman"/>
          <w:b w:val="0"/>
          <w:smallCaps w:val="0"/>
          <w:kern w:val="2"/>
          <w:sz w:val="32"/>
          <w:szCs w:val="24"/>
          <w:lang w:val="en-US" w:eastAsia="zh-CN" w:bidi="ar-SA"/>
        </w:rPr>
        <w:t>实施现代农民培育计划，重点面向从事适度规模经营的农民，分层分类开展全产业链培训，加强训后技术指导和跟踪服务。充分利用现有网络教育资源，加强农民在线教育培训。</w:t>
      </w:r>
      <w:r>
        <w:rPr>
          <w:rFonts w:hint="eastAsia" w:ascii="Times New Roman" w:hAnsi="Times New Roman" w:cs="Times New Roman"/>
          <w:b w:val="0"/>
          <w:smallCaps w:val="0"/>
          <w:kern w:val="2"/>
          <w:sz w:val="32"/>
          <w:szCs w:val="24"/>
          <w:highlight w:val="none"/>
          <w:lang w:val="en-US" w:eastAsia="zh-CN" w:bidi="ar-SA"/>
        </w:rPr>
        <w:t>依托江汉艺术职业学院、潜江龙虾学院等职业院校、培训机构，实施农村实用人才培养计划，大力培养潜江龙虾和潜江虾稻产业技术推广骨干人才、农村实用人才和高素质农民。</w:t>
      </w:r>
      <w:r>
        <w:rPr>
          <w:rFonts w:hint="eastAsia" w:ascii="Times New Roman" w:hAnsi="Times New Roman" w:cs="Times New Roman"/>
          <w:b w:val="0"/>
          <w:smallCaps w:val="0"/>
          <w:kern w:val="2"/>
          <w:sz w:val="32"/>
          <w:szCs w:val="24"/>
          <w:lang w:val="en-US" w:eastAsia="zh-CN" w:bidi="ar-SA"/>
        </w:rPr>
        <w:t>建强潜江龙虾学院、潜网集团小龙虾交易中心、赵脑万亩虾稻共作示范基地及潜半夏公司实践基地等一批培训基地。推进家庭农场经营者培养，完善项目支持、生产指导、质量管理、对接市场等服务。加强对农民合作社骨干的培训。鼓励农民工、高校毕业生、退役军人、科技人员、农村实用人才等领办创办家庭农场、农民合作社。</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600" w:lineRule="exact"/>
        <w:ind w:leftChars="0"/>
        <w:jc w:val="center"/>
        <w:textAlignment w:val="auto"/>
        <w:outlineLvl w:val="1"/>
        <w:rPr>
          <w:rFonts w:hint="eastAsia" w:ascii="楷体" w:hAnsi="楷体" w:eastAsia="楷体" w:cs="楷体"/>
          <w:b/>
          <w:bCs/>
          <w:smallCaps w:val="0"/>
          <w:sz w:val="32"/>
          <w:szCs w:val="32"/>
          <w:lang w:val="en-US" w:eastAsia="zh-CN"/>
        </w:rPr>
      </w:pPr>
      <w:bookmarkStart w:id="191" w:name="_Toc25152"/>
      <w:bookmarkStart w:id="192" w:name="_Toc12914"/>
      <w:bookmarkStart w:id="193" w:name="_Toc20112"/>
      <w:r>
        <w:rPr>
          <w:rFonts w:hint="eastAsia" w:ascii="楷体" w:hAnsi="楷体" w:eastAsia="楷体" w:cs="楷体"/>
          <w:b/>
          <w:bCs/>
          <w:smallCaps w:val="0"/>
          <w:sz w:val="32"/>
          <w:szCs w:val="32"/>
          <w:lang w:val="en-US" w:eastAsia="zh-CN"/>
        </w:rPr>
        <w:t>第二节 加大农村二三产业发展人才培养</w:t>
      </w:r>
      <w:bookmarkEnd w:id="191"/>
      <w:bookmarkEnd w:id="192"/>
      <w:bookmarkEnd w:id="193"/>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实施农村创业创新带头人培育行动，建立健全农村创业创新孵化实训基地和农村创业创新导师队伍，完善乡村企业家培训体系及涉农企业人才激励机制。以建设“全省电子商务示范市”为抓手，加强农村电商人才培育，以大学生村官、返乡青年和部分个体经营户等有潜力、能成长的创业群体为重点，培育一批农村电商创业带头人。</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以作协、戏剧曲艺、市老年书画、葫芦丝、巴乌和章华印社等协会组织为平台，培养</w:t>
      </w:r>
      <w:r>
        <w:rPr>
          <w:rFonts w:hint="eastAsia" w:ascii="Times New Roman" w:hAnsi="Times New Roman" w:eastAsia="仿宋_GB2312" w:cs="仿宋_GB2312"/>
          <w:bCs w:val="0"/>
          <w:smallCaps w:val="0"/>
          <w:spacing w:val="6"/>
          <w:kern w:val="2"/>
          <w:sz w:val="32"/>
          <w:szCs w:val="32"/>
          <w:highlight w:val="none"/>
          <w:lang w:val="en-US" w:eastAsia="zh-CN" w:bidi="ar-SA"/>
        </w:rPr>
        <w:t>一支</w:t>
      </w:r>
      <w:r>
        <w:rPr>
          <w:rFonts w:hint="default" w:ascii="Times New Roman" w:hAnsi="Times New Roman" w:eastAsia="仿宋_GB2312" w:cs="仿宋_GB2312"/>
          <w:b w:val="0"/>
          <w:smallCaps w:val="0"/>
          <w:spacing w:val="6"/>
          <w:kern w:val="2"/>
          <w:sz w:val="32"/>
          <w:szCs w:val="32"/>
          <w:highlight w:val="none"/>
          <w:lang w:val="en-US" w:eastAsia="zh-CN" w:bidi="ar-SA"/>
        </w:rPr>
        <w:t>以乡村工匠、文化能人、非遗传承人、手工艺人等为主体的乡村传统技艺文化人才</w:t>
      </w:r>
      <w:r>
        <w:rPr>
          <w:rFonts w:hint="eastAsia" w:ascii="Times New Roman" w:hAnsi="Times New Roman" w:cs="仿宋_GB2312"/>
          <w:b w:val="0"/>
          <w:smallCaps w:val="0"/>
          <w:spacing w:val="6"/>
          <w:kern w:val="2"/>
          <w:sz w:val="32"/>
          <w:szCs w:val="32"/>
          <w:highlight w:val="none"/>
          <w:lang w:val="en-US" w:eastAsia="zh-CN" w:bidi="ar-SA"/>
        </w:rPr>
        <w:t>队伍</w:t>
      </w:r>
      <w:r>
        <w:rPr>
          <w:rFonts w:hint="eastAsia"/>
          <w:lang w:val="en-US" w:eastAsia="zh-CN"/>
        </w:rPr>
        <w:t>。支持鼓励传统技艺人才创办特色企业，带动乡村特色手工业发展。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Times New Roman"/>
          <w:b w:val="0"/>
          <w:smallCaps w:val="0"/>
          <w:kern w:val="2"/>
          <w:szCs w:val="24"/>
          <w:lang w:val="en-US" w:eastAsia="zh-CN" w:bidi="ar-SA"/>
        </w:rPr>
      </w:pPr>
      <w:r>
        <w:rPr>
          <w:rFonts w:hint="eastAsia"/>
          <w:lang w:val="en-US" w:eastAsia="zh-CN"/>
        </w:rPr>
        <w:t>强化农村人口就业技能培训，持续开展“春风行动”，围绕“潜江龙虾工”和“潜江裁缝”等特色劳务群体，实施劳务输出和回流品牌计划，建立技能培训机制和评价体系，完善创业扶持、品牌培育政策，通过完善行业标准、建设专家工作室、邀请专家授课和举办技能比赛等途径，提升从业者职业技能，提高劳务输出和回流的组织化、专业化和标准化水平，培育一批叫得响的潜江农民工劳务品牌。</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ind w:leftChars="0"/>
        <w:jc w:val="center"/>
        <w:textAlignment w:val="auto"/>
        <w:outlineLvl w:val="1"/>
        <w:rPr>
          <w:rFonts w:hint="default" w:ascii="楷体" w:hAnsi="楷体" w:eastAsia="楷体" w:cs="楷体"/>
          <w:b/>
          <w:bCs/>
          <w:smallCaps w:val="0"/>
          <w:sz w:val="32"/>
          <w:szCs w:val="32"/>
          <w:lang w:val="en-US" w:eastAsia="zh-CN"/>
        </w:rPr>
      </w:pPr>
      <w:bookmarkStart w:id="194" w:name="_Toc23634"/>
      <w:bookmarkStart w:id="195" w:name="_Toc20031"/>
      <w:bookmarkStart w:id="196" w:name="_Toc17463"/>
      <w:r>
        <w:rPr>
          <w:rFonts w:hint="eastAsia" w:ascii="楷体" w:hAnsi="楷体" w:eastAsia="楷体" w:cs="楷体"/>
          <w:b/>
          <w:bCs/>
          <w:smallCaps w:val="0"/>
          <w:sz w:val="32"/>
          <w:szCs w:val="32"/>
          <w:lang w:val="en-US" w:eastAsia="zh-CN"/>
        </w:rPr>
        <w:t>第三节 全力推进乡村科技人才培养</w:t>
      </w:r>
      <w:bookmarkEnd w:id="194"/>
      <w:bookmarkEnd w:id="195"/>
      <w:bookmarkEnd w:id="196"/>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560" w:lineRule="exact"/>
        <w:ind w:leftChars="0" w:firstLine="640" w:firstLineChars="200"/>
        <w:jc w:val="both"/>
        <w:textAlignment w:val="auto"/>
        <w:outlineLvl w:val="9"/>
        <w:rPr>
          <w:rFonts w:hint="eastAsia" w:ascii="楷体" w:hAnsi="楷体" w:eastAsia="楷体" w:cs="楷体"/>
          <w:b/>
          <w:bCs/>
          <w:smallCaps w:val="0"/>
          <w:sz w:val="32"/>
          <w:szCs w:val="32"/>
          <w:lang w:val="en-US" w:eastAsia="zh-CN"/>
        </w:rPr>
      </w:pPr>
      <w:r>
        <w:rPr>
          <w:rFonts w:hint="eastAsia" w:ascii="Times New Roman" w:hAnsi="Times New Roman" w:cs="Times New Roman"/>
          <w:b w:val="0"/>
          <w:smallCaps w:val="0"/>
          <w:kern w:val="2"/>
          <w:sz w:val="32"/>
          <w:szCs w:val="24"/>
          <w:highlight w:val="none"/>
          <w:lang w:val="en-US" w:eastAsia="zh-CN" w:bidi="ar-SA"/>
        </w:rPr>
        <w:t>大力</w:t>
      </w:r>
      <w:r>
        <w:rPr>
          <w:rFonts w:hint="eastAsia" w:ascii="Times New Roman" w:hAnsi="Times New Roman" w:eastAsia="仿宋_GB2312" w:cs="Times New Roman"/>
          <w:b w:val="0"/>
          <w:smallCaps w:val="0"/>
          <w:kern w:val="2"/>
          <w:sz w:val="32"/>
          <w:szCs w:val="24"/>
          <w:highlight w:val="none"/>
          <w:lang w:val="en-US" w:eastAsia="zh-CN" w:bidi="ar-SA"/>
        </w:rPr>
        <w:t>实施农业农村领域“引才计划”</w:t>
      </w:r>
      <w:r>
        <w:rPr>
          <w:rFonts w:hint="eastAsia" w:ascii="Times New Roman" w:hAnsi="Times New Roman" w:cs="Times New Roman"/>
          <w:b w:val="0"/>
          <w:smallCaps w:val="0"/>
          <w:kern w:val="2"/>
          <w:sz w:val="32"/>
          <w:szCs w:val="24"/>
          <w:highlight w:val="none"/>
          <w:lang w:val="en-US" w:eastAsia="zh-CN" w:bidi="ar-SA"/>
        </w:rPr>
        <w:t>，实施潜籍乡贤回归工程，</w:t>
      </w:r>
      <w:r>
        <w:rPr>
          <w:rFonts w:hint="eastAsia" w:ascii="Times New Roman" w:hAnsi="Times New Roman" w:eastAsia="仿宋_GB2312" w:cs="Times New Roman"/>
          <w:b w:val="0"/>
          <w:smallCaps w:val="0"/>
          <w:kern w:val="2"/>
          <w:sz w:val="32"/>
          <w:szCs w:val="24"/>
          <w:highlight w:val="none"/>
          <w:lang w:val="en-US" w:eastAsia="zh-CN" w:bidi="ar-SA"/>
        </w:rPr>
        <w:t>支持</w:t>
      </w:r>
      <w:r>
        <w:rPr>
          <w:rFonts w:hint="eastAsia" w:ascii="Times New Roman" w:hAnsi="Times New Roman" w:cs="Times New Roman"/>
          <w:b w:val="0"/>
          <w:smallCaps w:val="0"/>
          <w:kern w:val="2"/>
          <w:sz w:val="32"/>
          <w:szCs w:val="24"/>
          <w:highlight w:val="none"/>
          <w:lang w:val="en-US" w:eastAsia="zh-CN" w:bidi="ar-SA"/>
        </w:rPr>
        <w:t>农业</w:t>
      </w:r>
      <w:r>
        <w:rPr>
          <w:rFonts w:hint="eastAsia" w:ascii="Times New Roman" w:hAnsi="Times New Roman" w:eastAsia="仿宋_GB2312" w:cs="Times New Roman"/>
          <w:b w:val="0"/>
          <w:smallCaps w:val="0"/>
          <w:kern w:val="2"/>
          <w:sz w:val="32"/>
          <w:szCs w:val="24"/>
          <w:highlight w:val="none"/>
          <w:lang w:val="en-US" w:eastAsia="zh-CN" w:bidi="ar-SA"/>
        </w:rPr>
        <w:t>高科技领军人才按照有关政策在</w:t>
      </w:r>
      <w:r>
        <w:rPr>
          <w:rFonts w:hint="eastAsia" w:ascii="Times New Roman" w:hAnsi="Times New Roman" w:cs="Times New Roman"/>
          <w:b w:val="0"/>
          <w:smallCaps w:val="0"/>
          <w:kern w:val="2"/>
          <w:sz w:val="32"/>
          <w:szCs w:val="24"/>
          <w:highlight w:val="none"/>
          <w:lang w:val="en-US" w:eastAsia="zh-CN" w:bidi="ar-SA"/>
        </w:rPr>
        <w:t>潜江</w:t>
      </w:r>
      <w:r>
        <w:rPr>
          <w:rFonts w:hint="eastAsia" w:ascii="Times New Roman" w:hAnsi="Times New Roman" w:eastAsia="仿宋_GB2312" w:cs="Times New Roman"/>
          <w:b w:val="0"/>
          <w:smallCaps w:val="0"/>
          <w:kern w:val="2"/>
          <w:sz w:val="32"/>
          <w:szCs w:val="24"/>
          <w:highlight w:val="none"/>
          <w:lang w:val="en-US" w:eastAsia="zh-CN" w:bidi="ar-SA"/>
        </w:rPr>
        <w:t>落户。依托</w:t>
      </w:r>
      <w:r>
        <w:rPr>
          <w:rFonts w:hint="eastAsia" w:ascii="Times New Roman" w:hAnsi="Times New Roman" w:cs="Times New Roman"/>
          <w:b w:val="0"/>
          <w:smallCaps w:val="0"/>
          <w:kern w:val="2"/>
          <w:sz w:val="32"/>
          <w:szCs w:val="24"/>
          <w:highlight w:val="none"/>
          <w:lang w:val="en-US" w:eastAsia="zh-CN" w:bidi="ar-SA"/>
        </w:rPr>
        <w:t>潜江</w:t>
      </w:r>
      <w:r>
        <w:rPr>
          <w:rFonts w:hint="eastAsia" w:ascii="Times New Roman" w:hAnsi="Times New Roman" w:eastAsia="仿宋_GB2312" w:cs="Times New Roman"/>
          <w:b w:val="0"/>
          <w:smallCaps w:val="0"/>
          <w:kern w:val="2"/>
          <w:sz w:val="32"/>
          <w:szCs w:val="24"/>
          <w:highlight w:val="none"/>
          <w:lang w:val="en-US" w:eastAsia="zh-CN" w:bidi="ar-SA"/>
        </w:rPr>
        <w:t>企校联合创新中心</w:t>
      </w:r>
      <w:r>
        <w:rPr>
          <w:rFonts w:hint="eastAsia" w:ascii="Times New Roman" w:hAnsi="Times New Roman" w:cs="Times New Roman"/>
          <w:b w:val="0"/>
          <w:smallCaps w:val="0"/>
          <w:kern w:val="2"/>
          <w:sz w:val="32"/>
          <w:szCs w:val="24"/>
          <w:highlight w:val="none"/>
          <w:lang w:val="en-US" w:eastAsia="zh-CN" w:bidi="ar-SA"/>
        </w:rPr>
        <w:t>、星创天地</w:t>
      </w:r>
      <w:r>
        <w:rPr>
          <w:rFonts w:hint="eastAsia" w:ascii="Times New Roman" w:hAnsi="Times New Roman" w:eastAsia="仿宋_GB2312" w:cs="Times New Roman"/>
          <w:b w:val="0"/>
          <w:smallCaps w:val="0"/>
          <w:kern w:val="2"/>
          <w:sz w:val="32"/>
          <w:szCs w:val="24"/>
          <w:highlight w:val="none"/>
          <w:lang w:val="en-US" w:eastAsia="zh-CN" w:bidi="ar-SA"/>
        </w:rPr>
        <w:t>等平台，发现人才、培育人才、凝聚人才。加强农业企业科技人才培养。健全农业农村科研立项、成果评价、成果转化机制，完善科技人员兼职兼薪、分享股权期权、领办创办企业、成果权益分配等激励办法。全面实施农技推广服务特聘计划。实施基层农技人员素质提升工程，重点培训年轻骨干农技人员</w:t>
      </w:r>
      <w:r>
        <w:rPr>
          <w:rFonts w:hint="eastAsia" w:ascii="Times New Roman" w:hAnsi="Times New Roman" w:cs="Times New Roman"/>
          <w:b w:val="0"/>
          <w:smallCaps w:val="0"/>
          <w:kern w:val="2"/>
          <w:sz w:val="32"/>
          <w:szCs w:val="24"/>
          <w:highlight w:val="none"/>
          <w:lang w:val="en-US" w:eastAsia="zh-CN" w:bidi="ar-SA"/>
        </w:rPr>
        <w:t>，到2025年，基层农技人员脱产（5天以上）知识更新培训累计600人次以上</w:t>
      </w:r>
      <w:r>
        <w:rPr>
          <w:rFonts w:hint="eastAsia" w:ascii="Times New Roman" w:hAnsi="Times New Roman" w:eastAsia="仿宋_GB2312" w:cs="Times New Roman"/>
          <w:b w:val="0"/>
          <w:smallCaps w:val="0"/>
          <w:kern w:val="2"/>
          <w:sz w:val="32"/>
          <w:szCs w:val="24"/>
          <w:highlight w:val="none"/>
          <w:lang w:val="en-US" w:eastAsia="zh-CN" w:bidi="ar-SA"/>
        </w:rPr>
        <w:t>。建立健全农产品质量安全协管员、信息员队伍</w:t>
      </w:r>
      <w:r>
        <w:rPr>
          <w:rFonts w:hint="eastAsia" w:ascii="Times New Roman" w:hAnsi="Times New Roman" w:cs="Times New Roman"/>
          <w:b w:val="0"/>
          <w:smallCaps w:val="0"/>
          <w:kern w:val="2"/>
          <w:sz w:val="32"/>
          <w:szCs w:val="24"/>
          <w:highlight w:val="none"/>
          <w:lang w:val="en-US" w:eastAsia="zh-CN" w:bidi="ar-SA"/>
        </w:rPr>
        <w:t>。支持</w:t>
      </w:r>
      <w:r>
        <w:rPr>
          <w:rFonts w:hint="eastAsia" w:ascii="Times New Roman" w:hAnsi="Times New Roman" w:eastAsia="仿宋_GB2312" w:cs="Times New Roman"/>
          <w:b w:val="0"/>
          <w:smallCaps w:val="0"/>
          <w:kern w:val="2"/>
          <w:sz w:val="32"/>
          <w:szCs w:val="24"/>
          <w:highlight w:val="none"/>
          <w:lang w:val="en-US" w:eastAsia="zh-CN" w:bidi="ar-SA"/>
        </w:rPr>
        <w:t>对</w:t>
      </w:r>
      <w:r>
        <w:rPr>
          <w:rFonts w:hint="eastAsia" w:ascii="Times New Roman" w:hAnsi="Times New Roman" w:cs="Times New Roman"/>
          <w:b w:val="0"/>
          <w:smallCaps w:val="0"/>
          <w:kern w:val="2"/>
          <w:sz w:val="32"/>
          <w:szCs w:val="24"/>
          <w:highlight w:val="none"/>
          <w:lang w:val="en-US" w:eastAsia="zh-CN" w:bidi="ar-SA"/>
        </w:rPr>
        <w:t>乡村产业发挥重要科技支撑作用的</w:t>
      </w:r>
      <w:r>
        <w:rPr>
          <w:rFonts w:hint="eastAsia" w:ascii="Times New Roman" w:hAnsi="Times New Roman" w:eastAsia="仿宋_GB2312" w:cs="Times New Roman"/>
          <w:b w:val="0"/>
          <w:smallCaps w:val="0"/>
          <w:kern w:val="2"/>
          <w:sz w:val="32"/>
          <w:szCs w:val="24"/>
          <w:highlight w:val="none"/>
          <w:lang w:val="en-US" w:eastAsia="zh-CN" w:bidi="ar-SA"/>
        </w:rPr>
        <w:t>“土专家”“田秀才”“乡创客”发放补贴。开展“寻找最美农技员”活动。</w:t>
      </w:r>
      <w:r>
        <w:rPr>
          <w:rFonts w:hint="eastAsia" w:ascii="Times New Roman" w:hAnsi="Times New Roman" w:cs="Times New Roman"/>
          <w:b w:val="0"/>
          <w:smallCaps w:val="0"/>
          <w:kern w:val="2"/>
          <w:sz w:val="32"/>
          <w:szCs w:val="24"/>
          <w:highlight w:val="none"/>
          <w:lang w:val="en-US" w:eastAsia="zh-CN" w:bidi="ar-SA"/>
        </w:rPr>
        <w:t>支持</w:t>
      </w:r>
      <w:r>
        <w:rPr>
          <w:rFonts w:hint="eastAsia" w:ascii="Times New Roman" w:hAnsi="Times New Roman" w:eastAsia="仿宋_GB2312" w:cs="Times New Roman"/>
          <w:b w:val="0"/>
          <w:smallCaps w:val="0"/>
          <w:kern w:val="2"/>
          <w:sz w:val="32"/>
          <w:szCs w:val="24"/>
          <w:highlight w:val="none"/>
          <w:lang w:val="en-US" w:eastAsia="zh-CN" w:bidi="ar-SA"/>
        </w:rPr>
        <w:t>科研院所、高等学校开展专家服务基层活动，推广“科技小院”等培养模式，派驻研究生深入农村开展实用技术研究和推广服务工作。</w:t>
      </w:r>
      <w:r>
        <w:rPr>
          <w:rFonts w:hint="eastAsia" w:ascii="Times New Roman" w:hAnsi="Times New Roman" w:cs="Times New Roman"/>
          <w:b w:val="0"/>
          <w:smallCaps w:val="0"/>
          <w:kern w:val="2"/>
          <w:sz w:val="32"/>
          <w:szCs w:val="24"/>
          <w:highlight w:val="none"/>
          <w:lang w:val="en-US" w:eastAsia="zh-CN" w:bidi="ar-SA"/>
        </w:rPr>
        <w:t>全面实施</w:t>
      </w:r>
      <w:r>
        <w:rPr>
          <w:rFonts w:hint="eastAsia" w:ascii="Times New Roman" w:hAnsi="Times New Roman" w:eastAsia="仿宋_GB2312" w:cs="Times New Roman"/>
          <w:b w:val="0"/>
          <w:smallCaps w:val="0"/>
          <w:kern w:val="2"/>
          <w:sz w:val="32"/>
          <w:szCs w:val="24"/>
          <w:highlight w:val="none"/>
          <w:lang w:val="en-US" w:eastAsia="zh-CN" w:bidi="ar-SA"/>
        </w:rPr>
        <w:t>科技特派员</w:t>
      </w:r>
      <w:r>
        <w:rPr>
          <w:rFonts w:hint="eastAsia" w:ascii="Times New Roman" w:hAnsi="Times New Roman" w:cs="Times New Roman"/>
          <w:b w:val="0"/>
          <w:smallCaps w:val="0"/>
          <w:kern w:val="2"/>
          <w:sz w:val="32"/>
          <w:szCs w:val="24"/>
          <w:highlight w:val="none"/>
          <w:lang w:val="en-US" w:eastAsia="zh-CN" w:bidi="ar-SA"/>
        </w:rPr>
        <w:t>计划，到2025年，特聘科技特派员10人以上。</w:t>
      </w:r>
      <w:r>
        <w:rPr>
          <w:rFonts w:hint="eastAsia" w:ascii="Times New Roman" w:hAnsi="Times New Roman" w:eastAsia="仿宋_GB2312" w:cs="Times New Roman"/>
          <w:b w:val="0"/>
          <w:smallCaps w:val="0"/>
          <w:kern w:val="2"/>
          <w:sz w:val="32"/>
          <w:szCs w:val="24"/>
          <w:highlight w:val="none"/>
          <w:lang w:val="en-US" w:eastAsia="zh-CN" w:bidi="ar-SA"/>
        </w:rPr>
        <w:t>加大对科技特派员工作支持力度</w:t>
      </w:r>
      <w:r>
        <w:rPr>
          <w:rFonts w:hint="eastAsia" w:ascii="Times New Roman" w:hAnsi="Times New Roman" w:cs="Times New Roman"/>
          <w:b w:val="0"/>
          <w:smallCaps w:val="0"/>
          <w:kern w:val="2"/>
          <w:sz w:val="32"/>
          <w:szCs w:val="24"/>
          <w:highlight w:val="none"/>
          <w:lang w:val="en-US" w:eastAsia="zh-CN" w:bidi="ar-SA"/>
        </w:rPr>
        <w:t>，持续推进</w:t>
      </w:r>
      <w:r>
        <w:rPr>
          <w:rFonts w:hint="eastAsia" w:ascii="Times New Roman" w:hAnsi="Times New Roman" w:eastAsia="仿宋_GB2312" w:cs="Times New Roman"/>
          <w:b w:val="0"/>
          <w:smallCaps w:val="0"/>
          <w:kern w:val="2"/>
          <w:sz w:val="32"/>
          <w:szCs w:val="24"/>
          <w:highlight w:val="none"/>
          <w:lang w:val="en-US" w:eastAsia="zh-CN" w:bidi="ar-SA"/>
        </w:rPr>
        <w:t>科技特派员服务</w:t>
      </w:r>
      <w:r>
        <w:rPr>
          <w:rFonts w:hint="eastAsia" w:ascii="Times New Roman" w:hAnsi="Times New Roman" w:cs="Times New Roman"/>
          <w:b w:val="0"/>
          <w:smallCaps w:val="0"/>
          <w:kern w:val="2"/>
          <w:sz w:val="32"/>
          <w:szCs w:val="24"/>
          <w:highlight w:val="none"/>
          <w:lang w:val="en-US" w:eastAsia="zh-CN" w:bidi="ar-SA"/>
        </w:rPr>
        <w:t>我市</w:t>
      </w:r>
      <w:r>
        <w:rPr>
          <w:rFonts w:hint="eastAsia" w:ascii="Times New Roman" w:hAnsi="Times New Roman" w:eastAsia="仿宋_GB2312" w:cs="Times New Roman"/>
          <w:b w:val="0"/>
          <w:smallCaps w:val="0"/>
          <w:kern w:val="2"/>
          <w:sz w:val="32"/>
          <w:szCs w:val="24"/>
          <w:highlight w:val="none"/>
          <w:lang w:val="en-US" w:eastAsia="zh-CN" w:bidi="ar-SA"/>
        </w:rPr>
        <w:t>重点</w:t>
      </w:r>
      <w:r>
        <w:rPr>
          <w:rFonts w:hint="eastAsia" w:ascii="Times New Roman" w:hAnsi="Times New Roman" w:cs="Times New Roman"/>
          <w:b w:val="0"/>
          <w:smallCaps w:val="0"/>
          <w:kern w:val="2"/>
          <w:sz w:val="32"/>
          <w:szCs w:val="24"/>
          <w:highlight w:val="none"/>
          <w:lang w:val="en-US" w:eastAsia="zh-CN" w:bidi="ar-SA"/>
        </w:rPr>
        <w:t>农业</w:t>
      </w:r>
      <w:r>
        <w:rPr>
          <w:rFonts w:hint="eastAsia" w:ascii="Times New Roman" w:hAnsi="Times New Roman" w:eastAsia="仿宋_GB2312" w:cs="Times New Roman"/>
          <w:b w:val="0"/>
          <w:smallCaps w:val="0"/>
          <w:kern w:val="2"/>
          <w:sz w:val="32"/>
          <w:szCs w:val="24"/>
          <w:highlight w:val="none"/>
          <w:lang w:val="en-US" w:eastAsia="zh-CN" w:bidi="ar-SA"/>
        </w:rPr>
        <w:t>企业。</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ind w:leftChars="0"/>
        <w:jc w:val="center"/>
        <w:textAlignment w:val="auto"/>
        <w:outlineLvl w:val="1"/>
        <w:rPr>
          <w:rFonts w:hint="eastAsia" w:ascii="楷体" w:hAnsi="楷体" w:eastAsia="楷体" w:cs="楷体"/>
          <w:b/>
          <w:bCs/>
          <w:smallCaps w:val="0"/>
          <w:sz w:val="32"/>
          <w:szCs w:val="32"/>
          <w:lang w:val="en-US" w:eastAsia="zh-CN"/>
        </w:rPr>
      </w:pPr>
      <w:bookmarkStart w:id="197" w:name="_Toc26842"/>
      <w:bookmarkStart w:id="198" w:name="_Toc16237"/>
      <w:bookmarkStart w:id="199" w:name="_Toc10547"/>
      <w:r>
        <w:rPr>
          <w:rFonts w:hint="eastAsia" w:ascii="楷体" w:hAnsi="楷体" w:eastAsia="楷体" w:cs="楷体"/>
          <w:b/>
          <w:bCs/>
          <w:smallCaps w:val="0"/>
          <w:sz w:val="32"/>
          <w:szCs w:val="32"/>
          <w:lang w:val="en-US" w:eastAsia="zh-CN"/>
        </w:rPr>
        <w:t>第四节 强化乡村公共服务人才培养</w:t>
      </w:r>
      <w:bookmarkEnd w:id="197"/>
      <w:bookmarkEnd w:id="198"/>
      <w:bookmarkEnd w:id="199"/>
    </w:p>
    <w:p>
      <w:pPr>
        <w:keepNext w:val="0"/>
        <w:keepLines w:val="0"/>
        <w:pageBreakBefore w:val="0"/>
        <w:widowControl w:val="0"/>
        <w:kinsoku/>
        <w:wordWrap/>
        <w:overflowPunct/>
        <w:topLinePunct w:val="0"/>
        <w:autoSpaceDE/>
        <w:autoSpaceDN/>
        <w:bidi w:val="0"/>
        <w:adjustRightInd/>
        <w:snapToGrid/>
        <w:textAlignment w:val="auto"/>
        <w:rPr>
          <w:rFonts w:hint="eastAsia" w:ascii="Calibri" w:hAnsi="Calibri" w:cs="Times New Roman"/>
          <w:b w:val="0"/>
          <w:smallCaps w:val="0"/>
          <w:kern w:val="2"/>
          <w:sz w:val="32"/>
          <w:szCs w:val="24"/>
          <w:lang w:val="en-US" w:eastAsia="zh-CN" w:bidi="ar-SA"/>
        </w:rPr>
      </w:pPr>
      <w:r>
        <w:rPr>
          <w:rFonts w:hint="eastAsia" w:ascii="Calibri" w:hAnsi="Calibri" w:cs="Times New Roman"/>
          <w:b w:val="0"/>
          <w:smallCaps w:val="0"/>
          <w:kern w:val="2"/>
          <w:sz w:val="32"/>
          <w:szCs w:val="24"/>
          <w:lang w:val="en-US" w:eastAsia="zh-CN" w:bidi="ar-SA"/>
        </w:rPr>
        <w:t>推进</w:t>
      </w:r>
      <w:r>
        <w:rPr>
          <w:rFonts w:hint="eastAsia" w:ascii="Calibri" w:hAnsi="Calibri" w:eastAsia="仿宋_GB2312" w:cs="Times New Roman"/>
          <w:b w:val="0"/>
          <w:smallCaps w:val="0"/>
          <w:kern w:val="2"/>
          <w:sz w:val="32"/>
          <w:szCs w:val="24"/>
          <w:lang w:val="en-US" w:eastAsia="zh-CN" w:bidi="ar-SA"/>
        </w:rPr>
        <w:t>乡村教师队伍建设</w:t>
      </w:r>
      <w:r>
        <w:rPr>
          <w:rFonts w:hint="eastAsia" w:ascii="Calibri" w:hAnsi="Calibri" w:cs="Times New Roman"/>
          <w:b w:val="0"/>
          <w:smallCaps w:val="0"/>
          <w:kern w:val="2"/>
          <w:sz w:val="32"/>
          <w:szCs w:val="24"/>
          <w:lang w:val="en-US" w:eastAsia="zh-CN" w:bidi="ar-SA"/>
        </w:rPr>
        <w:t>，</w:t>
      </w:r>
      <w:r>
        <w:rPr>
          <w:rFonts w:hint="eastAsia" w:ascii="Calibri" w:hAnsi="Calibri" w:eastAsia="仿宋_GB2312" w:cs="Times New Roman"/>
          <w:b w:val="0"/>
          <w:smallCaps w:val="0"/>
          <w:kern w:val="2"/>
          <w:sz w:val="32"/>
          <w:szCs w:val="24"/>
          <w:lang w:val="en-US" w:eastAsia="zh-CN" w:bidi="ar-SA"/>
        </w:rPr>
        <w:t>加大骨干教师培养力度，精准培养本土化优秀教师。加强乡村卫生健康人才队伍建设</w:t>
      </w:r>
      <w:r>
        <w:rPr>
          <w:rFonts w:hint="eastAsia" w:ascii="Calibri" w:hAnsi="Calibri" w:cs="Times New Roman"/>
          <w:b w:val="0"/>
          <w:smallCaps w:val="0"/>
          <w:kern w:val="2"/>
          <w:sz w:val="32"/>
          <w:szCs w:val="24"/>
          <w:lang w:val="en-US" w:eastAsia="zh-CN" w:bidi="ar-SA"/>
        </w:rPr>
        <w:t>，实施全科医生特岗计划、农村订单定向医学生免费培养和助理全科医生培训，支持城市二级及以上医院在职或退休医师到乡村基层医疗卫生机构多点执业，开办乡村诊所，充实乡村卫生健康人才队伍，鼓励免费定向培养一批源于本乡本土的大学生乡村医生。推进乡村文化旅游体育人才队伍建设，培养一批乡村文艺社团、创作团队、文化志愿者、非遗传承人和乡村旅游示范者。鼓励运动员、教练员、体育专业师生、体育科研人员参与乡村体育指导志愿服务。</w:t>
      </w:r>
    </w:p>
    <w:p>
      <w:pPr>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b/>
          <w:bCs/>
          <w:smallCaps w:val="0"/>
          <w:sz w:val="32"/>
          <w:szCs w:val="32"/>
          <w:lang w:val="en-US" w:eastAsia="zh-CN"/>
        </w:rPr>
      </w:pPr>
      <w:r>
        <w:rPr>
          <w:rFonts w:hint="eastAsia" w:ascii="Calibri" w:hAnsi="Calibri" w:cs="Times New Roman"/>
          <w:b w:val="0"/>
          <w:smallCaps w:val="0"/>
          <w:kern w:val="2"/>
          <w:sz w:val="32"/>
          <w:szCs w:val="24"/>
          <w:lang w:val="en-US" w:eastAsia="zh-CN" w:bidi="ar-SA"/>
        </w:rPr>
        <w:t>推进乡村规划建设人才队伍建设。支持熟悉潜江的首席规划师、乡村规划师、建筑师、设计师及团队参与村庄规划设计、特色景观制作、人文风貌引导，塑造水乡园林特色风貌。统筹推进城乡基础设施建设管护人才互通共享，搭建服务平台，畅通交流机制。实施乡村本土建设人才培育工程，加强乡村建设工匠培训和管理，培育修路工、水利员、改厕专家、农村住房建设辅导员等专业人员，提升农村环境治理、基础设施及农村住房建设管护水平。</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ind w:leftChars="0"/>
        <w:jc w:val="center"/>
        <w:textAlignment w:val="auto"/>
        <w:outlineLvl w:val="1"/>
        <w:rPr>
          <w:rFonts w:hint="eastAsia" w:ascii="楷体" w:hAnsi="楷体" w:eastAsia="楷体" w:cs="楷体"/>
          <w:b/>
          <w:bCs/>
          <w:smallCaps w:val="0"/>
          <w:sz w:val="32"/>
          <w:szCs w:val="32"/>
          <w:lang w:val="en-US" w:eastAsia="zh-CN"/>
        </w:rPr>
      </w:pPr>
      <w:bookmarkStart w:id="200" w:name="_Toc23788"/>
      <w:bookmarkStart w:id="201" w:name="_Toc10235"/>
      <w:bookmarkStart w:id="202" w:name="_Toc10691"/>
      <w:r>
        <w:rPr>
          <w:rFonts w:hint="eastAsia" w:ascii="楷体" w:hAnsi="楷体" w:eastAsia="楷体" w:cs="楷体"/>
          <w:b/>
          <w:bCs/>
          <w:smallCaps w:val="0"/>
          <w:sz w:val="32"/>
          <w:szCs w:val="32"/>
          <w:lang w:val="en-US" w:eastAsia="zh-CN"/>
        </w:rPr>
        <w:t>第五节 推动乡村治理人才培养</w:t>
      </w:r>
      <w:bookmarkEnd w:id="200"/>
      <w:bookmarkEnd w:id="201"/>
      <w:bookmarkEnd w:id="202"/>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楷体" w:hAnsi="楷体" w:eastAsia="楷体" w:cs="楷体"/>
          <w:b/>
          <w:bCs/>
          <w:smallCaps w:val="0"/>
          <w:sz w:val="32"/>
          <w:szCs w:val="32"/>
          <w:lang w:val="en-US" w:eastAsia="zh-CN"/>
        </w:rPr>
      </w:pPr>
      <w:r>
        <w:rPr>
          <w:rFonts w:hint="eastAsia"/>
          <w:highlight w:val="none"/>
          <w:lang w:val="en-US" w:eastAsia="zh-CN"/>
        </w:rPr>
        <w:t>选优配强区、镇、街道领导班子，健全从区、镇、街道的事业人员、优秀村党组织书记、到村任职过的选调生、驻村第一书记、驻村工作队员中选拔领导干部常态化机制。优先提拔扎根农村、与农民感情深厚，熟悉乡镇规划、农业规律和乡村产业开发的镇区干部。注重从本村致富能手、外出务工经商返乡人员、本乡本土大学毕业生、退役军人中的党员里培养选拔村党组织书记。探索村书记跨村任职。加大从优秀村党组织书记中考录公务员力度。鼓励江汉艺术职业学院、潜江国家开放大学和潜江龙虾学院等职业院校，按照有关规定，根据农业农村现代化发展的需求开设涉农专业，支持村干部、新型农业经营主体带头人、退役军人和返乡创业农民工等，通过在校学习、弹性学制、农学交替和送教下乡等方式，就地就近接受职业高等教育，培养一批在乡大学生和乡村治理人才。</w:t>
      </w:r>
    </w:p>
    <w:p>
      <w:pPr>
        <w:pStyle w:val="4"/>
        <w:ind w:left="0" w:leftChars="0" w:firstLine="0" w:firstLineChars="0"/>
        <w:jc w:val="center"/>
        <w:outlineLvl w:val="9"/>
        <w:rPr>
          <w:rFonts w:hint="eastAsia" w:cs="Times New Roman"/>
          <w:lang w:val="en-US" w:eastAsia="zh-CN"/>
        </w:rPr>
      </w:pP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ind w:leftChars="0"/>
        <w:jc w:val="both"/>
        <w:textAlignment w:val="auto"/>
        <w:outlineLvl w:val="9"/>
        <w:rPr>
          <w:rFonts w:hint="eastAsia" w:ascii="楷体" w:hAnsi="楷体" w:eastAsia="楷体" w:cs="楷体"/>
          <w:b/>
          <w:bCs/>
          <w:smallCaps w:val="0"/>
          <w:sz w:val="32"/>
          <w:szCs w:val="32"/>
          <w:lang w:val="en-US" w:eastAsia="zh-CN"/>
        </w:rPr>
      </w:pPr>
    </w:p>
    <w:p>
      <w:pPr>
        <w:ind w:left="0" w:leftChars="0" w:firstLine="0" w:firstLineChars="0"/>
        <w:jc w:val="center"/>
        <w:rPr>
          <w:rFonts w:hint="eastAsia" w:cs="Times New Roman"/>
          <w:lang w:val="en-US" w:eastAsia="zh-CN"/>
        </w:rPr>
      </w:pPr>
      <w:bookmarkStart w:id="203" w:name="_Toc16313"/>
      <w:r>
        <w:rPr>
          <w:rFonts w:hint="eastAsia" w:cs="Times New Roman"/>
          <w:lang w:val="en-US" w:eastAsia="zh-CN"/>
        </w:rPr>
        <w:br w:type="page"/>
      </w:r>
    </w:p>
    <w:p>
      <w:pPr>
        <w:pStyle w:val="4"/>
        <w:ind w:left="0" w:leftChars="0" w:firstLine="0" w:firstLineChars="0"/>
        <w:jc w:val="center"/>
        <w:rPr>
          <w:rFonts w:hint="eastAsia" w:ascii="楷体" w:hAnsi="楷体" w:eastAsia="楷体" w:cs="楷体"/>
          <w:b/>
          <w:bCs/>
          <w:smallCaps w:val="0"/>
          <w:sz w:val="32"/>
          <w:szCs w:val="32"/>
          <w:highlight w:val="none"/>
          <w:lang w:val="en-US" w:eastAsia="zh-CN"/>
        </w:rPr>
      </w:pPr>
      <w:bookmarkStart w:id="204" w:name="_Toc29401"/>
      <w:bookmarkStart w:id="205" w:name="_Toc21885"/>
      <w:r>
        <w:rPr>
          <w:rFonts w:hint="eastAsia" w:cs="Times New Roman"/>
          <w:lang w:val="en-US" w:eastAsia="zh-CN"/>
        </w:rPr>
        <w:t xml:space="preserve">第八章 </w:t>
      </w:r>
      <w:bookmarkEnd w:id="203"/>
      <w:r>
        <w:rPr>
          <w:rFonts w:hint="eastAsia" w:ascii="Times New Roman" w:hAnsi="Times New Roman" w:cs="Times New Roman"/>
          <w:sz w:val="32"/>
          <w:lang w:val="en-US" w:eastAsia="zh-CN"/>
        </w:rPr>
        <w:t>深入推进</w:t>
      </w:r>
      <w:r>
        <w:rPr>
          <w:rFonts w:hint="eastAsia" w:cs="Times New Roman"/>
          <w:sz w:val="32"/>
          <w:lang w:val="en-US" w:eastAsia="zh-CN"/>
        </w:rPr>
        <w:t>农业</w:t>
      </w:r>
      <w:r>
        <w:rPr>
          <w:rFonts w:hint="eastAsia" w:ascii="Times New Roman" w:hAnsi="Times New Roman" w:cs="Times New Roman"/>
          <w:sz w:val="32"/>
          <w:lang w:val="en-US" w:eastAsia="zh-CN"/>
        </w:rPr>
        <w:t>农村改革，激活乡村振兴内生动力</w:t>
      </w:r>
      <w:bookmarkEnd w:id="204"/>
      <w:bookmarkEnd w:id="20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smallCaps w:val="0"/>
          <w:kern w:val="2"/>
          <w:sz w:val="32"/>
          <w:szCs w:val="24"/>
          <w:highlight w:val="none"/>
          <w:lang w:val="en-US" w:eastAsia="zh-CN" w:bidi="ar-SA"/>
        </w:rPr>
      </w:pPr>
      <w:bookmarkStart w:id="206" w:name="_Toc3914"/>
      <w:bookmarkStart w:id="207" w:name="_Toc1971"/>
      <w:bookmarkStart w:id="208" w:name="_Toc20154"/>
      <w:bookmarkStart w:id="209" w:name="_Toc3347"/>
      <w:r>
        <w:rPr>
          <w:rFonts w:hint="eastAsia" w:ascii="Times New Roman" w:hAnsi="Times New Roman" w:eastAsia="仿宋_GB2312" w:cs="Times New Roman"/>
          <w:b w:val="0"/>
          <w:smallCaps w:val="0"/>
          <w:kern w:val="2"/>
          <w:sz w:val="32"/>
          <w:szCs w:val="24"/>
          <w:highlight w:val="none"/>
          <w:lang w:val="en-US" w:eastAsia="zh-CN" w:bidi="ar-SA"/>
        </w:rPr>
        <w:t>进一步深化</w:t>
      </w:r>
      <w:r>
        <w:rPr>
          <w:rFonts w:hint="eastAsia" w:cs="Times New Roman"/>
          <w:b w:val="0"/>
          <w:smallCaps w:val="0"/>
          <w:kern w:val="2"/>
          <w:sz w:val="32"/>
          <w:szCs w:val="24"/>
          <w:highlight w:val="none"/>
          <w:lang w:val="en-US" w:eastAsia="zh-CN" w:bidi="ar-SA"/>
        </w:rPr>
        <w:t>农业</w:t>
      </w:r>
      <w:r>
        <w:rPr>
          <w:rFonts w:hint="eastAsia" w:ascii="Times New Roman" w:hAnsi="Times New Roman" w:eastAsia="仿宋_GB2312" w:cs="Times New Roman"/>
          <w:b w:val="0"/>
          <w:smallCaps w:val="0"/>
          <w:kern w:val="2"/>
          <w:sz w:val="32"/>
          <w:szCs w:val="24"/>
          <w:highlight w:val="none"/>
          <w:lang w:val="en-US" w:eastAsia="zh-CN" w:bidi="ar-SA"/>
        </w:rPr>
        <w:t>农村改革，聚焦重点领域和关键环节，破除制约农业农村发展的体制机制障碍，激发农村资源要素活力，推动农村改革不断取得新突破，促进农业高质高效、乡村宜居宜业、农民富裕富足。</w:t>
      </w:r>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60" w:lineRule="exact"/>
        <w:ind w:left="0" w:leftChars="0" w:firstLine="0" w:firstLineChars="0"/>
        <w:jc w:val="center"/>
        <w:textAlignment w:val="auto"/>
        <w:outlineLvl w:val="1"/>
        <w:rPr>
          <w:rFonts w:hint="default" w:ascii="楷体" w:hAnsi="楷体" w:eastAsia="楷体" w:cs="楷体"/>
          <w:b/>
          <w:bCs/>
          <w:smallCaps w:val="0"/>
          <w:sz w:val="32"/>
          <w:szCs w:val="32"/>
          <w:lang w:val="en-US" w:eastAsia="zh-CN"/>
        </w:rPr>
      </w:pPr>
      <w:bookmarkStart w:id="210" w:name="_Toc5680"/>
      <w:bookmarkStart w:id="211" w:name="_Toc25857"/>
      <w:r>
        <w:rPr>
          <w:rFonts w:hint="eastAsia" w:ascii="楷体" w:hAnsi="楷体" w:eastAsia="楷体" w:cs="楷体"/>
          <w:b/>
          <w:bCs/>
          <w:smallCaps w:val="0"/>
          <w:sz w:val="32"/>
          <w:szCs w:val="32"/>
          <w:lang w:val="en-US" w:eastAsia="zh-CN"/>
        </w:rPr>
        <w:t>第一节 深入推进农村土地制度改革</w:t>
      </w:r>
      <w:bookmarkEnd w:id="210"/>
      <w:bookmarkEnd w:id="211"/>
    </w:p>
    <w:p>
      <w:pPr>
        <w:spacing w:line="600" w:lineRule="exact"/>
        <w:ind w:firstLine="643" w:firstLineChars="200"/>
        <w:outlineLvl w:val="2"/>
        <w:rPr>
          <w:rFonts w:hint="eastAsia" w:ascii="Times New Roman" w:hAnsi="Times New Roman" w:eastAsia="楷体" w:cs="Times New Roman"/>
          <w:b/>
          <w:bCs/>
          <w:color w:val="auto"/>
          <w:sz w:val="32"/>
          <w:szCs w:val="40"/>
          <w:highlight w:val="none"/>
          <w:lang w:val="en-US" w:eastAsia="zh-CN"/>
        </w:rPr>
      </w:pPr>
      <w:r>
        <w:rPr>
          <w:rFonts w:hint="eastAsia" w:ascii="Times New Roman" w:hAnsi="Times New Roman" w:eastAsia="楷体" w:cs="Times New Roman"/>
          <w:b/>
          <w:bCs/>
          <w:color w:val="auto"/>
          <w:sz w:val="32"/>
          <w:szCs w:val="40"/>
          <w:highlight w:val="none"/>
          <w:lang w:val="en-US" w:eastAsia="zh-CN"/>
        </w:rPr>
        <w:t>一、落实农村土地承包经营制度改革</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Times New Roman"/>
          <w:sz w:val="32"/>
          <w:highlight w:val="none"/>
          <w:lang w:val="en-US" w:eastAsia="zh-CN"/>
        </w:rPr>
      </w:pPr>
      <w:r>
        <w:rPr>
          <w:rFonts w:hint="default" w:ascii="Times New Roman" w:hAnsi="Times New Roman" w:eastAsia="仿宋_GB2312" w:cs="Times New Roman"/>
          <w:b w:val="0"/>
          <w:smallCaps w:val="0"/>
          <w:kern w:val="2"/>
          <w:sz w:val="32"/>
          <w:szCs w:val="24"/>
          <w:highlight w:val="none"/>
          <w:lang w:val="en-US" w:eastAsia="zh-CN" w:bidi="ar-SA"/>
        </w:rPr>
        <w:t>稳定农村土地承包关系</w:t>
      </w:r>
      <w:r>
        <w:rPr>
          <w:rFonts w:hint="eastAsia" w:ascii="Times New Roman" w:hAnsi="Times New Roman" w:eastAsia="仿宋_GB2312" w:cs="Times New Roman"/>
          <w:b w:val="0"/>
          <w:smallCaps w:val="0"/>
          <w:kern w:val="2"/>
          <w:sz w:val="32"/>
          <w:szCs w:val="24"/>
          <w:highlight w:val="none"/>
          <w:lang w:val="en-US" w:eastAsia="zh-CN" w:bidi="ar-SA"/>
        </w:rPr>
        <w:t>，</w:t>
      </w:r>
      <w:r>
        <w:rPr>
          <w:rFonts w:hint="default" w:ascii="Times New Roman" w:hAnsi="Times New Roman" w:eastAsia="仿宋_GB2312" w:cs="Times New Roman"/>
          <w:b w:val="0"/>
          <w:smallCaps w:val="0"/>
          <w:kern w:val="2"/>
          <w:sz w:val="32"/>
          <w:szCs w:val="24"/>
          <w:highlight w:val="none"/>
          <w:lang w:val="en-US" w:eastAsia="zh-CN" w:bidi="ar-SA"/>
        </w:rPr>
        <w:t>落实集体所有权</w:t>
      </w:r>
      <w:r>
        <w:rPr>
          <w:rFonts w:hint="eastAsia" w:ascii="Times New Roman" w:hAnsi="Times New Roman" w:eastAsia="仿宋_GB2312" w:cs="Times New Roman"/>
          <w:b w:val="0"/>
          <w:smallCaps w:val="0"/>
          <w:kern w:val="2"/>
          <w:sz w:val="32"/>
          <w:szCs w:val="24"/>
          <w:highlight w:val="none"/>
          <w:lang w:val="en-US" w:eastAsia="zh-CN" w:bidi="ar-SA"/>
        </w:rPr>
        <w:t>，</w:t>
      </w:r>
      <w:r>
        <w:rPr>
          <w:rFonts w:hint="default" w:ascii="Times New Roman" w:hAnsi="Times New Roman" w:eastAsia="仿宋_GB2312" w:cs="Times New Roman"/>
          <w:b w:val="0"/>
          <w:smallCaps w:val="0"/>
          <w:kern w:val="2"/>
          <w:sz w:val="32"/>
          <w:szCs w:val="24"/>
          <w:highlight w:val="none"/>
          <w:lang w:val="en-US" w:eastAsia="zh-CN" w:bidi="ar-SA"/>
        </w:rPr>
        <w:t>稳定农户承包权</w:t>
      </w:r>
      <w:r>
        <w:rPr>
          <w:rFonts w:hint="eastAsia" w:ascii="Times New Roman" w:hAnsi="Times New Roman" w:eastAsia="仿宋_GB2312" w:cs="Times New Roman"/>
          <w:b w:val="0"/>
          <w:smallCaps w:val="0"/>
          <w:kern w:val="2"/>
          <w:sz w:val="32"/>
          <w:szCs w:val="24"/>
          <w:highlight w:val="none"/>
          <w:lang w:val="en-US" w:eastAsia="zh-CN" w:bidi="ar-SA"/>
        </w:rPr>
        <w:t>，</w:t>
      </w:r>
      <w:r>
        <w:rPr>
          <w:rFonts w:hint="default" w:ascii="Times New Roman" w:hAnsi="Times New Roman" w:eastAsia="仿宋_GB2312" w:cs="Times New Roman"/>
          <w:b w:val="0"/>
          <w:smallCaps w:val="0"/>
          <w:kern w:val="2"/>
          <w:sz w:val="32"/>
          <w:szCs w:val="24"/>
          <w:highlight w:val="none"/>
          <w:lang w:val="en-US" w:eastAsia="zh-CN" w:bidi="ar-SA"/>
        </w:rPr>
        <w:t>放活土地经营权</w:t>
      </w:r>
      <w:r>
        <w:rPr>
          <w:rFonts w:hint="eastAsia" w:ascii="Times New Roman" w:hAnsi="Times New Roman" w:eastAsia="仿宋_GB2312" w:cs="Times New Roman"/>
          <w:b w:val="0"/>
          <w:smallCaps w:val="0"/>
          <w:kern w:val="2"/>
          <w:sz w:val="32"/>
          <w:szCs w:val="24"/>
          <w:highlight w:val="none"/>
          <w:lang w:val="en-US" w:eastAsia="zh-CN" w:bidi="ar-SA"/>
        </w:rPr>
        <w:t>，</w:t>
      </w:r>
      <w:r>
        <w:rPr>
          <w:rFonts w:hint="default" w:ascii="Times New Roman" w:hAnsi="Times New Roman" w:eastAsia="仿宋_GB2312" w:cs="Times New Roman"/>
          <w:b w:val="0"/>
          <w:smallCaps w:val="0"/>
          <w:kern w:val="2"/>
          <w:sz w:val="32"/>
          <w:szCs w:val="24"/>
          <w:highlight w:val="none"/>
          <w:lang w:val="en-US" w:eastAsia="zh-CN" w:bidi="ar-SA"/>
        </w:rPr>
        <w:t>完善</w:t>
      </w:r>
      <w:r>
        <w:rPr>
          <w:rFonts w:hint="eastAsia" w:ascii="Times New Roman" w:hAnsi="Times New Roman" w:eastAsia="仿宋_GB2312" w:cs="Times New Roman"/>
          <w:b w:val="0"/>
          <w:smallCaps w:val="0"/>
          <w:kern w:val="2"/>
          <w:sz w:val="32"/>
          <w:szCs w:val="24"/>
          <w:highlight w:val="none"/>
          <w:lang w:val="en-US" w:eastAsia="zh-CN" w:bidi="ar-SA"/>
        </w:rPr>
        <w:t>“</w:t>
      </w:r>
      <w:r>
        <w:rPr>
          <w:rFonts w:hint="default" w:ascii="Times New Roman" w:hAnsi="Times New Roman" w:eastAsia="仿宋_GB2312" w:cs="Times New Roman"/>
          <w:b w:val="0"/>
          <w:smallCaps w:val="0"/>
          <w:kern w:val="2"/>
          <w:sz w:val="32"/>
          <w:szCs w:val="24"/>
          <w:highlight w:val="none"/>
          <w:lang w:val="en-US" w:eastAsia="zh-CN" w:bidi="ar-SA"/>
        </w:rPr>
        <w:t>三权</w:t>
      </w:r>
      <w:r>
        <w:rPr>
          <w:rFonts w:hint="eastAsia" w:ascii="Times New Roman" w:hAnsi="Times New Roman" w:eastAsia="仿宋_GB2312" w:cs="Times New Roman"/>
          <w:b w:val="0"/>
          <w:smallCaps w:val="0"/>
          <w:kern w:val="2"/>
          <w:sz w:val="32"/>
          <w:szCs w:val="24"/>
          <w:highlight w:val="none"/>
          <w:lang w:val="en-US" w:eastAsia="zh-CN" w:bidi="ar-SA"/>
        </w:rPr>
        <w:t>”</w:t>
      </w:r>
      <w:r>
        <w:rPr>
          <w:rFonts w:hint="default" w:ascii="Times New Roman" w:hAnsi="Times New Roman" w:eastAsia="仿宋_GB2312" w:cs="Times New Roman"/>
          <w:b w:val="0"/>
          <w:smallCaps w:val="0"/>
          <w:kern w:val="2"/>
          <w:sz w:val="32"/>
          <w:szCs w:val="24"/>
          <w:highlight w:val="none"/>
          <w:lang w:val="en-US" w:eastAsia="zh-CN" w:bidi="ar-SA"/>
        </w:rPr>
        <w:t>分置办法</w:t>
      </w:r>
      <w:r>
        <w:rPr>
          <w:rFonts w:hint="eastAsia" w:ascii="Times New Roman" w:hAnsi="Times New Roman" w:eastAsia="仿宋_GB2312" w:cs="Times New Roman"/>
          <w:b w:val="0"/>
          <w:smallCaps w:val="0"/>
          <w:kern w:val="2"/>
          <w:sz w:val="32"/>
          <w:szCs w:val="24"/>
          <w:highlight w:val="none"/>
          <w:lang w:val="en-US" w:eastAsia="zh-CN" w:bidi="ar-SA"/>
        </w:rPr>
        <w:t>。运用农村土地承包确权登记颁证成果，扎实推进第二轮土地承包到期后再延长30年工作，保持农村土地承包关系稳定并长久不变。</w:t>
      </w:r>
      <w:r>
        <w:rPr>
          <w:rFonts w:hint="default" w:ascii="Times New Roman" w:hAnsi="Times New Roman" w:eastAsia="仿宋_GB2312" w:cs="Times New Roman"/>
          <w:b w:val="0"/>
          <w:smallCaps w:val="0"/>
          <w:kern w:val="2"/>
          <w:sz w:val="32"/>
          <w:szCs w:val="24"/>
          <w:highlight w:val="none"/>
          <w:lang w:val="en-US" w:eastAsia="zh-CN" w:bidi="ar-SA"/>
        </w:rPr>
        <w:t>在充分尊重农民意愿的基础上</w:t>
      </w:r>
      <w:r>
        <w:rPr>
          <w:rFonts w:hint="eastAsia" w:ascii="Times New Roman" w:hAnsi="Times New Roman" w:eastAsia="仿宋_GB2312" w:cs="Times New Roman"/>
          <w:b w:val="0"/>
          <w:smallCaps w:val="0"/>
          <w:kern w:val="2"/>
          <w:sz w:val="32"/>
          <w:szCs w:val="24"/>
          <w:highlight w:val="none"/>
          <w:lang w:val="en-US" w:eastAsia="zh-CN" w:bidi="ar-SA"/>
        </w:rPr>
        <w:t>，</w:t>
      </w:r>
      <w:r>
        <w:rPr>
          <w:rFonts w:hint="default" w:ascii="Times New Roman" w:hAnsi="Times New Roman" w:eastAsia="仿宋_GB2312" w:cs="Times New Roman"/>
          <w:b w:val="0"/>
          <w:smallCaps w:val="0"/>
          <w:kern w:val="2"/>
          <w:sz w:val="32"/>
          <w:szCs w:val="24"/>
          <w:highlight w:val="none"/>
          <w:lang w:val="en-US" w:eastAsia="zh-CN" w:bidi="ar-SA"/>
        </w:rPr>
        <w:t>引导农户依法有序流转土地经营权</w:t>
      </w:r>
      <w:r>
        <w:rPr>
          <w:rFonts w:hint="eastAsia" w:ascii="Times New Roman" w:hAnsi="Times New Roman" w:eastAsia="仿宋_GB2312" w:cs="Times New Roman"/>
          <w:b w:val="0"/>
          <w:smallCaps w:val="0"/>
          <w:kern w:val="2"/>
          <w:sz w:val="32"/>
          <w:szCs w:val="24"/>
          <w:highlight w:val="none"/>
          <w:lang w:val="en-US" w:eastAsia="zh-CN" w:bidi="ar-SA"/>
        </w:rPr>
        <w:t>，</w:t>
      </w:r>
      <w:r>
        <w:rPr>
          <w:rFonts w:hint="default" w:ascii="Times New Roman" w:hAnsi="Times New Roman" w:eastAsia="仿宋_GB2312" w:cs="Times New Roman"/>
          <w:b w:val="0"/>
          <w:smallCaps w:val="0"/>
          <w:kern w:val="2"/>
          <w:sz w:val="32"/>
          <w:szCs w:val="24"/>
          <w:highlight w:val="none"/>
          <w:lang w:val="en-US" w:eastAsia="zh-CN" w:bidi="ar-SA"/>
        </w:rPr>
        <w:t>鼓励农户互换承包地实现连片耕种</w:t>
      </w:r>
      <w:r>
        <w:rPr>
          <w:rFonts w:hint="eastAsia" w:ascii="Times New Roman" w:hAnsi="Times New Roman" w:eastAsia="仿宋_GB2312" w:cs="Times New Roman"/>
          <w:b w:val="0"/>
          <w:smallCaps w:val="0"/>
          <w:kern w:val="2"/>
          <w:sz w:val="32"/>
          <w:szCs w:val="24"/>
          <w:highlight w:val="none"/>
          <w:lang w:val="en-US" w:eastAsia="zh-CN" w:bidi="ar-SA"/>
        </w:rPr>
        <w:t>，</w:t>
      </w:r>
      <w:r>
        <w:rPr>
          <w:rFonts w:hint="default" w:ascii="Times New Roman" w:hAnsi="Times New Roman" w:eastAsia="仿宋_GB2312" w:cs="Times New Roman"/>
          <w:b w:val="0"/>
          <w:smallCaps w:val="0"/>
          <w:kern w:val="2"/>
          <w:sz w:val="32"/>
          <w:szCs w:val="24"/>
          <w:highlight w:val="none"/>
          <w:lang w:val="en-US" w:eastAsia="zh-CN" w:bidi="ar-SA"/>
        </w:rPr>
        <w:t>解决</w:t>
      </w:r>
      <w:r>
        <w:rPr>
          <w:rFonts w:hint="eastAsia" w:ascii="Times New Roman" w:hAnsi="Times New Roman" w:eastAsia="仿宋_GB2312" w:cs="Times New Roman"/>
          <w:b w:val="0"/>
          <w:smallCaps w:val="0"/>
          <w:kern w:val="2"/>
          <w:sz w:val="32"/>
          <w:szCs w:val="24"/>
          <w:highlight w:val="none"/>
          <w:lang w:val="en-US" w:eastAsia="zh-CN" w:bidi="ar-SA"/>
        </w:rPr>
        <w:t>部分区域</w:t>
      </w:r>
      <w:r>
        <w:rPr>
          <w:rFonts w:hint="default" w:ascii="Times New Roman" w:hAnsi="Times New Roman" w:eastAsia="仿宋_GB2312" w:cs="Times New Roman"/>
          <w:b w:val="0"/>
          <w:smallCaps w:val="0"/>
          <w:kern w:val="2"/>
          <w:sz w:val="32"/>
          <w:szCs w:val="24"/>
          <w:highlight w:val="none"/>
          <w:lang w:val="en-US" w:eastAsia="zh-CN" w:bidi="ar-SA"/>
        </w:rPr>
        <w:t>农村土地细碎化问题</w:t>
      </w:r>
      <w:r>
        <w:rPr>
          <w:rFonts w:hint="eastAsia" w:ascii="Times New Roman" w:hAnsi="Times New Roman" w:eastAsia="仿宋_GB2312" w:cs="Times New Roman"/>
          <w:b w:val="0"/>
          <w:smallCaps w:val="0"/>
          <w:kern w:val="2"/>
          <w:sz w:val="32"/>
          <w:szCs w:val="24"/>
          <w:highlight w:val="none"/>
          <w:lang w:val="en-US" w:eastAsia="zh-CN" w:bidi="ar-SA"/>
        </w:rPr>
        <w:t>，</w:t>
      </w:r>
      <w:r>
        <w:rPr>
          <w:rFonts w:hint="default" w:ascii="Times New Roman" w:hAnsi="Times New Roman" w:eastAsia="仿宋_GB2312" w:cs="Times New Roman"/>
          <w:b w:val="0"/>
          <w:smallCaps w:val="0"/>
          <w:kern w:val="2"/>
          <w:sz w:val="32"/>
          <w:szCs w:val="24"/>
          <w:highlight w:val="none"/>
          <w:lang w:val="en-US" w:eastAsia="zh-CN" w:bidi="ar-SA"/>
        </w:rPr>
        <w:t>提高机械化水平和生产效率。健全市、</w:t>
      </w:r>
      <w:r>
        <w:rPr>
          <w:rFonts w:hint="eastAsia" w:ascii="Times New Roman" w:hAnsi="Times New Roman" w:eastAsia="仿宋_GB2312" w:cs="Times New Roman"/>
          <w:b w:val="0"/>
          <w:smallCaps w:val="0"/>
          <w:kern w:val="2"/>
          <w:sz w:val="32"/>
          <w:szCs w:val="24"/>
          <w:highlight w:val="none"/>
          <w:lang w:val="en-US" w:eastAsia="zh-CN" w:bidi="ar-SA"/>
        </w:rPr>
        <w:t>镇（</w:t>
      </w:r>
      <w:r>
        <w:rPr>
          <w:rFonts w:hint="eastAsia" w:ascii="Times New Roman" w:hAnsi="Times New Roman" w:cs="Times New Roman"/>
          <w:b w:val="0"/>
          <w:smallCaps w:val="0"/>
          <w:kern w:val="2"/>
          <w:sz w:val="32"/>
          <w:szCs w:val="24"/>
          <w:highlight w:val="none"/>
          <w:lang w:val="en-US" w:eastAsia="zh-CN" w:bidi="ar-SA"/>
        </w:rPr>
        <w:t>街道</w:t>
      </w:r>
      <w:r>
        <w:rPr>
          <w:rFonts w:hint="eastAsia" w:ascii="Times New Roman" w:hAnsi="Times New Roman" w:eastAsia="仿宋_GB2312" w:cs="Times New Roman"/>
          <w:b w:val="0"/>
          <w:smallCaps w:val="0"/>
          <w:kern w:val="2"/>
          <w:sz w:val="32"/>
          <w:szCs w:val="24"/>
          <w:highlight w:val="none"/>
          <w:lang w:val="en-US" w:eastAsia="zh-CN" w:bidi="ar-SA"/>
        </w:rPr>
        <w:t>）</w:t>
      </w:r>
      <w:r>
        <w:rPr>
          <w:rFonts w:hint="default" w:ascii="Times New Roman" w:hAnsi="Times New Roman" w:eastAsia="仿宋_GB2312" w:cs="Times New Roman"/>
          <w:b w:val="0"/>
          <w:smallCaps w:val="0"/>
          <w:kern w:val="2"/>
          <w:sz w:val="32"/>
          <w:szCs w:val="24"/>
          <w:highlight w:val="none"/>
          <w:lang w:val="en-US" w:eastAsia="zh-CN" w:bidi="ar-SA"/>
        </w:rPr>
        <w:t>、村三级土地承包经营权流转服务体系。在有条件的地方开展进城落户农民土地承包经营权有偿退出试点。鼓励有条件的镇</w:t>
      </w:r>
      <w:r>
        <w:rPr>
          <w:rFonts w:hint="eastAsia" w:ascii="Times New Roman" w:hAnsi="Times New Roman" w:eastAsia="仿宋_GB2312" w:cs="Times New Roman"/>
          <w:b w:val="0"/>
          <w:smallCaps w:val="0"/>
          <w:kern w:val="2"/>
          <w:sz w:val="32"/>
          <w:szCs w:val="24"/>
          <w:highlight w:val="none"/>
          <w:lang w:val="en-US" w:eastAsia="zh-CN" w:bidi="ar-SA"/>
        </w:rPr>
        <w:t>（</w:t>
      </w:r>
      <w:r>
        <w:rPr>
          <w:rFonts w:hint="eastAsia" w:ascii="Times New Roman" w:hAnsi="Times New Roman" w:cs="Times New Roman"/>
          <w:b w:val="0"/>
          <w:smallCaps w:val="0"/>
          <w:kern w:val="2"/>
          <w:sz w:val="32"/>
          <w:szCs w:val="24"/>
          <w:highlight w:val="none"/>
          <w:lang w:val="en-US" w:eastAsia="zh-CN" w:bidi="ar-SA"/>
        </w:rPr>
        <w:t>街道</w:t>
      </w:r>
      <w:r>
        <w:rPr>
          <w:rFonts w:hint="eastAsia" w:ascii="Times New Roman" w:hAnsi="Times New Roman" w:eastAsia="仿宋_GB2312" w:cs="Times New Roman"/>
          <w:b w:val="0"/>
          <w:smallCaps w:val="0"/>
          <w:kern w:val="2"/>
          <w:sz w:val="32"/>
          <w:szCs w:val="24"/>
          <w:highlight w:val="none"/>
          <w:lang w:val="en-US" w:eastAsia="zh-CN" w:bidi="ar-SA"/>
        </w:rPr>
        <w:t>）</w:t>
      </w:r>
      <w:r>
        <w:rPr>
          <w:rFonts w:hint="default" w:ascii="Times New Roman" w:hAnsi="Times New Roman" w:eastAsia="仿宋_GB2312" w:cs="Times New Roman"/>
          <w:b w:val="0"/>
          <w:smallCaps w:val="0"/>
          <w:kern w:val="2"/>
          <w:sz w:val="32"/>
          <w:szCs w:val="24"/>
          <w:highlight w:val="none"/>
          <w:lang w:val="en-US" w:eastAsia="zh-CN" w:bidi="ar-SA"/>
        </w:rPr>
        <w:t>，开展农村土地承包权有偿退出和土地经营权抵押贷款试点。健全农村土地承包经营纠纷仲裁体系，加强基层农村经营管理工作和体系队伍建设。</w:t>
      </w:r>
    </w:p>
    <w:p>
      <w:pPr>
        <w:spacing w:line="600" w:lineRule="exact"/>
        <w:ind w:firstLine="643" w:firstLineChars="200"/>
        <w:outlineLvl w:val="2"/>
        <w:rPr>
          <w:rFonts w:hint="eastAsia" w:ascii="Times New Roman" w:hAnsi="Times New Roman" w:eastAsia="楷体" w:cs="Times New Roman"/>
          <w:b/>
          <w:bCs/>
          <w:color w:val="auto"/>
          <w:sz w:val="32"/>
          <w:szCs w:val="40"/>
          <w:highlight w:val="none"/>
          <w:lang w:val="en-US" w:eastAsia="zh-CN"/>
        </w:rPr>
      </w:pPr>
      <w:r>
        <w:rPr>
          <w:rFonts w:hint="eastAsia" w:ascii="Times New Roman" w:hAnsi="Times New Roman" w:eastAsia="楷体" w:cs="Times New Roman"/>
          <w:b/>
          <w:bCs/>
          <w:color w:val="auto"/>
          <w:sz w:val="32"/>
          <w:szCs w:val="40"/>
          <w:highlight w:val="none"/>
          <w:lang w:val="en-US" w:eastAsia="zh-CN"/>
        </w:rPr>
        <w:t>二、稳慎推进农村宅基地改革</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楷体" w:hAnsi="楷体" w:eastAsia="楷体" w:cs="楷体"/>
          <w:b/>
          <w:bCs/>
          <w:smallCaps w:val="0"/>
          <w:sz w:val="32"/>
          <w:szCs w:val="32"/>
          <w:highlight w:val="none"/>
          <w:lang w:val="en-US" w:eastAsia="zh-CN"/>
        </w:rPr>
      </w:pPr>
      <w:r>
        <w:rPr>
          <w:rFonts w:hint="eastAsia" w:ascii="Times New Roman" w:hAnsi="Times New Roman" w:eastAsia="仿宋_GB2312" w:cs="Times New Roman"/>
          <w:b w:val="0"/>
          <w:smallCaps w:val="0"/>
          <w:kern w:val="2"/>
          <w:sz w:val="32"/>
          <w:szCs w:val="24"/>
          <w:highlight w:val="none"/>
          <w:lang w:val="en-US" w:eastAsia="zh-CN" w:bidi="ar-SA"/>
        </w:rPr>
        <w:t>推进农村宅基地制度改革试点，理顺农村宅基地管理职能，完善农村宅基地审批流程，推动农村宅基地规范化管理。完善农民闲置宅基地和闲置农房政策，探索落实宅基地所有权、资格权、使用权“三权分置”，落实宅基地集体所有权，保障宅基地农户资格权和农民房屋财产权，适度放活宅基地和农民房屋使用权，探索开放农村宅基地交易限制。积极推进宅基地制度改革，结合行政村区划调整，提高闲散宅基地、空心村的使用效益，减少新增宅基地占用耕地，落实“一户一宅”制度。探索建立农房共享平台，推动农村空闲房屋开发利用。鼓励各镇（</w:t>
      </w:r>
      <w:r>
        <w:rPr>
          <w:rFonts w:hint="eastAsia" w:ascii="Times New Roman" w:hAnsi="Times New Roman" w:cs="Times New Roman"/>
          <w:b w:val="0"/>
          <w:smallCaps w:val="0"/>
          <w:kern w:val="2"/>
          <w:sz w:val="32"/>
          <w:szCs w:val="24"/>
          <w:highlight w:val="none"/>
          <w:lang w:val="en-US" w:eastAsia="zh-CN" w:bidi="ar-SA"/>
        </w:rPr>
        <w:t>街道</w:t>
      </w:r>
      <w:r>
        <w:rPr>
          <w:rFonts w:hint="eastAsia" w:ascii="Times New Roman" w:hAnsi="Times New Roman" w:eastAsia="仿宋_GB2312" w:cs="Times New Roman"/>
          <w:b w:val="0"/>
          <w:smallCaps w:val="0"/>
          <w:kern w:val="2"/>
          <w:sz w:val="32"/>
          <w:szCs w:val="24"/>
          <w:highlight w:val="none"/>
          <w:lang w:val="en-US" w:eastAsia="zh-CN" w:bidi="ar-SA"/>
        </w:rPr>
        <w:t>）在保障农民宅基地权益前提下，探索以出租、合作、入股、入市、置换</w:t>
      </w:r>
      <w:r>
        <w:rPr>
          <w:rFonts w:hint="eastAsia" w:ascii="Times New Roman" w:hAnsi="Times New Roman" w:cs="Times New Roman"/>
          <w:b w:val="0"/>
          <w:smallCaps w:val="0"/>
          <w:kern w:val="2"/>
          <w:sz w:val="32"/>
          <w:szCs w:val="24"/>
          <w:highlight w:val="none"/>
          <w:lang w:val="en-US" w:eastAsia="zh-CN" w:bidi="ar-SA"/>
        </w:rPr>
        <w:t>和</w:t>
      </w:r>
      <w:r>
        <w:rPr>
          <w:rFonts w:hint="eastAsia" w:ascii="Times New Roman" w:hAnsi="Times New Roman" w:eastAsia="仿宋_GB2312" w:cs="Times New Roman"/>
          <w:b w:val="0"/>
          <w:smallCaps w:val="0"/>
          <w:kern w:val="2"/>
          <w:sz w:val="32"/>
          <w:szCs w:val="24"/>
          <w:highlight w:val="none"/>
          <w:lang w:val="en-US" w:eastAsia="zh-CN" w:bidi="ar-SA"/>
        </w:rPr>
        <w:t>抵押贷款等方式盘活空闲农房、宅基地。探索建立宅基地市场化退出机制，通过指标置换、资产置换、货币补偿</w:t>
      </w:r>
      <w:r>
        <w:rPr>
          <w:rFonts w:hint="eastAsia" w:ascii="Times New Roman" w:hAnsi="Times New Roman" w:cs="Times New Roman"/>
          <w:b w:val="0"/>
          <w:smallCaps w:val="0"/>
          <w:kern w:val="2"/>
          <w:sz w:val="32"/>
          <w:szCs w:val="24"/>
          <w:highlight w:val="none"/>
          <w:lang w:val="en-US" w:eastAsia="zh-CN" w:bidi="ar-SA"/>
        </w:rPr>
        <w:t>和</w:t>
      </w:r>
      <w:r>
        <w:rPr>
          <w:rFonts w:hint="eastAsia" w:ascii="Times New Roman" w:hAnsi="Times New Roman" w:eastAsia="仿宋_GB2312" w:cs="Times New Roman"/>
          <w:b w:val="0"/>
          <w:smallCaps w:val="0"/>
          <w:kern w:val="2"/>
          <w:sz w:val="32"/>
          <w:szCs w:val="24"/>
          <w:highlight w:val="none"/>
          <w:lang w:val="en-US" w:eastAsia="zh-CN" w:bidi="ar-SA"/>
        </w:rPr>
        <w:t>借地退出等方式整合土地资源。结合投融资机制灵活利用闲置的农村建设用地。</w:t>
      </w:r>
    </w:p>
    <w:p>
      <w:pPr>
        <w:pStyle w:val="21"/>
        <w:keepNext w:val="0"/>
        <w:keepLines w:val="0"/>
        <w:pageBreakBefore w:val="0"/>
        <w:widowControl/>
        <w:tabs>
          <w:tab w:val="right" w:leader="dot" w:pos="8306"/>
        </w:tabs>
        <w:kinsoku/>
        <w:wordWrap/>
        <w:overflowPunct/>
        <w:topLinePunct w:val="0"/>
        <w:autoSpaceDE/>
        <w:autoSpaceDN/>
        <w:bidi w:val="0"/>
        <w:adjustRightInd/>
        <w:snapToGrid/>
        <w:spacing w:before="160" w:beforeLines="50" w:after="160" w:afterLines="50" w:line="560" w:lineRule="exact"/>
        <w:ind w:left="0" w:leftChars="0" w:firstLine="0" w:firstLineChars="0"/>
        <w:jc w:val="center"/>
        <w:textAlignment w:val="auto"/>
        <w:outlineLvl w:val="1"/>
        <w:rPr>
          <w:rFonts w:hint="eastAsia" w:ascii="楷体" w:hAnsi="楷体" w:eastAsia="楷体" w:cs="楷体"/>
          <w:b/>
          <w:bCs/>
          <w:smallCaps w:val="0"/>
          <w:sz w:val="32"/>
          <w:szCs w:val="32"/>
          <w:lang w:val="en-US" w:eastAsia="zh-CN"/>
        </w:rPr>
      </w:pPr>
      <w:bookmarkStart w:id="212" w:name="_Toc2631"/>
      <w:bookmarkStart w:id="213" w:name="_Toc28047"/>
      <w:r>
        <w:rPr>
          <w:rFonts w:hint="eastAsia" w:ascii="楷体" w:hAnsi="楷体" w:eastAsia="楷体" w:cs="楷体"/>
          <w:b/>
          <w:bCs/>
          <w:smallCaps w:val="0"/>
          <w:sz w:val="32"/>
          <w:szCs w:val="32"/>
          <w:lang w:val="en-US" w:eastAsia="zh-CN"/>
        </w:rPr>
        <w:t>第二节 加快农村集体产权制度改革</w:t>
      </w:r>
      <w:bookmarkEnd w:id="212"/>
      <w:bookmarkEnd w:id="213"/>
    </w:p>
    <w:p>
      <w:pPr>
        <w:pStyle w:val="6"/>
        <w:numPr>
          <w:ilvl w:val="0"/>
          <w:numId w:val="0"/>
        </w:numPr>
        <w:spacing w:line="240" w:lineRule="auto"/>
        <w:ind w:firstLine="643" w:firstLineChars="200"/>
        <w:jc w:val="left"/>
        <w:rPr>
          <w:rFonts w:hint="eastAsia" w:ascii="楷体" w:hAnsi="楷体" w:eastAsia="楷体" w:cs="楷体"/>
          <w:sz w:val="32"/>
          <w:highlight w:val="none"/>
          <w:lang w:val="en-US" w:eastAsia="zh-CN"/>
        </w:rPr>
      </w:pPr>
      <w:r>
        <w:rPr>
          <w:rFonts w:hint="eastAsia" w:ascii="楷体" w:hAnsi="楷体" w:eastAsia="楷体" w:cs="楷体"/>
          <w:sz w:val="32"/>
          <w:highlight w:val="none"/>
          <w:lang w:val="en-US" w:eastAsia="zh-CN"/>
        </w:rPr>
        <w:t>一、推进农村集体经营性资产股份合作制改革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sz w:val="32"/>
          <w:highlight w:val="none"/>
          <w:lang w:val="en-US" w:eastAsia="zh-CN"/>
        </w:rPr>
      </w:pPr>
      <w:r>
        <w:rPr>
          <w:rFonts w:hint="eastAsia" w:ascii="Times New Roman" w:hAnsi="Times New Roman" w:eastAsia="仿宋_GB2312" w:cs="Times New Roman"/>
          <w:b w:val="0"/>
          <w:smallCaps w:val="0"/>
          <w:kern w:val="2"/>
          <w:sz w:val="32"/>
          <w:szCs w:val="24"/>
          <w:highlight w:val="none"/>
          <w:lang w:val="en-US" w:eastAsia="zh-CN" w:bidi="ar-SA"/>
        </w:rPr>
        <w:t>深化农村集体产权制度改革，稳步推进有经营性资产的村（组），特别是城中村、城郊村和经济发达村开展农村集体经营性资产股份合作制改革，针对暂时没有经营性资产的村（组），可以先确定集体经济组织成员量化系数，待经营性资产达到一定数量后再开展资产量化。建立集体资产股权登记制度，股权管理提倡实行“量化到人、固化到户”。健全集体收益分配制度，完善集体资产股份有偿退出和继承制度，审慎开展集体资产股份抵押、担保贷款试点。探索将财政支农资金形成的资产折股量化为村级集体持有或参与经营分红。力争到2022年完成全市农村集体经营性资产股份合作制改革。</w:t>
      </w:r>
    </w:p>
    <w:p>
      <w:pPr>
        <w:pStyle w:val="6"/>
        <w:numPr>
          <w:ilvl w:val="0"/>
          <w:numId w:val="0"/>
        </w:numPr>
        <w:spacing w:line="240" w:lineRule="auto"/>
        <w:ind w:firstLine="643" w:firstLineChars="200"/>
        <w:jc w:val="left"/>
        <w:rPr>
          <w:rFonts w:hint="eastAsia" w:ascii="楷体" w:hAnsi="楷体" w:eastAsia="楷体" w:cs="楷体"/>
          <w:sz w:val="32"/>
          <w:highlight w:val="none"/>
          <w:lang w:val="en-US" w:eastAsia="zh-CN"/>
        </w:rPr>
      </w:pPr>
      <w:r>
        <w:rPr>
          <w:rFonts w:hint="eastAsia" w:ascii="楷体" w:hAnsi="楷体" w:eastAsia="楷体" w:cs="楷体"/>
          <w:sz w:val="32"/>
          <w:highlight w:val="none"/>
          <w:lang w:val="en-US" w:eastAsia="zh-CN"/>
        </w:rPr>
        <w:t>二、创新农村“三变”模式</w:t>
      </w:r>
    </w:p>
    <w:p>
      <w:pPr>
        <w:pStyle w:val="6"/>
        <w:numPr>
          <w:ilvl w:val="0"/>
          <w:numId w:val="0"/>
        </w:numPr>
        <w:spacing w:line="560" w:lineRule="exact"/>
        <w:ind w:left="0" w:leftChars="0" w:firstLine="640" w:firstLineChars="200"/>
        <w:outlineLvl w:val="9"/>
        <w:rPr>
          <w:rFonts w:hint="eastAsia" w:ascii="Times New Roman" w:hAnsi="Times New Roman" w:eastAsia="仿宋_GB2312" w:cs="Times New Roman"/>
          <w:sz w:val="32"/>
          <w:highlight w:val="none"/>
          <w:lang w:val="en-US" w:eastAsia="zh-CN"/>
        </w:rPr>
      </w:pPr>
      <w:r>
        <w:rPr>
          <w:rFonts w:hint="eastAsia" w:ascii="Times New Roman" w:hAnsi="Times New Roman" w:eastAsia="仿宋_GB2312" w:cs="Times New Roman"/>
          <w:b w:val="0"/>
          <w:smallCaps w:val="0"/>
          <w:kern w:val="2"/>
          <w:sz w:val="32"/>
          <w:szCs w:val="24"/>
          <w:highlight w:val="none"/>
          <w:lang w:val="en-US" w:eastAsia="zh-CN" w:bidi="ar-SA"/>
        </w:rPr>
        <w:t>全面巩固第二批全国农村集体产权制度改革试点成果，加强农村集体“三资”管理，积极化解村级债务。鼓励各行政村建立经济合作组织，试点推进村镇融合发展，试点多村联合、村企联合发展。积极总结农村资源变资产、资金变股金、农民变股东的“三变”改革经验，盘活农村沉睡资源。引导农民通过土地流转入股、个人资金入股、集体或个人资产折价入股，将可经营性资产让渡给企业、合作社、家庭农场、农户或其他经营组织。推动存量折股、增量配股</w:t>
      </w:r>
      <w:r>
        <w:rPr>
          <w:rFonts w:hint="eastAsia" w:ascii="Times New Roman" w:hAnsi="Times New Roman" w:cs="Times New Roman"/>
          <w:b w:val="0"/>
          <w:smallCaps w:val="0"/>
          <w:kern w:val="2"/>
          <w:sz w:val="32"/>
          <w:szCs w:val="24"/>
          <w:highlight w:val="none"/>
          <w:lang w:val="en-US" w:eastAsia="zh-CN" w:bidi="ar-SA"/>
        </w:rPr>
        <w:t>和</w:t>
      </w:r>
      <w:r>
        <w:rPr>
          <w:rFonts w:hint="eastAsia" w:ascii="Times New Roman" w:hAnsi="Times New Roman" w:eastAsia="仿宋_GB2312" w:cs="Times New Roman"/>
          <w:b w:val="0"/>
          <w:smallCaps w:val="0"/>
          <w:kern w:val="2"/>
          <w:sz w:val="32"/>
          <w:szCs w:val="24"/>
          <w:highlight w:val="none"/>
          <w:lang w:val="en-US" w:eastAsia="zh-CN" w:bidi="ar-SA"/>
        </w:rPr>
        <w:t>土地入股等多种形式，推动农村资产股份化、土地股权化。实现农村资源资产资金有效整合，发挥最佳集聚效应。</w:t>
      </w:r>
    </w:p>
    <w:p>
      <w:pPr>
        <w:pStyle w:val="6"/>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rPr>
          <w:rFonts w:hint="eastAsia" w:ascii="楷体" w:hAnsi="楷体" w:eastAsia="楷体" w:cs="楷体"/>
          <w:sz w:val="32"/>
          <w:highlight w:val="none"/>
          <w:lang w:val="en-US" w:eastAsia="zh-CN"/>
        </w:rPr>
      </w:pPr>
      <w:r>
        <w:rPr>
          <w:rFonts w:hint="eastAsia" w:ascii="楷体" w:hAnsi="楷体" w:eastAsia="楷体" w:cs="楷体"/>
          <w:sz w:val="32"/>
          <w:highlight w:val="none"/>
          <w:lang w:val="en-US" w:eastAsia="zh-CN"/>
        </w:rPr>
        <w:t>三、健全农村资产交易管理信息平台</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楷体" w:hAnsi="楷体" w:eastAsia="楷体" w:cs="楷体"/>
          <w:b/>
          <w:bCs/>
          <w:smallCaps w:val="0"/>
          <w:sz w:val="32"/>
          <w:szCs w:val="32"/>
          <w:highlight w:val="none"/>
          <w:lang w:val="en-US" w:eastAsia="zh-CN"/>
        </w:rPr>
      </w:pPr>
      <w:r>
        <w:rPr>
          <w:rFonts w:hint="eastAsia" w:ascii="Times New Roman" w:hAnsi="Times New Roman" w:eastAsia="仿宋_GB2312" w:cs="Times New Roman"/>
          <w:b w:val="0"/>
          <w:smallCaps w:val="0"/>
          <w:kern w:val="2"/>
          <w:sz w:val="32"/>
          <w:szCs w:val="24"/>
          <w:highlight w:val="none"/>
          <w:lang w:val="en-US" w:eastAsia="zh-CN" w:bidi="ar-SA"/>
        </w:rPr>
        <w:t>加强农村产权流转交易和管理信息网络平台建设。加快完善潜江市农村资产交易平台，建立健全适用于</w:t>
      </w:r>
      <w:r>
        <w:rPr>
          <w:rFonts w:hint="eastAsia" w:ascii="Times New Roman" w:hAnsi="Times New Roman" w:cs="Times New Roman"/>
          <w:b w:val="0"/>
          <w:smallCaps w:val="0"/>
          <w:kern w:val="2"/>
          <w:sz w:val="32"/>
          <w:szCs w:val="24"/>
          <w:highlight w:val="none"/>
          <w:lang w:val="en-US" w:eastAsia="zh-CN" w:bidi="ar-SA"/>
        </w:rPr>
        <w:t>全市</w:t>
      </w:r>
      <w:r>
        <w:rPr>
          <w:rFonts w:hint="eastAsia" w:ascii="Times New Roman" w:hAnsi="Times New Roman" w:eastAsia="仿宋_GB2312" w:cs="Times New Roman"/>
          <w:b w:val="0"/>
          <w:smallCaps w:val="0"/>
          <w:kern w:val="2"/>
          <w:sz w:val="32"/>
          <w:szCs w:val="24"/>
          <w:highlight w:val="none"/>
          <w:lang w:val="en-US" w:eastAsia="zh-CN" w:bidi="ar-SA"/>
        </w:rPr>
        <w:t>的管理办法和交易规则，规范化、制度化土地流转等产权交易程序。建立市级农村资产交易的服务机构，主要负责</w:t>
      </w:r>
      <w:r>
        <w:rPr>
          <w:rFonts w:hint="eastAsia" w:ascii="Times New Roman" w:hAnsi="Times New Roman" w:cs="Times New Roman"/>
          <w:b w:val="0"/>
          <w:smallCaps w:val="0"/>
          <w:kern w:val="2"/>
          <w:sz w:val="32"/>
          <w:szCs w:val="24"/>
          <w:highlight w:val="none"/>
          <w:lang w:val="en-US" w:eastAsia="zh-CN" w:bidi="ar-SA"/>
        </w:rPr>
        <w:t>全</w:t>
      </w:r>
      <w:r>
        <w:rPr>
          <w:rFonts w:hint="eastAsia" w:ascii="Times New Roman" w:hAnsi="Times New Roman" w:eastAsia="仿宋_GB2312" w:cs="Times New Roman"/>
          <w:b w:val="0"/>
          <w:smallCaps w:val="0"/>
          <w:kern w:val="2"/>
          <w:sz w:val="32"/>
          <w:szCs w:val="24"/>
          <w:highlight w:val="none"/>
          <w:lang w:val="en-US" w:eastAsia="zh-CN" w:bidi="ar-SA"/>
        </w:rPr>
        <w:t>市农村集体产权的交易、监察、管理、有偿退出、转让及服务体系建设工作。依托市公共资源交易中心，构建市级农村资产交易平台，为全市农村集体资产交易提供场所设施、信息发布、组织交易等服务。支持镇（</w:t>
      </w:r>
      <w:r>
        <w:rPr>
          <w:rFonts w:hint="eastAsia" w:ascii="Times New Roman" w:hAnsi="Times New Roman" w:cs="Times New Roman"/>
          <w:b w:val="0"/>
          <w:smallCaps w:val="0"/>
          <w:kern w:val="2"/>
          <w:sz w:val="32"/>
          <w:szCs w:val="24"/>
          <w:highlight w:val="none"/>
          <w:lang w:val="en-US" w:eastAsia="zh-CN" w:bidi="ar-SA"/>
        </w:rPr>
        <w:t>街道</w:t>
      </w:r>
      <w:r>
        <w:rPr>
          <w:rFonts w:hint="eastAsia" w:ascii="Times New Roman" w:hAnsi="Times New Roman" w:eastAsia="仿宋_GB2312" w:cs="Times New Roman"/>
          <w:b w:val="0"/>
          <w:smallCaps w:val="0"/>
          <w:kern w:val="2"/>
          <w:sz w:val="32"/>
          <w:szCs w:val="24"/>
          <w:highlight w:val="none"/>
          <w:lang w:val="en-US" w:eastAsia="zh-CN" w:bidi="ar-SA"/>
        </w:rPr>
        <w:t>）设立资产交易点，具体负责本地集体资产交易指导、审核、上报和监督工作。引导村成立集体资产交易审核工作小组，负责本集体经济组织资产交易的立项申请、方案拟定、民主决策</w:t>
      </w:r>
      <w:r>
        <w:rPr>
          <w:rFonts w:hint="eastAsia" w:ascii="Times New Roman" w:hAnsi="Times New Roman" w:cs="Times New Roman"/>
          <w:b w:val="0"/>
          <w:smallCaps w:val="0"/>
          <w:kern w:val="2"/>
          <w:sz w:val="32"/>
          <w:szCs w:val="24"/>
          <w:highlight w:val="none"/>
          <w:lang w:val="en-US" w:eastAsia="zh-CN" w:bidi="ar-SA"/>
        </w:rPr>
        <w:t>、</w:t>
      </w:r>
      <w:r>
        <w:rPr>
          <w:rFonts w:hint="eastAsia" w:ascii="Times New Roman" w:hAnsi="Times New Roman" w:eastAsia="仿宋_GB2312" w:cs="Times New Roman"/>
          <w:b w:val="0"/>
          <w:smallCaps w:val="0"/>
          <w:kern w:val="2"/>
          <w:sz w:val="32"/>
          <w:szCs w:val="24"/>
          <w:highlight w:val="none"/>
          <w:lang w:val="en-US" w:eastAsia="zh-CN" w:bidi="ar-SA"/>
        </w:rPr>
        <w:t>村审核和管理等工作，构建市、镇（</w:t>
      </w:r>
      <w:r>
        <w:rPr>
          <w:rFonts w:hint="eastAsia" w:ascii="Times New Roman" w:hAnsi="Times New Roman" w:cs="Times New Roman"/>
          <w:b w:val="0"/>
          <w:smallCaps w:val="0"/>
          <w:kern w:val="2"/>
          <w:sz w:val="32"/>
          <w:szCs w:val="24"/>
          <w:highlight w:val="none"/>
          <w:lang w:val="en-US" w:eastAsia="zh-CN" w:bidi="ar-SA"/>
        </w:rPr>
        <w:t>街道</w:t>
      </w:r>
      <w:r>
        <w:rPr>
          <w:rFonts w:hint="eastAsia" w:ascii="Times New Roman" w:hAnsi="Times New Roman" w:eastAsia="仿宋_GB2312" w:cs="Times New Roman"/>
          <w:b w:val="0"/>
          <w:smallCaps w:val="0"/>
          <w:kern w:val="2"/>
          <w:sz w:val="32"/>
          <w:szCs w:val="24"/>
          <w:highlight w:val="none"/>
          <w:lang w:val="en-US" w:eastAsia="zh-CN" w:bidi="ar-SA"/>
        </w:rPr>
        <w:t>）、村三级联动的农村资产交易服务平台。</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jc w:val="center"/>
        <w:textAlignment w:val="auto"/>
        <w:outlineLvl w:val="1"/>
        <w:rPr>
          <w:rFonts w:hint="eastAsia" w:ascii="Times New Roman" w:hAnsi="Times New Roman" w:eastAsia="仿宋_GB2312" w:cs="Times New Roman"/>
          <w:sz w:val="32"/>
          <w:highlight w:val="none"/>
          <w:lang w:val="en-US" w:eastAsia="zh-CN"/>
        </w:rPr>
      </w:pPr>
      <w:bookmarkStart w:id="214" w:name="_Toc5599"/>
      <w:bookmarkStart w:id="215" w:name="_Toc8455"/>
      <w:r>
        <w:rPr>
          <w:rFonts w:hint="eastAsia" w:ascii="楷体" w:hAnsi="楷体" w:eastAsia="楷体" w:cs="楷体"/>
          <w:b/>
          <w:bCs/>
          <w:smallCaps w:val="0"/>
          <w:sz w:val="32"/>
          <w:szCs w:val="32"/>
          <w:highlight w:val="none"/>
          <w:lang w:val="en-US" w:eastAsia="zh-CN"/>
        </w:rPr>
        <w:t>第三节 统筹推进农业综合改革</w:t>
      </w:r>
      <w:bookmarkEnd w:id="214"/>
      <w:bookmarkEnd w:id="215"/>
    </w:p>
    <w:p>
      <w:pPr>
        <w:pStyle w:val="6"/>
        <w:numPr>
          <w:ilvl w:val="0"/>
          <w:numId w:val="0"/>
        </w:numPr>
        <w:spacing w:line="240" w:lineRule="auto"/>
        <w:ind w:firstLine="643" w:firstLineChars="200"/>
        <w:jc w:val="left"/>
        <w:rPr>
          <w:rFonts w:hint="eastAsia" w:ascii="楷体" w:hAnsi="楷体" w:eastAsia="楷体" w:cs="楷体"/>
          <w:sz w:val="32"/>
          <w:highlight w:val="none"/>
          <w:lang w:val="en-US" w:eastAsia="zh-CN"/>
        </w:rPr>
      </w:pPr>
      <w:r>
        <w:rPr>
          <w:rFonts w:hint="eastAsia" w:ascii="楷体" w:hAnsi="楷体" w:eastAsia="楷体" w:cs="楷体"/>
          <w:sz w:val="32"/>
          <w:highlight w:val="none"/>
          <w:lang w:val="en-US" w:eastAsia="zh-CN"/>
        </w:rPr>
        <w:t>一、持续深化农垦改革</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jc w:val="both"/>
        <w:textAlignment w:val="auto"/>
        <w:rPr>
          <w:rFonts w:hint="eastAsia" w:ascii="Times New Roman" w:hAnsi="Times New Roman" w:eastAsia="仿宋_GB2312" w:cs="Times New Roman"/>
          <w:sz w:val="32"/>
          <w:highlight w:val="none"/>
          <w:lang w:val="en-US" w:eastAsia="zh-CN"/>
        </w:rPr>
      </w:pPr>
      <w:r>
        <w:rPr>
          <w:rFonts w:hint="eastAsia" w:ascii="Times New Roman" w:hAnsi="Times New Roman" w:eastAsia="仿宋_GB2312" w:cs="Times New Roman"/>
          <w:b w:val="0"/>
          <w:smallCaps w:val="0"/>
          <w:kern w:val="2"/>
          <w:sz w:val="32"/>
          <w:szCs w:val="24"/>
          <w:highlight w:val="none"/>
          <w:lang w:val="en-US" w:eastAsia="zh-CN" w:bidi="ar-SA"/>
        </w:rPr>
        <w:t>深入推进农垦改革，</w:t>
      </w:r>
      <w:r>
        <w:rPr>
          <w:rFonts w:hint="default" w:ascii="Times New Roman" w:hAnsi="Times New Roman" w:eastAsia="仿宋_GB2312" w:cs="Times New Roman"/>
          <w:b w:val="0"/>
          <w:smallCaps w:val="0"/>
          <w:kern w:val="2"/>
          <w:sz w:val="32"/>
          <w:szCs w:val="24"/>
          <w:highlight w:val="none"/>
          <w:lang w:val="en-US" w:eastAsia="zh-CN" w:bidi="ar-SA"/>
        </w:rPr>
        <w:t>以垦区区域集团化、农场企业化改革为主线，力争到2023年底基本完成农场企业化改革和公司化改造。推进政企分开、社企分开，建立健全适应市场化、现代化、企业化的管理体制和经营机制，形成</w:t>
      </w:r>
      <w:r>
        <w:rPr>
          <w:rFonts w:hint="eastAsia" w:ascii="Times New Roman" w:hAnsi="Times New Roman" w:eastAsia="仿宋_GB2312" w:cs="Times New Roman"/>
          <w:b w:val="0"/>
          <w:smallCaps w:val="0"/>
          <w:kern w:val="2"/>
          <w:sz w:val="32"/>
          <w:szCs w:val="24"/>
          <w:highlight w:val="none"/>
          <w:lang w:val="en-US" w:eastAsia="zh-CN" w:bidi="ar-SA"/>
        </w:rPr>
        <w:t>“</w:t>
      </w:r>
      <w:r>
        <w:rPr>
          <w:rFonts w:hint="default" w:ascii="Times New Roman" w:hAnsi="Times New Roman" w:eastAsia="仿宋_GB2312" w:cs="Times New Roman"/>
          <w:b w:val="0"/>
          <w:smallCaps w:val="0"/>
          <w:kern w:val="2"/>
          <w:sz w:val="32"/>
          <w:szCs w:val="24"/>
          <w:highlight w:val="none"/>
          <w:lang w:val="en-US" w:eastAsia="zh-CN" w:bidi="ar-SA"/>
        </w:rPr>
        <w:t>农垦集团＋产业公司＋农场公司（基地）</w:t>
      </w:r>
      <w:r>
        <w:rPr>
          <w:rFonts w:hint="eastAsia" w:ascii="Times New Roman" w:hAnsi="Times New Roman" w:eastAsia="仿宋_GB2312" w:cs="Times New Roman"/>
          <w:b w:val="0"/>
          <w:smallCaps w:val="0"/>
          <w:kern w:val="2"/>
          <w:sz w:val="32"/>
          <w:szCs w:val="24"/>
          <w:highlight w:val="none"/>
          <w:lang w:val="en-US" w:eastAsia="zh-CN" w:bidi="ar-SA"/>
        </w:rPr>
        <w:t>”</w:t>
      </w:r>
      <w:r>
        <w:rPr>
          <w:rFonts w:hint="default" w:ascii="Times New Roman" w:hAnsi="Times New Roman" w:eastAsia="仿宋_GB2312" w:cs="Times New Roman"/>
          <w:b w:val="0"/>
          <w:smallCaps w:val="0"/>
          <w:kern w:val="2"/>
          <w:sz w:val="32"/>
          <w:szCs w:val="24"/>
          <w:highlight w:val="none"/>
          <w:lang w:val="en-US" w:eastAsia="zh-CN" w:bidi="ar-SA"/>
        </w:rPr>
        <w:t>的组织架构和母子公司体制。通过国有农场企业化改革和公司化改造，建设一批龙头企业，打造具有较强竞争力和先进管理水平的新型国有现代农业企业。</w:t>
      </w:r>
    </w:p>
    <w:p>
      <w:pPr>
        <w:pStyle w:val="6"/>
        <w:numPr>
          <w:ilvl w:val="0"/>
          <w:numId w:val="0"/>
        </w:numPr>
        <w:spacing w:line="240" w:lineRule="auto"/>
        <w:ind w:firstLine="643" w:firstLineChars="200"/>
        <w:jc w:val="left"/>
        <w:rPr>
          <w:rFonts w:hint="eastAsia" w:ascii="楷体" w:hAnsi="楷体" w:eastAsia="楷体" w:cs="楷体"/>
          <w:sz w:val="32"/>
          <w:highlight w:val="none"/>
          <w:lang w:val="en-US" w:eastAsia="zh-CN"/>
        </w:rPr>
      </w:pPr>
      <w:r>
        <w:rPr>
          <w:rFonts w:hint="eastAsia" w:ascii="楷体" w:hAnsi="楷体" w:eastAsia="楷体" w:cs="楷体"/>
          <w:sz w:val="32"/>
          <w:highlight w:val="none"/>
          <w:lang w:val="en-US" w:eastAsia="zh-CN"/>
        </w:rPr>
        <w:t>二、统筹推进农业综合改革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b w:val="0"/>
          <w:smallCaps w:val="0"/>
          <w:kern w:val="2"/>
          <w:sz w:val="32"/>
          <w:szCs w:val="24"/>
          <w:highlight w:val="yellow"/>
          <w:lang w:val="en-US" w:eastAsia="zh-CN" w:bidi="ar-SA"/>
        </w:rPr>
      </w:pPr>
      <w:r>
        <w:rPr>
          <w:rFonts w:hint="eastAsia" w:ascii="Times New Roman" w:hAnsi="Times New Roman" w:eastAsia="仿宋_GB2312" w:cs="Times New Roman"/>
          <w:b w:val="0"/>
          <w:smallCaps w:val="0"/>
          <w:kern w:val="2"/>
          <w:sz w:val="32"/>
          <w:szCs w:val="24"/>
          <w:highlight w:val="none"/>
          <w:lang w:val="en-US" w:eastAsia="zh-CN" w:bidi="ar-SA"/>
        </w:rPr>
        <w:t>深化小型农田水利工程产权制度改革，创新运行管护机制。全面推进农业水价综合改革，完善用水权初始分配制度，培育水权交易市场，促进农业节水和可持续发展。推进水利投融资改革，扩大开发性金融支持水利工程建设的规模和范围。深化国有粮食收储企业改革，支持国有粮食企业与市域内粮食加工龙头企业探索发展混合所有制经济。加强供销社综合改革，推进生产、供销、信用“三位一体”合作，组建农民合作经济组织联合会，成立合作事业服务中心。推进农村公路管理养护体制改革，开展农村公路三年消危行动，加快破损道路修复、农村危桥改造。加快推进农业综合行政执法制度改革，整合资源，建立完善政府主导、部门协同、</w:t>
      </w:r>
      <w:r>
        <w:rPr>
          <w:rFonts w:hint="eastAsia" w:cs="Times New Roman"/>
          <w:b w:val="0"/>
          <w:smallCaps w:val="0"/>
          <w:kern w:val="2"/>
          <w:sz w:val="32"/>
          <w:szCs w:val="24"/>
          <w:highlight w:val="none"/>
          <w:lang w:val="en-US" w:eastAsia="zh-CN" w:bidi="ar-SA"/>
        </w:rPr>
        <w:t>镇与街道</w:t>
      </w:r>
      <w:r>
        <w:rPr>
          <w:rFonts w:hint="eastAsia" w:ascii="Times New Roman" w:hAnsi="Times New Roman" w:eastAsia="仿宋_GB2312" w:cs="Times New Roman"/>
          <w:b w:val="0"/>
          <w:smallCaps w:val="0"/>
          <w:kern w:val="2"/>
          <w:sz w:val="32"/>
          <w:szCs w:val="24"/>
          <w:highlight w:val="none"/>
          <w:lang w:val="en-US" w:eastAsia="zh-CN" w:bidi="ar-SA"/>
        </w:rPr>
        <w:t>参与的农业综合行政执法运行机制。深化涉农金融改革，健全潜江农村金融服务体系，逐步建立农村信贷和农业保险相结合的银保互动机制，加大金融保险支农力度。深化农业领域“放管服”改革，优化农村营商环境。加快落实农村殡葬改革，开展农村公益性公墓建设试点。</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560" w:lineRule="exact"/>
        <w:ind w:leftChars="0"/>
        <w:jc w:val="center"/>
        <w:textAlignment w:val="auto"/>
        <w:outlineLvl w:val="1"/>
        <w:rPr>
          <w:rFonts w:hint="eastAsia" w:ascii="楷体" w:hAnsi="楷体" w:eastAsia="楷体" w:cs="楷体"/>
          <w:b/>
          <w:bCs/>
          <w:smallCaps w:val="0"/>
          <w:sz w:val="32"/>
          <w:szCs w:val="32"/>
          <w:highlight w:val="none"/>
          <w:lang w:val="en-US" w:eastAsia="zh-CN"/>
        </w:rPr>
      </w:pPr>
      <w:bookmarkStart w:id="216" w:name="_Toc2024"/>
      <w:bookmarkStart w:id="217" w:name="_Toc29928"/>
      <w:r>
        <w:rPr>
          <w:rFonts w:hint="eastAsia" w:ascii="楷体" w:hAnsi="楷体" w:eastAsia="楷体" w:cs="楷体"/>
          <w:b/>
          <w:bCs/>
          <w:smallCaps w:val="0"/>
          <w:sz w:val="32"/>
          <w:szCs w:val="32"/>
          <w:highlight w:val="none"/>
          <w:lang w:val="en-US" w:eastAsia="zh-CN"/>
        </w:rPr>
        <w:t>第四节 大力发展农村集体经济</w:t>
      </w:r>
      <w:bookmarkEnd w:id="216"/>
      <w:bookmarkEnd w:id="217"/>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highlight w:val="none"/>
          <w:lang w:val="en-US" w:eastAsia="zh-CN"/>
        </w:rPr>
      </w:pPr>
      <w:r>
        <w:rPr>
          <w:rFonts w:hint="eastAsia" w:ascii="Times New Roman" w:hAnsi="Times New Roman" w:cs="Times New Roman"/>
          <w:highlight w:val="none"/>
          <w:lang w:val="en-US" w:eastAsia="zh-CN"/>
        </w:rPr>
        <w:t>统筹落实好《湖北省扶持新型村级集体经济发展工作》等相关政策，围绕全国乡村振兴示范区</w:t>
      </w:r>
      <w:r>
        <w:rPr>
          <w:rFonts w:hint="eastAsia" w:cs="Times New Roman"/>
          <w:highlight w:val="none"/>
          <w:lang w:val="en-US" w:eastAsia="zh-CN"/>
        </w:rPr>
        <w:t>建设目标</w:t>
      </w:r>
      <w:r>
        <w:rPr>
          <w:rFonts w:hint="eastAsia" w:ascii="Times New Roman" w:hAnsi="Times New Roman" w:cs="Times New Roman"/>
          <w:highlight w:val="none"/>
          <w:lang w:val="en-US" w:eastAsia="zh-CN"/>
        </w:rPr>
        <w:t>，每年扶持一批行政村发展农村集体经济。加强对集体经济组织带头人的培训，全力推进</w:t>
      </w:r>
      <w:r>
        <w:rPr>
          <w:rFonts w:hint="eastAsia" w:cs="Times New Roman"/>
          <w:highlight w:val="none"/>
          <w:lang w:val="en-US" w:eastAsia="zh-CN"/>
        </w:rPr>
        <w:t>农业</w:t>
      </w:r>
      <w:r>
        <w:rPr>
          <w:rFonts w:hint="eastAsia" w:ascii="Times New Roman" w:hAnsi="Times New Roman" w:cs="Times New Roman"/>
          <w:highlight w:val="none"/>
          <w:lang w:val="en-US" w:eastAsia="zh-CN"/>
        </w:rPr>
        <w:t>农村改革，因地制宜、因村施策，发展土地流转型、综合服务型、混合经营型</w:t>
      </w:r>
      <w:r>
        <w:rPr>
          <w:rFonts w:hint="eastAsia" w:cs="Times New Roman"/>
          <w:highlight w:val="none"/>
          <w:lang w:val="en-US" w:eastAsia="zh-CN"/>
        </w:rPr>
        <w:t>和</w:t>
      </w:r>
      <w:r>
        <w:rPr>
          <w:rFonts w:hint="eastAsia" w:ascii="Times New Roman" w:hAnsi="Times New Roman" w:cs="Times New Roman"/>
          <w:highlight w:val="none"/>
          <w:lang w:val="en-US" w:eastAsia="zh-CN"/>
        </w:rPr>
        <w:t>资产管理型等不同发展模式的新型村级集体经济。全面推进乡村生产性服务业和生活性服务业发展。整合项目资金，通过竞争性立项方式支持有发展潜力、发展效益的村发展农村集体经济项目。</w:t>
      </w:r>
      <w:r>
        <w:rPr>
          <w:rFonts w:hint="eastAsia"/>
          <w:highlight w:val="none"/>
          <w:lang w:val="en-US" w:eastAsia="zh-CN"/>
        </w:rPr>
        <w:t>到2025年，全市80%的行政村村级集体经济年收入达到8万元，其中年经营收益过50万元的经济强村比重达到 12%。</w:t>
      </w:r>
    </w:p>
    <w:bookmarkEnd w:id="206"/>
    <w:bookmarkEnd w:id="207"/>
    <w:bookmarkEnd w:id="208"/>
    <w:bookmarkEnd w:id="209"/>
    <w:p>
      <w:pPr>
        <w:pStyle w:val="4"/>
        <w:ind w:left="0" w:leftChars="0" w:firstLine="0" w:firstLineChars="0"/>
        <w:jc w:val="both"/>
        <w:outlineLvl w:val="9"/>
        <w:rPr>
          <w:rFonts w:hint="eastAsia" w:cs="Times New Roman"/>
          <w:lang w:val="en-US" w:eastAsia="zh-CN"/>
        </w:rPr>
      </w:pPr>
      <w:bookmarkStart w:id="218" w:name="_Toc26122"/>
      <w:bookmarkStart w:id="219" w:name="_Toc13621"/>
    </w:p>
    <w:p>
      <w:pPr>
        <w:rPr>
          <w:rFonts w:hint="eastAsia"/>
          <w:lang w:val="en-US" w:eastAsia="zh-CN"/>
        </w:rPr>
      </w:pPr>
    </w:p>
    <w:p>
      <w:pPr>
        <w:rPr>
          <w:rFonts w:hint="eastAsia"/>
          <w:lang w:val="en-US" w:eastAsia="zh-CN"/>
        </w:rPr>
      </w:pPr>
    </w:p>
    <w:p>
      <w:pPr>
        <w:pStyle w:val="2"/>
        <w:rPr>
          <w:rFonts w:hint="eastAsia"/>
          <w:lang w:val="en-US" w:eastAsia="zh-CN"/>
        </w:rPr>
      </w:pPr>
    </w:p>
    <w:bookmarkEnd w:id="218"/>
    <w:bookmarkEnd w:id="219"/>
    <w:p>
      <w:pPr>
        <w:pStyle w:val="2"/>
        <w:rPr>
          <w:rFonts w:hint="eastAsia"/>
          <w:lang w:val="en-US" w:eastAsia="zh-CN"/>
        </w:rPr>
      </w:pPr>
      <w:bookmarkStart w:id="220" w:name="_Toc1657"/>
      <w:bookmarkStart w:id="221" w:name="_Toc25313"/>
      <w:bookmarkStart w:id="222" w:name="_Toc57289609"/>
    </w:p>
    <w:p>
      <w:pPr>
        <w:ind w:left="0" w:leftChars="0" w:firstLine="0" w:firstLineChars="0"/>
        <w:rPr>
          <w:rFonts w:hint="eastAsia"/>
          <w:lang w:val="en-US" w:eastAsia="zh-CN"/>
        </w:rPr>
      </w:pPr>
      <w:bookmarkStart w:id="223" w:name="_Toc12495"/>
    </w:p>
    <w:p>
      <w:pPr>
        <w:pStyle w:val="4"/>
        <w:pageBreakBefore w:val="0"/>
        <w:kinsoku/>
        <w:wordWrap/>
        <w:overflowPunct/>
        <w:topLinePunct w:val="0"/>
        <w:autoSpaceDE/>
        <w:autoSpaceDN/>
        <w:bidi w:val="0"/>
        <w:adjustRightInd/>
        <w:snapToGrid/>
        <w:spacing w:line="620" w:lineRule="exact"/>
        <w:ind w:left="0" w:leftChars="0" w:firstLine="0" w:firstLineChars="0"/>
        <w:jc w:val="center"/>
        <w:textAlignment w:val="auto"/>
        <w:rPr>
          <w:rFonts w:hint="default" w:ascii="Times New Roman" w:hAnsi="Times New Roman" w:cs="Times New Roman"/>
          <w:lang w:val="en-US"/>
        </w:rPr>
      </w:pPr>
      <w:bookmarkStart w:id="224" w:name="_Toc21850"/>
      <w:r>
        <w:rPr>
          <w:rFonts w:hint="eastAsia" w:cs="Times New Roman"/>
          <w:lang w:val="en-US" w:eastAsia="zh-CN"/>
        </w:rPr>
        <w:t>第九章 强化规划执行保障，</w:t>
      </w:r>
      <w:bookmarkEnd w:id="220"/>
      <w:r>
        <w:rPr>
          <w:rFonts w:hint="eastAsia" w:cs="Times New Roman"/>
          <w:lang w:val="en-US" w:eastAsia="zh-CN"/>
        </w:rPr>
        <w:t>加快推进农业农村现代化</w:t>
      </w:r>
      <w:bookmarkEnd w:id="223"/>
      <w:bookmarkEnd w:id="224"/>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620" w:lineRule="exact"/>
        <w:ind w:firstLine="640" w:firstLineChars="200"/>
        <w:jc w:val="both"/>
        <w:textAlignment w:val="auto"/>
        <w:outlineLvl w:val="9"/>
        <w:rPr>
          <w:rFonts w:hint="eastAsia" w:ascii="Times New Roman" w:hAnsi="Times New Roman" w:eastAsia="仿宋_GB2312" w:cs="Times New Roman"/>
          <w:b w:val="0"/>
          <w:smallCaps w:val="0"/>
          <w:kern w:val="2"/>
          <w:sz w:val="32"/>
          <w:szCs w:val="24"/>
          <w:lang w:val="en-US" w:eastAsia="zh-CN" w:bidi="ar-SA"/>
        </w:rPr>
      </w:pPr>
      <w:r>
        <w:rPr>
          <w:rFonts w:hint="eastAsia" w:ascii="Times New Roman" w:hAnsi="Times New Roman" w:eastAsia="仿宋_GB2312" w:cs="Times New Roman"/>
          <w:b w:val="0"/>
          <w:smallCaps w:val="0"/>
          <w:kern w:val="2"/>
          <w:sz w:val="32"/>
          <w:szCs w:val="24"/>
          <w:lang w:val="en-US" w:eastAsia="zh-CN" w:bidi="ar-SA"/>
        </w:rPr>
        <w:t>加强对规划实施的组织、协调和督导，建立健全规划实施监测评估、政策保障、考核监督机制。落实规划实施责任，加强规划实施监测评估，强化</w:t>
      </w:r>
      <w:r>
        <w:rPr>
          <w:rFonts w:hint="eastAsia" w:ascii="Times New Roman" w:hAnsi="Times New Roman" w:cs="Times New Roman"/>
          <w:b w:val="0"/>
          <w:smallCaps w:val="0"/>
          <w:kern w:val="2"/>
          <w:sz w:val="32"/>
          <w:szCs w:val="24"/>
          <w:lang w:val="en-US" w:eastAsia="zh-CN" w:bidi="ar-SA"/>
        </w:rPr>
        <w:t>资金与</w:t>
      </w:r>
      <w:r>
        <w:rPr>
          <w:rFonts w:hint="eastAsia" w:ascii="Times New Roman" w:hAnsi="Times New Roman" w:eastAsia="仿宋_GB2312" w:cs="Times New Roman"/>
          <w:b w:val="0"/>
          <w:smallCaps w:val="0"/>
          <w:kern w:val="2"/>
          <w:sz w:val="32"/>
          <w:szCs w:val="24"/>
          <w:lang w:val="en-US" w:eastAsia="zh-CN" w:bidi="ar-SA"/>
        </w:rPr>
        <w:t>政策协同保障</w:t>
      </w:r>
      <w:r>
        <w:rPr>
          <w:rFonts w:hint="eastAsia" w:ascii="Times New Roman" w:hAnsi="Times New Roman" w:cs="Times New Roman"/>
          <w:b w:val="0"/>
          <w:smallCaps w:val="0"/>
          <w:kern w:val="2"/>
          <w:sz w:val="32"/>
          <w:szCs w:val="24"/>
          <w:lang w:val="en-US" w:eastAsia="zh-CN" w:bidi="ar-SA"/>
        </w:rPr>
        <w:t>。</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620" w:lineRule="exact"/>
        <w:ind w:leftChars="0"/>
        <w:jc w:val="center"/>
        <w:textAlignment w:val="auto"/>
        <w:outlineLvl w:val="1"/>
        <w:rPr>
          <w:rFonts w:hint="eastAsia" w:ascii="楷体" w:hAnsi="楷体" w:eastAsia="楷体" w:cs="楷体"/>
          <w:b/>
          <w:bCs/>
          <w:smallCaps w:val="0"/>
          <w:sz w:val="32"/>
          <w:szCs w:val="32"/>
          <w:lang w:val="en-US" w:eastAsia="zh-CN"/>
        </w:rPr>
      </w:pPr>
      <w:bookmarkStart w:id="225" w:name="_Toc11306"/>
      <w:bookmarkStart w:id="226" w:name="_Toc18095"/>
      <w:bookmarkStart w:id="227" w:name="_Toc5361"/>
      <w:r>
        <w:rPr>
          <w:rFonts w:hint="eastAsia" w:ascii="楷体" w:hAnsi="楷体" w:eastAsia="楷体" w:cs="楷体"/>
          <w:b/>
          <w:bCs/>
          <w:smallCaps w:val="0"/>
          <w:sz w:val="32"/>
          <w:szCs w:val="32"/>
          <w:lang w:val="en-US" w:eastAsia="zh-CN"/>
        </w:rPr>
        <w:t>第一节 加强组织领导</w:t>
      </w:r>
      <w:bookmarkEnd w:id="221"/>
      <w:bookmarkEnd w:id="222"/>
      <w:bookmarkEnd w:id="225"/>
      <w:bookmarkEnd w:id="226"/>
      <w:bookmarkEnd w:id="227"/>
    </w:p>
    <w:p>
      <w:pPr>
        <w:pageBreakBefore w:val="0"/>
        <w:kinsoku/>
        <w:wordWrap/>
        <w:overflowPunct/>
        <w:topLinePunct w:val="0"/>
        <w:autoSpaceDE/>
        <w:autoSpaceDN/>
        <w:bidi w:val="0"/>
        <w:adjustRightInd/>
        <w:snapToGrid/>
        <w:spacing w:line="620" w:lineRule="exact"/>
        <w:textAlignment w:val="auto"/>
        <w:rPr>
          <w:rFonts w:hint="eastAsia" w:ascii="楷体" w:hAnsi="楷体" w:eastAsia="楷体" w:cs="楷体"/>
          <w:b/>
          <w:bCs/>
          <w:smallCaps w:val="0"/>
          <w:sz w:val="32"/>
          <w:szCs w:val="32"/>
          <w:lang w:val="en-US" w:eastAsia="zh-CN"/>
        </w:rPr>
      </w:pPr>
      <w:r>
        <w:rPr>
          <w:rFonts w:hint="eastAsia"/>
        </w:rPr>
        <w:t>建立市委书记</w:t>
      </w:r>
      <w:r>
        <w:rPr>
          <w:rFonts w:hint="eastAsia"/>
          <w:lang w:val="en-US" w:eastAsia="zh-CN"/>
        </w:rPr>
        <w:t>为</w:t>
      </w:r>
      <w:r>
        <w:rPr>
          <w:rFonts w:hint="eastAsia"/>
        </w:rPr>
        <w:t>乡村振兴的“一线总指挥”</w:t>
      </w:r>
      <w:r>
        <w:rPr>
          <w:rFonts w:hint="eastAsia"/>
          <w:lang w:eastAsia="zh-CN"/>
        </w:rPr>
        <w:t>、</w:t>
      </w:r>
      <w:r>
        <w:rPr>
          <w:rFonts w:hint="eastAsia"/>
        </w:rPr>
        <w:t>市级主导、镇级主责、村级主体的农村工作领导体制和工作机制</w:t>
      </w:r>
      <w:r>
        <w:rPr>
          <w:rFonts w:hint="eastAsia"/>
          <w:lang w:eastAsia="zh-CN"/>
        </w:rPr>
        <w:t>。</w:t>
      </w:r>
      <w:r>
        <w:rPr>
          <w:rFonts w:hint="eastAsia"/>
        </w:rPr>
        <w:t>加强市委农村工作领导小组和工作机构建设。加大对重点工作的组织、协调和推动，坚持重点工作、重点项目领导跟踪包项、责任到人的制度，跟踪和督促规划各项任务落实。对</w:t>
      </w:r>
      <w:r>
        <w:rPr>
          <w:rFonts w:hint="eastAsia"/>
          <w:lang w:val="en-US" w:eastAsia="zh-CN"/>
        </w:rPr>
        <w:t>区、镇、街道</w:t>
      </w:r>
      <w:r>
        <w:rPr>
          <w:rFonts w:hint="eastAsia"/>
        </w:rPr>
        <w:t>党政领导班子和领导干部开展乡村振兴实绩考核，纳入党政领导班子和干部综合考核评价内容。</w:t>
      </w:r>
      <w:bookmarkStart w:id="228" w:name="_Toc25973"/>
      <w:bookmarkStart w:id="229" w:name="_Toc26669"/>
      <w:bookmarkStart w:id="230" w:name="_Toc22586"/>
      <w:bookmarkStart w:id="231" w:name="_Toc57289610"/>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620" w:lineRule="exact"/>
        <w:ind w:leftChars="0"/>
        <w:jc w:val="center"/>
        <w:textAlignment w:val="auto"/>
        <w:outlineLvl w:val="1"/>
        <w:rPr>
          <w:rFonts w:hint="default" w:ascii="楷体" w:hAnsi="楷体" w:eastAsia="楷体" w:cs="楷体"/>
          <w:b/>
          <w:bCs/>
          <w:smallCaps w:val="0"/>
          <w:sz w:val="32"/>
          <w:szCs w:val="32"/>
          <w:lang w:val="en-US" w:eastAsia="zh-CN"/>
        </w:rPr>
      </w:pPr>
      <w:bookmarkStart w:id="232" w:name="_Toc5073"/>
      <w:r>
        <w:rPr>
          <w:rFonts w:hint="eastAsia" w:ascii="楷体" w:hAnsi="楷体" w:eastAsia="楷体" w:cs="楷体"/>
          <w:b/>
          <w:bCs/>
          <w:smallCaps w:val="0"/>
          <w:sz w:val="32"/>
          <w:szCs w:val="32"/>
          <w:lang w:val="en-US" w:eastAsia="zh-CN"/>
        </w:rPr>
        <w:t>第二节 加大</w:t>
      </w:r>
      <w:bookmarkEnd w:id="228"/>
      <w:bookmarkEnd w:id="229"/>
      <w:bookmarkEnd w:id="230"/>
      <w:r>
        <w:rPr>
          <w:rFonts w:hint="eastAsia" w:ascii="楷体" w:hAnsi="楷体" w:eastAsia="楷体" w:cs="楷体"/>
          <w:b/>
          <w:bCs/>
          <w:smallCaps w:val="0"/>
          <w:sz w:val="32"/>
          <w:szCs w:val="32"/>
          <w:lang w:val="en-US" w:eastAsia="zh-CN"/>
        </w:rPr>
        <w:t>保障力度</w:t>
      </w:r>
      <w:bookmarkEnd w:id="232"/>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20" w:lineRule="exact"/>
        <w:ind w:left="0" w:leftChars="0" w:right="0" w:firstLine="640" w:firstLineChars="200"/>
        <w:jc w:val="both"/>
        <w:textAlignment w:val="auto"/>
        <w:rPr>
          <w:rFonts w:hint="eastAsia" w:ascii="楷体" w:hAnsi="楷体" w:eastAsia="楷体" w:cs="楷体"/>
          <w:b/>
          <w:bCs/>
          <w:smallCaps w:val="0"/>
          <w:sz w:val="32"/>
          <w:szCs w:val="32"/>
          <w:lang w:val="en-US" w:eastAsia="zh-CN"/>
        </w:rPr>
      </w:pPr>
      <w:bookmarkStart w:id="233" w:name="_Toc6529"/>
      <w:bookmarkStart w:id="234" w:name="_Toc21604"/>
      <w:bookmarkStart w:id="235" w:name="_Toc18158"/>
      <w:bookmarkStart w:id="236" w:name="_Toc57289611"/>
      <w:r>
        <w:rPr>
          <w:rFonts w:hint="eastAsia" w:cs="Times New Roman"/>
          <w:kern w:val="2"/>
          <w:sz w:val="32"/>
          <w:szCs w:val="24"/>
          <w:lang w:val="en-US" w:eastAsia="zh-CN" w:bidi="ar-SA"/>
        </w:rPr>
        <w:t>千方百计扩大农业农村有效投资规模，加快形成财政优先保障、金融重点倾斜、社会积极参与的多元投入格局。按照总量持续增加、比例稳步提高的要求，不断增加“三农”投入。探索涉农资金统筹整合长效机制，集中财力实施乡村振兴。扩大地方政府债券用于农业农村规模，通过一般债券、专项债券等加大对农业农村基础设施重大项目的支持力度。提高土地出让收入用于农业农村比例。提高各级党委和政府运用法治思维和法治方式推进农业农村的工作能力，持续完善涉农地方性法规体系，推动法规落实，促进依法兴农。完善农业农村工作体系和工作机制，建设政治过硬、本领过硬、作风过硬的“三农”干部队伍，健全培养、使用、评价、激励机制，完善工作待遇和职业保障政策，激发扎根“三农”、干事创业的积极性。</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620" w:lineRule="exact"/>
        <w:ind w:leftChars="0"/>
        <w:jc w:val="center"/>
        <w:textAlignment w:val="auto"/>
        <w:outlineLvl w:val="1"/>
        <w:rPr>
          <w:rFonts w:hint="eastAsia" w:ascii="楷体" w:hAnsi="楷体" w:eastAsia="楷体" w:cs="楷体"/>
          <w:b/>
          <w:bCs/>
          <w:smallCaps w:val="0"/>
          <w:sz w:val="32"/>
          <w:szCs w:val="32"/>
          <w:lang w:val="en-US" w:eastAsia="zh-CN"/>
        </w:rPr>
      </w:pPr>
      <w:bookmarkStart w:id="237" w:name="_Toc32246"/>
      <w:r>
        <w:rPr>
          <w:rFonts w:hint="eastAsia" w:ascii="楷体" w:hAnsi="楷体" w:eastAsia="楷体" w:cs="楷体"/>
          <w:b/>
          <w:bCs/>
          <w:smallCaps w:val="0"/>
          <w:sz w:val="32"/>
          <w:szCs w:val="32"/>
          <w:lang w:val="en-US" w:eastAsia="zh-CN"/>
        </w:rPr>
        <w:t>第三节 抓好政策落实</w:t>
      </w:r>
      <w:bookmarkEnd w:id="233"/>
      <w:bookmarkEnd w:id="234"/>
      <w:bookmarkEnd w:id="235"/>
      <w:bookmarkEnd w:id="236"/>
      <w:bookmarkEnd w:id="237"/>
    </w:p>
    <w:p>
      <w:pPr>
        <w:pageBreakBefore w:val="0"/>
        <w:kinsoku/>
        <w:wordWrap/>
        <w:overflowPunct/>
        <w:topLinePunct w:val="0"/>
        <w:autoSpaceDE/>
        <w:autoSpaceDN/>
        <w:bidi w:val="0"/>
        <w:adjustRightInd/>
        <w:snapToGrid/>
        <w:spacing w:line="620" w:lineRule="exact"/>
        <w:textAlignment w:val="auto"/>
        <w:rPr>
          <w:rFonts w:hint="eastAsia"/>
        </w:rPr>
      </w:pPr>
      <w:r>
        <w:rPr>
          <w:rFonts w:hint="eastAsia"/>
        </w:rPr>
        <w:t>各</w:t>
      </w:r>
      <w:r>
        <w:rPr>
          <w:rFonts w:hint="eastAsia"/>
          <w:lang w:val="en-US" w:eastAsia="zh-CN"/>
        </w:rPr>
        <w:t>镇、街道</w:t>
      </w:r>
      <w:r>
        <w:rPr>
          <w:rFonts w:hint="eastAsia"/>
        </w:rPr>
        <w:t>党委和政府落实农业农村优先发展原则，在干部配备上优先考虑，在要素配置上优先满足，在资金投入上优先保障，在公共服务上优先安排。各部门做好协同配合，形成工作合力，确保“三农”政策落到实处，落实</w:t>
      </w:r>
      <w:r>
        <w:rPr>
          <w:rFonts w:hint="eastAsia"/>
          <w:lang w:val="en-US" w:eastAsia="zh-CN"/>
        </w:rPr>
        <w:t>各项</w:t>
      </w:r>
      <w:r>
        <w:rPr>
          <w:rFonts w:hint="eastAsia"/>
        </w:rPr>
        <w:t>补贴</w:t>
      </w:r>
      <w:r>
        <w:rPr>
          <w:rFonts w:hint="eastAsia"/>
          <w:lang w:val="en-US" w:eastAsia="zh-CN"/>
        </w:rPr>
        <w:t>政策</w:t>
      </w:r>
      <w:r>
        <w:rPr>
          <w:rFonts w:hint="eastAsia"/>
        </w:rPr>
        <w:t>，积极拓展农民转移性收入。充分发挥政策惠农增收效应，强化惠农政策监督落实，确保惠农政策全覆盖。加大对“三农”金融服务政策支持，综合运用奖补、税收优惠、结构性调控、贴息贷款等政策工具，落实金融机构涉农信贷增量奖励政策。创新管理服务，加强监督检查，把各类补贴政策、农业项目执行好、落实好，发挥政策激励、引领和示范带动作用。加大“一事一议”筹资筹劳监管，建立和完善农民负担监管和农民权益维护的长效机制。强化领导干部目标责任制，加强对农业政策落实情况的检查监督与整改，确保政策落实到位。</w:t>
      </w:r>
    </w:p>
    <w:p>
      <w:pPr>
        <w:pStyle w:val="21"/>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before="160" w:beforeLines="50" w:after="160" w:afterLines="50" w:line="620" w:lineRule="exact"/>
        <w:ind w:leftChars="0"/>
        <w:jc w:val="center"/>
        <w:textAlignment w:val="auto"/>
        <w:outlineLvl w:val="1"/>
        <w:rPr>
          <w:rFonts w:hint="eastAsia" w:ascii="楷体" w:hAnsi="楷体" w:eastAsia="楷体" w:cs="楷体"/>
          <w:b/>
          <w:bCs/>
          <w:smallCaps w:val="0"/>
          <w:sz w:val="32"/>
          <w:szCs w:val="32"/>
          <w:lang w:val="en-US" w:eastAsia="zh-CN"/>
        </w:rPr>
      </w:pPr>
      <w:bookmarkStart w:id="238" w:name="_Toc20369"/>
      <w:bookmarkStart w:id="239" w:name="_Toc57289614"/>
      <w:bookmarkStart w:id="240" w:name="_Toc16538"/>
      <w:bookmarkStart w:id="241" w:name="_Toc3111"/>
      <w:bookmarkStart w:id="242" w:name="_Toc27693"/>
      <w:r>
        <w:rPr>
          <w:rFonts w:hint="eastAsia" w:ascii="楷体" w:hAnsi="楷体" w:eastAsia="楷体" w:cs="楷体"/>
          <w:b/>
          <w:bCs/>
          <w:smallCaps w:val="0"/>
          <w:sz w:val="32"/>
          <w:szCs w:val="32"/>
          <w:lang w:val="en-US" w:eastAsia="zh-CN"/>
        </w:rPr>
        <w:t>第四节 实施评估监督</w:t>
      </w:r>
      <w:bookmarkEnd w:id="238"/>
      <w:bookmarkEnd w:id="239"/>
      <w:bookmarkEnd w:id="240"/>
      <w:bookmarkEnd w:id="241"/>
      <w:bookmarkEnd w:id="242"/>
    </w:p>
    <w:p>
      <w:pPr>
        <w:pageBreakBefore w:val="0"/>
        <w:kinsoku/>
        <w:wordWrap/>
        <w:overflowPunct/>
        <w:topLinePunct w:val="0"/>
        <w:autoSpaceDE/>
        <w:autoSpaceDN/>
        <w:bidi w:val="0"/>
        <w:adjustRightInd/>
        <w:snapToGrid/>
        <w:spacing w:line="620" w:lineRule="exact"/>
        <w:jc w:val="both"/>
        <w:textAlignment w:val="auto"/>
        <w:rPr>
          <w:rFonts w:hint="eastAsia"/>
        </w:rPr>
      </w:pPr>
      <w:r>
        <w:rPr>
          <w:rFonts w:hint="eastAsia"/>
        </w:rPr>
        <w:t>各镇</w:t>
      </w:r>
      <w:r>
        <w:rPr>
          <w:rFonts w:hint="eastAsia"/>
          <w:lang w:eastAsia="zh-CN"/>
        </w:rPr>
        <w:t>、</w:t>
      </w:r>
      <w:r>
        <w:rPr>
          <w:rFonts w:hint="eastAsia"/>
          <w:lang w:val="en-US" w:eastAsia="zh-CN"/>
        </w:rPr>
        <w:t>街道</w:t>
      </w:r>
      <w:r>
        <w:rPr>
          <w:rFonts w:hint="eastAsia"/>
        </w:rPr>
        <w:t>以本规划为统领，科学制定本地</w:t>
      </w:r>
      <w:r>
        <w:rPr>
          <w:rFonts w:hint="eastAsia"/>
          <w:lang w:val="en-US" w:eastAsia="zh-CN"/>
        </w:rPr>
        <w:t>农业农村</w:t>
      </w:r>
      <w:r>
        <w:rPr>
          <w:rFonts w:hint="eastAsia"/>
        </w:rPr>
        <w:t>“十四五”实施方案，明确各阶段的发展目标、重点任务和保障措施</w:t>
      </w:r>
      <w:r>
        <w:rPr>
          <w:rFonts w:hint="eastAsia"/>
          <w:lang w:eastAsia="zh-CN"/>
        </w:rPr>
        <w:t>。</w:t>
      </w:r>
      <w:r>
        <w:rPr>
          <w:rFonts w:hint="eastAsia"/>
        </w:rPr>
        <w:t>市委、市政府坚持以镇</w:t>
      </w:r>
      <w:r>
        <w:rPr>
          <w:rFonts w:hint="eastAsia"/>
          <w:lang w:eastAsia="zh-CN"/>
        </w:rPr>
        <w:t>、</w:t>
      </w:r>
      <w:r>
        <w:rPr>
          <w:rFonts w:hint="eastAsia"/>
          <w:lang w:val="en-US" w:eastAsia="zh-CN"/>
        </w:rPr>
        <w:t>街道</w:t>
      </w:r>
      <w:r>
        <w:rPr>
          <w:rFonts w:hint="eastAsia"/>
        </w:rPr>
        <w:t>为基本实施单元，把规划确定的重点任务、重大项目清单化，分解到年度、到镇</w:t>
      </w:r>
      <w:r>
        <w:rPr>
          <w:rFonts w:hint="eastAsia"/>
          <w:lang w:val="en-US" w:eastAsia="zh-CN"/>
        </w:rPr>
        <w:t>区</w:t>
      </w:r>
      <w:r>
        <w:rPr>
          <w:rFonts w:hint="eastAsia"/>
        </w:rPr>
        <w:t>和相关部门，科学设置考核内容和指标。将“十四五”规划落实情况的考核纳入</w:t>
      </w:r>
      <w:r>
        <w:rPr>
          <w:rFonts w:hint="eastAsia"/>
          <w:lang w:val="en-US" w:eastAsia="zh-CN"/>
        </w:rPr>
        <w:t>到镇、街道</w:t>
      </w:r>
      <w:r>
        <w:rPr>
          <w:rFonts w:hint="eastAsia"/>
        </w:rPr>
        <w:t>党政领导班子和领导干部年度履职尽责考核范围，</w:t>
      </w:r>
      <w:r>
        <w:rPr>
          <w:rFonts w:hint="eastAsia"/>
          <w:lang w:eastAsia="zh-CN"/>
        </w:rPr>
        <w:t>将</w:t>
      </w:r>
      <w:r>
        <w:rPr>
          <w:rFonts w:hint="eastAsia"/>
        </w:rPr>
        <w:t>考评结果作为领导干部提拔使用的重要依据。建立规划实施督促检查和第三方评价机制，建立健全科学规范的行政问责制度，完善规划评估调整制度，及时开展中期评估，强化考核结果运用，促进规划的精准落地。</w:t>
      </w:r>
      <w:bookmarkEnd w:id="231"/>
    </w:p>
    <w:p>
      <w:pPr>
        <w:pStyle w:val="2"/>
        <w:rPr>
          <w:rFonts w:hint="eastAsia"/>
        </w:rPr>
      </w:pPr>
    </w:p>
    <w:p>
      <w:pPr>
        <w:rPr>
          <w:rFonts w:hint="eastAsia"/>
        </w:rPr>
      </w:pPr>
    </w:p>
    <w:p>
      <w:pPr>
        <w:ind w:left="0" w:leftChars="0" w:firstLine="0" w:firstLineChars="0"/>
      </w:pPr>
    </w:p>
    <w:p>
      <w:pPr>
        <w:pStyle w:val="33"/>
      </w:pPr>
    </w:p>
    <w:p/>
    <w:p>
      <w:pPr>
        <w:pStyle w:val="33"/>
      </w:pPr>
    </w:p>
    <w:p/>
    <w:p>
      <w:pPr>
        <w:pStyle w:val="33"/>
      </w:pPr>
    </w:p>
    <w:p/>
    <w:p>
      <w:pPr>
        <w:pStyle w:val="33"/>
      </w:pPr>
    </w:p>
    <w:p/>
    <w:p>
      <w:pPr>
        <w:ind w:left="0" w:leftChars="0" w:firstLine="0" w:firstLineChars="0"/>
      </w:pPr>
    </w:p>
    <w:p>
      <w:pPr>
        <w:spacing w:line="480" w:lineRule="auto"/>
        <w:ind w:left="0" w:leftChars="0" w:firstLine="0" w:firstLineChars="0"/>
        <w:jc w:val="center"/>
        <w:outlineLvl w:val="9"/>
        <w:rPr>
          <w:color w:val="000000" w:themeColor="text1"/>
          <w:sz w:val="32"/>
          <w:szCs w:val="32"/>
          <w14:textFill>
            <w14:solidFill>
              <w14:schemeClr w14:val="tx1"/>
            </w14:solidFill>
          </w14:textFill>
        </w:rPr>
        <w:sectPr>
          <w:footerReference r:id="rId7" w:type="default"/>
          <w:footnotePr>
            <w:numFmt w:val="decimalEnclosedCircleChinese"/>
          </w:footnotePr>
          <w:pgSz w:w="11906" w:h="16838"/>
          <w:pgMar w:top="1440" w:right="1803" w:bottom="1440" w:left="1803" w:header="851" w:footer="992" w:gutter="0"/>
          <w:pgNumType w:fmt="decimal" w:start="6"/>
          <w:cols w:space="0" w:num="1"/>
          <w:docGrid w:type="lines" w:linePitch="436" w:charSpace="0"/>
        </w:sectPr>
      </w:pPr>
      <w:bookmarkStart w:id="243" w:name="_Toc27885"/>
      <w:bookmarkStart w:id="244" w:name="_Toc2684"/>
    </w:p>
    <w:p>
      <w:pPr>
        <w:keepNext w:val="0"/>
        <w:keepLines w:val="0"/>
        <w:pageBreakBefore w:val="0"/>
        <w:widowControl w:val="0"/>
        <w:kinsoku/>
        <w:wordWrap/>
        <w:overflowPunct/>
        <w:topLinePunct w:val="0"/>
        <w:autoSpaceDE/>
        <w:autoSpaceDN/>
        <w:bidi w:val="0"/>
        <w:adjustRightInd/>
        <w:snapToGrid/>
        <w:spacing w:after="220" w:afterLines="50" w:line="240" w:lineRule="auto"/>
        <w:ind w:left="0" w:leftChars="0" w:firstLine="0" w:firstLineChars="0"/>
        <w:jc w:val="center"/>
        <w:textAlignment w:val="auto"/>
        <w:outlineLvl w:val="0"/>
        <w:rPr>
          <w:sz w:val="32"/>
          <w:szCs w:val="32"/>
        </w:rPr>
      </w:pPr>
      <w:bookmarkStart w:id="245" w:name="_Toc14536"/>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HYPERLINK \l "_Toc10882" </w:instrText>
      </w:r>
      <w:r>
        <w:rPr>
          <w:color w:val="000000" w:themeColor="text1"/>
          <w:sz w:val="32"/>
          <w:szCs w:val="32"/>
          <w14:textFill>
            <w14:solidFill>
              <w14:schemeClr w14:val="tx1"/>
            </w14:solidFill>
          </w14:textFill>
        </w:rPr>
        <w:fldChar w:fldCharType="separate"/>
      </w:r>
      <w:r>
        <w:rPr>
          <w:rFonts w:hint="default" w:ascii="Times New Roman" w:hAnsi="Times New Roman" w:eastAsia="黑体" w:cs="Times New Roman"/>
          <w:color w:val="000000" w:themeColor="text1"/>
          <w:sz w:val="32"/>
          <w:szCs w:val="32"/>
          <w14:textFill>
            <w14:solidFill>
              <w14:schemeClr w14:val="tx1"/>
            </w14:solidFill>
          </w14:textFill>
        </w:rPr>
        <w:t>附件</w:t>
      </w:r>
      <w:r>
        <w:rPr>
          <w:rFonts w:hint="eastAsia" w:eastAsia="黑体" w:cs="Times New Roman"/>
          <w:color w:val="000000" w:themeColor="text1"/>
          <w:sz w:val="32"/>
          <w:szCs w:val="32"/>
          <w:lang w:val="en-US" w:eastAsia="zh-CN"/>
          <w14:textFill>
            <w14:solidFill>
              <w14:schemeClr w14:val="tx1"/>
            </w14:solidFill>
          </w14:textFill>
        </w:rPr>
        <w:t>1</w:t>
      </w:r>
      <w:r>
        <w:rPr>
          <w:rFonts w:hint="eastAsia" w:ascii="黑体" w:hAnsi="黑体" w:eastAsia="黑体" w:cs="黑体"/>
          <w:color w:val="000000" w:themeColor="text1"/>
          <w:sz w:val="32"/>
          <w:szCs w:val="32"/>
          <w14:textFill>
            <w14:solidFill>
              <w14:schemeClr w14:val="tx1"/>
            </w14:solidFill>
          </w14:textFill>
        </w:rPr>
        <w:t>：</w:t>
      </w:r>
      <w:r>
        <w:rPr>
          <w:rFonts w:hint="eastAsia" w:ascii="黑体" w:hAnsi="黑体" w:eastAsia="黑体" w:cs="黑体"/>
          <w:color w:val="000000" w:themeColor="text1"/>
          <w:sz w:val="32"/>
          <w:szCs w:val="32"/>
          <w14:textFill>
            <w14:solidFill>
              <w14:schemeClr w14:val="tx1"/>
            </w14:solidFill>
          </w14:textFill>
        </w:rPr>
        <w:fldChar w:fldCharType="end"/>
      </w:r>
      <w:r>
        <w:rPr>
          <w:rFonts w:hint="eastAsia" w:ascii="黑体" w:hAnsi="黑体" w:eastAsia="黑体" w:cs="黑体"/>
          <w:color w:val="000000" w:themeColor="text1"/>
          <w:sz w:val="32"/>
          <w:szCs w:val="32"/>
          <w14:textFill>
            <w14:solidFill>
              <w14:schemeClr w14:val="tx1"/>
            </w14:solidFill>
          </w14:textFill>
        </w:rPr>
        <w:t>潜江</w:t>
      </w:r>
      <w:r>
        <w:rPr>
          <w:rFonts w:hint="eastAsia" w:ascii="黑体" w:hAnsi="黑体" w:eastAsia="黑体" w:cs="黑体"/>
          <w:color w:val="000000" w:themeColor="text1"/>
          <w:sz w:val="32"/>
          <w:szCs w:val="32"/>
          <w:lang w:val="en-US" w:eastAsia="zh-CN"/>
          <w14:textFill>
            <w14:solidFill>
              <w14:schemeClr w14:val="tx1"/>
            </w14:solidFill>
          </w14:textFill>
        </w:rPr>
        <w:t>市</w:t>
      </w:r>
      <w:r>
        <w:rPr>
          <w:rFonts w:hint="eastAsia" w:ascii="黑体" w:hAnsi="黑体" w:eastAsia="黑体" w:cs="黑体"/>
          <w:color w:val="000000" w:themeColor="text1"/>
          <w:sz w:val="32"/>
          <w:szCs w:val="32"/>
          <w14:textFill>
            <w14:solidFill>
              <w14:schemeClr w14:val="tx1"/>
            </w14:solidFill>
          </w14:textFill>
        </w:rPr>
        <w:t>“十四五”农业</w:t>
      </w:r>
      <w:r>
        <w:rPr>
          <w:rFonts w:hint="eastAsia" w:ascii="黑体" w:hAnsi="黑体" w:eastAsia="黑体" w:cs="黑体"/>
          <w:color w:val="000000" w:themeColor="text1"/>
          <w:sz w:val="32"/>
          <w:szCs w:val="32"/>
          <w:lang w:val="en-US" w:eastAsia="zh-CN"/>
          <w14:textFill>
            <w14:solidFill>
              <w14:schemeClr w14:val="tx1"/>
            </w14:solidFill>
          </w14:textFill>
        </w:rPr>
        <w:t>农村</w:t>
      </w:r>
      <w:r>
        <w:rPr>
          <w:rFonts w:hint="eastAsia" w:ascii="黑体" w:hAnsi="黑体" w:eastAsia="黑体" w:cs="黑体"/>
          <w:color w:val="000000" w:themeColor="text1"/>
          <w:sz w:val="32"/>
          <w:szCs w:val="32"/>
          <w14:textFill>
            <w14:solidFill>
              <w14:schemeClr w14:val="tx1"/>
            </w14:solidFill>
          </w14:textFill>
        </w:rPr>
        <w:t>创建项目目标表</w:t>
      </w:r>
      <w:bookmarkEnd w:id="243"/>
      <w:bookmarkEnd w:id="244"/>
      <w:bookmarkEnd w:id="245"/>
    </w:p>
    <w:tbl>
      <w:tblPr>
        <w:tblStyle w:val="24"/>
        <w:tblW w:w="5070" w:type="pct"/>
        <w:jc w:val="center"/>
        <w:shd w:val="clear" w:color="auto" w:fill="auto"/>
        <w:tblLayout w:type="fixed"/>
        <w:tblCellMar>
          <w:top w:w="0" w:type="dxa"/>
          <w:left w:w="0" w:type="dxa"/>
          <w:bottom w:w="0" w:type="dxa"/>
          <w:right w:w="0" w:type="dxa"/>
        </w:tblCellMar>
      </w:tblPr>
      <w:tblGrid>
        <w:gridCol w:w="657"/>
        <w:gridCol w:w="3099"/>
        <w:gridCol w:w="3149"/>
        <w:gridCol w:w="1741"/>
      </w:tblGrid>
      <w:tr>
        <w:tblPrEx>
          <w:shd w:val="clear" w:color="auto" w:fill="auto"/>
          <w:tblCellMar>
            <w:top w:w="0" w:type="dxa"/>
            <w:left w:w="0" w:type="dxa"/>
            <w:bottom w:w="0" w:type="dxa"/>
            <w:right w:w="0" w:type="dxa"/>
          </w:tblCellMar>
        </w:tblPrEx>
        <w:trPr>
          <w:trHeight w:val="463"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F2F2F2"/>
            <w:noWrap/>
            <w:tcMar>
              <w:top w:w="17" w:type="dxa"/>
              <w:left w:w="113" w:type="dxa"/>
              <w:bottom w:w="17" w:type="dxa"/>
              <w:right w:w="113" w:type="dxa"/>
            </w:tcMar>
            <w:vAlign w:val="center"/>
          </w:tcPr>
          <w:p>
            <w:pPr>
              <w:widowControl/>
              <w:spacing w:line="240" w:lineRule="exact"/>
              <w:ind w:firstLine="0" w:firstLineChars="0"/>
              <w:jc w:val="center"/>
              <w:textAlignment w:val="center"/>
              <w:rPr>
                <w:rFonts w:hint="eastAsia" w:ascii="宋体" w:hAnsi="宋体" w:eastAsia="宋体" w:cs="等线"/>
                <w:b/>
                <w:color w:val="000000"/>
                <w:kern w:val="0"/>
                <w:sz w:val="20"/>
                <w:szCs w:val="20"/>
                <w:highlight w:val="none"/>
                <w:lang w:val="en-US" w:eastAsia="zh-CN" w:bidi="ar"/>
              </w:rPr>
            </w:pPr>
            <w:r>
              <w:rPr>
                <w:rFonts w:hint="eastAsia" w:ascii="宋体" w:hAnsi="宋体" w:eastAsia="宋体" w:cs="等线"/>
                <w:b/>
                <w:color w:val="000000"/>
                <w:kern w:val="0"/>
                <w:sz w:val="20"/>
                <w:szCs w:val="20"/>
                <w:highlight w:val="none"/>
                <w:lang w:val="en-US" w:eastAsia="zh-CN" w:bidi="ar"/>
              </w:rPr>
              <w:t>序号</w:t>
            </w:r>
          </w:p>
        </w:tc>
        <w:tc>
          <w:tcPr>
            <w:tcW w:w="1792" w:type="pct"/>
            <w:tcBorders>
              <w:top w:val="single" w:color="000000" w:sz="4" w:space="0"/>
              <w:left w:val="single" w:color="000000" w:sz="4" w:space="0"/>
              <w:bottom w:val="single" w:color="000000" w:sz="4" w:space="0"/>
              <w:right w:val="single" w:color="000000" w:sz="4" w:space="0"/>
            </w:tcBorders>
            <w:shd w:val="clear" w:color="auto" w:fill="F2F2F2"/>
            <w:noWrap/>
            <w:tcMar>
              <w:top w:w="17" w:type="dxa"/>
              <w:left w:w="113" w:type="dxa"/>
              <w:bottom w:w="17" w:type="dxa"/>
              <w:right w:w="113" w:type="dxa"/>
            </w:tcMar>
            <w:vAlign w:val="center"/>
          </w:tcPr>
          <w:p>
            <w:pPr>
              <w:widowControl/>
              <w:spacing w:line="240" w:lineRule="exact"/>
              <w:ind w:firstLine="0" w:firstLineChars="0"/>
              <w:jc w:val="center"/>
              <w:textAlignment w:val="center"/>
              <w:rPr>
                <w:rFonts w:hint="eastAsia" w:ascii="宋体" w:hAnsi="宋体" w:eastAsia="宋体" w:cs="等线"/>
                <w:b/>
                <w:color w:val="000000"/>
                <w:kern w:val="0"/>
                <w:sz w:val="20"/>
                <w:szCs w:val="20"/>
                <w:highlight w:val="none"/>
                <w:lang w:bidi="ar"/>
              </w:rPr>
            </w:pPr>
            <w:r>
              <w:rPr>
                <w:rFonts w:hint="eastAsia" w:ascii="宋体" w:hAnsi="宋体" w:eastAsia="宋体" w:cs="等线"/>
                <w:b/>
                <w:color w:val="000000"/>
                <w:kern w:val="0"/>
                <w:sz w:val="20"/>
                <w:szCs w:val="20"/>
                <w:highlight w:val="none"/>
                <w:lang w:val="en-US" w:eastAsia="zh-CN" w:bidi="ar"/>
              </w:rPr>
              <w:t>创建类型</w:t>
            </w:r>
          </w:p>
        </w:tc>
        <w:tc>
          <w:tcPr>
            <w:tcW w:w="1821" w:type="pct"/>
            <w:tcBorders>
              <w:top w:val="single" w:color="000000" w:sz="4" w:space="0"/>
              <w:left w:val="single" w:color="000000" w:sz="4" w:space="0"/>
              <w:bottom w:val="single" w:color="000000" w:sz="4" w:space="0"/>
              <w:right w:val="single" w:color="000000" w:sz="4" w:space="0"/>
            </w:tcBorders>
            <w:shd w:val="clear" w:color="auto" w:fill="F2F2F2"/>
            <w:noWrap/>
            <w:tcMar>
              <w:top w:w="17" w:type="dxa"/>
              <w:left w:w="113" w:type="dxa"/>
              <w:bottom w:w="17" w:type="dxa"/>
              <w:right w:w="113" w:type="dxa"/>
            </w:tcMar>
            <w:vAlign w:val="center"/>
          </w:tcPr>
          <w:p>
            <w:pPr>
              <w:widowControl/>
              <w:spacing w:line="240" w:lineRule="exact"/>
              <w:ind w:firstLine="0" w:firstLineChars="0"/>
              <w:jc w:val="center"/>
              <w:textAlignment w:val="center"/>
              <w:rPr>
                <w:rFonts w:hint="eastAsia" w:ascii="宋体" w:hAnsi="宋体" w:eastAsia="宋体" w:cs="等线"/>
                <w:b/>
                <w:color w:val="000000"/>
                <w:kern w:val="0"/>
                <w:sz w:val="20"/>
                <w:szCs w:val="20"/>
                <w:highlight w:val="none"/>
                <w:lang w:bidi="ar"/>
              </w:rPr>
            </w:pPr>
            <w:r>
              <w:rPr>
                <w:rFonts w:hint="eastAsia" w:ascii="宋体" w:hAnsi="宋体" w:eastAsia="宋体" w:cs="等线"/>
                <w:b/>
                <w:color w:val="000000"/>
                <w:kern w:val="0"/>
                <w:sz w:val="20"/>
                <w:szCs w:val="20"/>
                <w:highlight w:val="none"/>
                <w:lang w:val="en-US" w:eastAsia="zh-CN" w:bidi="ar"/>
              </w:rPr>
              <w:t>已创建项目</w:t>
            </w:r>
          </w:p>
        </w:tc>
        <w:tc>
          <w:tcPr>
            <w:tcW w:w="1006" w:type="pct"/>
            <w:tcBorders>
              <w:top w:val="single" w:color="000000" w:sz="4" w:space="0"/>
              <w:left w:val="single" w:color="000000" w:sz="4" w:space="0"/>
              <w:bottom w:val="single" w:color="000000" w:sz="4" w:space="0"/>
              <w:right w:val="single" w:color="000000" w:sz="4" w:space="0"/>
            </w:tcBorders>
            <w:shd w:val="clear" w:color="auto" w:fill="F2F2F2"/>
            <w:noWrap/>
            <w:tcMar>
              <w:top w:w="17" w:type="dxa"/>
              <w:left w:w="113" w:type="dxa"/>
              <w:bottom w:w="17" w:type="dxa"/>
              <w:right w:w="113" w:type="dxa"/>
            </w:tcMar>
            <w:vAlign w:val="center"/>
          </w:tcPr>
          <w:p>
            <w:pPr>
              <w:widowControl/>
              <w:spacing w:line="240" w:lineRule="exact"/>
              <w:ind w:firstLine="0" w:firstLineChars="0"/>
              <w:jc w:val="center"/>
              <w:textAlignment w:val="center"/>
              <w:rPr>
                <w:rFonts w:hint="eastAsia" w:ascii="宋体" w:hAnsi="宋体" w:eastAsia="宋体" w:cs="等线"/>
                <w:b/>
                <w:color w:val="000000"/>
                <w:kern w:val="0"/>
                <w:sz w:val="20"/>
                <w:szCs w:val="20"/>
                <w:highlight w:val="none"/>
                <w:lang w:bidi="ar"/>
              </w:rPr>
            </w:pPr>
            <w:r>
              <w:rPr>
                <w:rFonts w:hint="eastAsia" w:ascii="宋体" w:hAnsi="宋体" w:eastAsia="宋体" w:cs="等线"/>
                <w:b/>
                <w:color w:val="000000"/>
                <w:kern w:val="0"/>
                <w:sz w:val="20"/>
                <w:szCs w:val="20"/>
                <w:highlight w:val="none"/>
                <w:lang w:val="en-US" w:eastAsia="zh-CN" w:bidi="ar"/>
              </w:rPr>
              <w:t>拟创建目标</w:t>
            </w:r>
          </w:p>
        </w:tc>
      </w:tr>
      <w:tr>
        <w:tblPrEx>
          <w:shd w:val="clear" w:color="auto" w:fill="auto"/>
          <w:tblCellMar>
            <w:top w:w="0" w:type="dxa"/>
            <w:left w:w="0" w:type="dxa"/>
            <w:bottom w:w="0" w:type="dxa"/>
            <w:right w:w="0" w:type="dxa"/>
          </w:tblCellMar>
        </w:tblPrEx>
        <w:trPr>
          <w:trHeight w:val="209"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1</w:t>
            </w:r>
          </w:p>
        </w:tc>
        <w:tc>
          <w:tcPr>
            <w:tcW w:w="1792"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国家现代农业产业园</w:t>
            </w:r>
          </w:p>
        </w:tc>
        <w:tc>
          <w:tcPr>
            <w:tcW w:w="1821"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潜江市国家现代农业产业园</w:t>
            </w:r>
          </w:p>
        </w:tc>
        <w:tc>
          <w:tcPr>
            <w:tcW w:w="1006"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提档升级</w:t>
            </w:r>
          </w:p>
        </w:tc>
      </w:tr>
      <w:tr>
        <w:tblPrEx>
          <w:shd w:val="clear" w:color="auto" w:fill="auto"/>
          <w:tblCellMar>
            <w:top w:w="0" w:type="dxa"/>
            <w:left w:w="0" w:type="dxa"/>
            <w:bottom w:w="0" w:type="dxa"/>
            <w:right w:w="0" w:type="dxa"/>
          </w:tblCellMar>
        </w:tblPrEx>
        <w:trPr>
          <w:trHeight w:val="696"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2</w:t>
            </w:r>
          </w:p>
        </w:tc>
        <w:tc>
          <w:tcPr>
            <w:tcW w:w="1792"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spacing w:line="300" w:lineRule="exact"/>
              <w:ind w:left="0" w:leftChars="0" w:firstLine="0" w:firstLineChars="0"/>
              <w:jc w:val="both"/>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省级现代农业产业园</w:t>
            </w:r>
          </w:p>
        </w:tc>
        <w:tc>
          <w:tcPr>
            <w:tcW w:w="1821"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后湖高场虾稻现代农业产业园、潜半夏现代农业产业园</w:t>
            </w:r>
          </w:p>
        </w:tc>
        <w:tc>
          <w:tcPr>
            <w:tcW w:w="1006"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再争创1个</w:t>
            </w:r>
          </w:p>
        </w:tc>
      </w:tr>
      <w:tr>
        <w:tblPrEx>
          <w:tblCellMar>
            <w:top w:w="0" w:type="dxa"/>
            <w:left w:w="0" w:type="dxa"/>
            <w:bottom w:w="0" w:type="dxa"/>
            <w:right w:w="0" w:type="dxa"/>
          </w:tblCellMar>
        </w:tblPrEx>
        <w:trPr>
          <w:trHeight w:val="9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pPr>
            <w:r>
              <w:rPr>
                <w:rFonts w:hint="eastAsia" w:eastAsia="宋体" w:cs="Times New Roman"/>
                <w:i w:val="0"/>
                <w:color w:val="000000" w:themeColor="text1"/>
                <w:kern w:val="0"/>
                <w:sz w:val="24"/>
                <w:szCs w:val="24"/>
                <w:u w:val="none"/>
                <w:lang w:val="en-US" w:eastAsia="zh-CN" w:bidi="ar"/>
                <w14:textFill>
                  <w14:solidFill>
                    <w14:schemeClr w14:val="tx1"/>
                  </w14:solidFill>
                </w14:textFill>
              </w:rPr>
              <w:t>3</w:t>
            </w:r>
          </w:p>
        </w:tc>
        <w:tc>
          <w:tcPr>
            <w:tcW w:w="1792"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国家农业现代化示范区</w:t>
            </w:r>
          </w:p>
        </w:tc>
        <w:tc>
          <w:tcPr>
            <w:tcW w:w="1821"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暂无</w:t>
            </w:r>
          </w:p>
        </w:tc>
        <w:tc>
          <w:tcPr>
            <w:tcW w:w="1006"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创建成功</w:t>
            </w:r>
          </w:p>
        </w:tc>
      </w:tr>
      <w:tr>
        <w:tblPrEx>
          <w:tblCellMar>
            <w:top w:w="0" w:type="dxa"/>
            <w:left w:w="0" w:type="dxa"/>
            <w:bottom w:w="0" w:type="dxa"/>
            <w:right w:w="0" w:type="dxa"/>
          </w:tblCellMar>
        </w:tblPrEx>
        <w:trPr>
          <w:trHeight w:val="9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i w:val="0"/>
                <w:color w:val="000000" w:themeColor="text1"/>
                <w:sz w:val="24"/>
                <w:szCs w:val="24"/>
                <w:u w:val="none"/>
                <w:lang w:val="en-US" w:eastAsia="zh-CN"/>
                <w14:textFill>
                  <w14:solidFill>
                    <w14:schemeClr w14:val="tx1"/>
                  </w14:solidFill>
                </w14:textFill>
              </w:rPr>
            </w:pPr>
            <w:r>
              <w:rPr>
                <w:rFonts w:hint="eastAsia" w:eastAsia="宋体" w:cs="Times New Roman"/>
                <w:i w:val="0"/>
                <w:color w:val="000000" w:themeColor="text1"/>
                <w:sz w:val="24"/>
                <w:szCs w:val="24"/>
                <w:u w:val="none"/>
                <w:lang w:val="en-US" w:eastAsia="zh-CN"/>
                <w14:textFill>
                  <w14:solidFill>
                    <w14:schemeClr w14:val="tx1"/>
                  </w14:solidFill>
                </w14:textFill>
              </w:rPr>
              <w:t>4</w:t>
            </w:r>
          </w:p>
        </w:tc>
        <w:tc>
          <w:tcPr>
            <w:tcW w:w="1792"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农业产业强镇</w:t>
            </w:r>
          </w:p>
        </w:tc>
        <w:tc>
          <w:tcPr>
            <w:tcW w:w="1821"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熊口镇</w:t>
            </w:r>
          </w:p>
        </w:tc>
        <w:tc>
          <w:tcPr>
            <w:tcW w:w="1006"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再争创1-2个</w:t>
            </w:r>
          </w:p>
        </w:tc>
      </w:tr>
      <w:tr>
        <w:tblPrEx>
          <w:tblCellMar>
            <w:top w:w="0" w:type="dxa"/>
            <w:left w:w="0" w:type="dxa"/>
            <w:bottom w:w="0" w:type="dxa"/>
            <w:right w:w="0" w:type="dxa"/>
          </w:tblCellMar>
        </w:tblPrEx>
        <w:trPr>
          <w:trHeight w:val="682"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pPr>
            <w:r>
              <w:rPr>
                <w:rFonts w:hint="eastAsia" w:eastAsia="宋体" w:cs="Times New Roman"/>
                <w:i w:val="0"/>
                <w:color w:val="000000" w:themeColor="text1"/>
                <w:kern w:val="0"/>
                <w:sz w:val="24"/>
                <w:szCs w:val="24"/>
                <w:u w:val="none"/>
                <w:lang w:val="en-US" w:eastAsia="zh-CN" w:bidi="ar"/>
                <w14:textFill>
                  <w14:solidFill>
                    <w14:schemeClr w14:val="tx1"/>
                  </w14:solidFill>
                </w14:textFill>
              </w:rPr>
              <w:t>5</w:t>
            </w:r>
          </w:p>
        </w:tc>
        <w:tc>
          <w:tcPr>
            <w:tcW w:w="1792"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农业产业化联合体</w:t>
            </w:r>
          </w:p>
        </w:tc>
        <w:tc>
          <w:tcPr>
            <w:tcW w:w="1821"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spacing w:line="300" w:lineRule="exact"/>
              <w:ind w:left="0" w:leftChars="0" w:firstLine="0" w:firstLineChars="0"/>
              <w:jc w:val="both"/>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color w:val="000000" w:themeColor="text1"/>
                <w:kern w:val="0"/>
                <w:sz w:val="22"/>
                <w:szCs w:val="22"/>
                <w:u w:val="none"/>
                <w:lang w:bidi="ar"/>
                <w14:textFill>
                  <w14:solidFill>
                    <w14:schemeClr w14:val="tx1"/>
                  </w14:solidFill>
                </w14:textFill>
              </w:rPr>
              <w:t>华山小龙虾产业化联合体</w:t>
            </w:r>
            <w:r>
              <w:rPr>
                <w:rFonts w:hint="eastAsia" w:ascii="宋体" w:hAnsi="宋体" w:eastAsia="宋体" w:cs="宋体"/>
                <w:color w:val="000000" w:themeColor="text1"/>
                <w:kern w:val="0"/>
                <w:sz w:val="22"/>
                <w:szCs w:val="22"/>
                <w:u w:val="none"/>
                <w:lang w:eastAsia="zh-CN" w:bidi="ar"/>
                <w14:textFill>
                  <w14:solidFill>
                    <w14:schemeClr w14:val="tx1"/>
                  </w14:solidFill>
                </w14:textFill>
              </w:rPr>
              <w:t>、</w:t>
            </w:r>
            <w:r>
              <w:rPr>
                <w:rFonts w:hint="eastAsia" w:ascii="宋体" w:hAnsi="宋体" w:eastAsia="宋体" w:cs="宋体"/>
                <w:color w:val="000000" w:themeColor="text1"/>
                <w:kern w:val="0"/>
                <w:sz w:val="22"/>
                <w:szCs w:val="22"/>
                <w:u w:val="none"/>
                <w:lang w:bidi="ar"/>
                <w14:textFill>
                  <w14:solidFill>
                    <w14:schemeClr w14:val="tx1"/>
                  </w14:solidFill>
                </w14:textFill>
              </w:rPr>
              <w:t>潜江市潜半夏产业化联合体</w:t>
            </w:r>
          </w:p>
        </w:tc>
        <w:tc>
          <w:tcPr>
            <w:tcW w:w="1006"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再争创7-10个</w:t>
            </w:r>
          </w:p>
        </w:tc>
      </w:tr>
      <w:tr>
        <w:tblPrEx>
          <w:tblCellMar>
            <w:top w:w="0" w:type="dxa"/>
            <w:left w:w="0" w:type="dxa"/>
            <w:bottom w:w="0" w:type="dxa"/>
            <w:right w:w="0" w:type="dxa"/>
          </w:tblCellMar>
        </w:tblPrEx>
        <w:trPr>
          <w:trHeight w:val="798"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spacing w:line="300" w:lineRule="exact"/>
              <w:ind w:left="0" w:leftChars="0" w:firstLine="0" w:firstLineChars="0"/>
              <w:jc w:val="center"/>
              <w:textAlignment w:val="center"/>
              <w:rPr>
                <w:rFonts w:hint="eastAsia" w:ascii="宋体" w:hAnsi="宋体" w:eastAsia="宋体" w:cs="宋体"/>
                <w:color w:val="000000"/>
                <w:kern w:val="0"/>
                <w:sz w:val="22"/>
                <w:szCs w:val="22"/>
                <w:u w:val="none"/>
                <w:lang w:val="en-US" w:eastAsia="zh-CN" w:bidi="ar"/>
              </w:rPr>
            </w:pPr>
            <w:r>
              <w:rPr>
                <w:rFonts w:hint="eastAsia" w:ascii="宋体" w:hAnsi="宋体" w:eastAsia="宋体" w:cs="宋体"/>
                <w:color w:val="000000"/>
                <w:kern w:val="0"/>
                <w:sz w:val="22"/>
                <w:szCs w:val="22"/>
                <w:u w:val="none"/>
                <w:lang w:val="en-US" w:eastAsia="zh-CN" w:bidi="ar"/>
              </w:rPr>
              <w:t>6</w:t>
            </w:r>
          </w:p>
        </w:tc>
        <w:tc>
          <w:tcPr>
            <w:tcW w:w="1792"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spacing w:line="300" w:lineRule="exact"/>
              <w:ind w:left="0" w:leftChars="0" w:firstLine="0" w:firstLineChars="0"/>
              <w:jc w:val="both"/>
              <w:textAlignment w:val="center"/>
              <w:rPr>
                <w:rFonts w:hint="default" w:ascii="宋体" w:hAnsi="宋体" w:eastAsia="宋体" w:cs="宋体"/>
                <w:color w:val="000000"/>
                <w:kern w:val="0"/>
                <w:sz w:val="22"/>
                <w:szCs w:val="22"/>
                <w:u w:val="none"/>
                <w:lang w:val="en-US" w:bidi="ar"/>
              </w:rPr>
            </w:pPr>
            <w:r>
              <w:rPr>
                <w:rFonts w:hint="eastAsia" w:ascii="宋体" w:hAnsi="宋体" w:eastAsia="宋体" w:cs="宋体"/>
                <w:color w:val="000000"/>
                <w:kern w:val="0"/>
                <w:sz w:val="22"/>
                <w:szCs w:val="22"/>
                <w:u w:val="none"/>
                <w:lang w:val="en-US" w:eastAsia="zh-CN" w:bidi="ar"/>
              </w:rPr>
              <w:t>全国“一村一品”示范村镇</w:t>
            </w:r>
          </w:p>
        </w:tc>
        <w:tc>
          <w:tcPr>
            <w:tcW w:w="1821"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spacing w:line="300" w:lineRule="exact"/>
              <w:ind w:left="0" w:leftChars="0" w:firstLine="0" w:firstLineChars="0"/>
              <w:jc w:val="both"/>
              <w:textAlignment w:val="center"/>
              <w:rPr>
                <w:rFonts w:hint="eastAsia" w:ascii="宋体" w:hAnsi="宋体" w:eastAsia="宋体" w:cs="宋体"/>
                <w:i w:val="0"/>
                <w:color w:val="000000" w:themeColor="text1"/>
                <w:sz w:val="22"/>
                <w:szCs w:val="22"/>
                <w:u w:val="none"/>
                <w14:textFill>
                  <w14:solidFill>
                    <w14:schemeClr w14:val="tx1"/>
                  </w14:solidFill>
                </w14:textFill>
              </w:rPr>
            </w:pPr>
            <w:r>
              <w:rPr>
                <w:rFonts w:hint="eastAsia" w:ascii="宋体" w:hAnsi="宋体" w:eastAsia="宋体" w:cs="宋体"/>
                <w:color w:val="000000"/>
                <w:kern w:val="0"/>
                <w:sz w:val="22"/>
                <w:szCs w:val="22"/>
                <w:u w:val="none"/>
                <w:lang w:bidi="ar"/>
              </w:rPr>
              <w:t>古城村虾稻、瞄场村虾稻、秀河村虾稻、群联村中药材</w:t>
            </w:r>
          </w:p>
        </w:tc>
        <w:tc>
          <w:tcPr>
            <w:tcW w:w="1006"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0000" w:themeColor="text1"/>
                <w:kern w:val="0"/>
                <w:sz w:val="22"/>
                <w:szCs w:val="22"/>
                <w:u w:val="none"/>
                <w:lang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再争创2-3个</w:t>
            </w:r>
          </w:p>
        </w:tc>
      </w:tr>
      <w:tr>
        <w:tblPrEx>
          <w:tblCellMar>
            <w:top w:w="0" w:type="dxa"/>
            <w:left w:w="0" w:type="dxa"/>
            <w:bottom w:w="0" w:type="dxa"/>
            <w:right w:w="0" w:type="dxa"/>
          </w:tblCellMar>
        </w:tblPrEx>
        <w:trPr>
          <w:trHeight w:val="434"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pPr>
            <w:r>
              <w:rPr>
                <w:rFonts w:hint="eastAsia" w:eastAsia="宋体" w:cs="Times New Roman"/>
                <w:i w:val="0"/>
                <w:color w:val="000000" w:themeColor="text1"/>
                <w:kern w:val="0"/>
                <w:sz w:val="24"/>
                <w:szCs w:val="24"/>
                <w:u w:val="none"/>
                <w:lang w:val="en-US" w:eastAsia="zh-CN" w:bidi="ar"/>
                <w14:textFill>
                  <w14:solidFill>
                    <w14:schemeClr w14:val="tx1"/>
                  </w14:solidFill>
                </w14:textFill>
              </w:rPr>
              <w:t>7</w:t>
            </w:r>
          </w:p>
        </w:tc>
        <w:tc>
          <w:tcPr>
            <w:tcW w:w="1792"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省级休闲农业示范点</w:t>
            </w:r>
          </w:p>
        </w:tc>
        <w:tc>
          <w:tcPr>
            <w:tcW w:w="1821"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spacing w:line="320" w:lineRule="exact"/>
              <w:ind w:left="0" w:leftChars="0" w:firstLine="0" w:firstLineChars="0"/>
              <w:jc w:val="both"/>
              <w:textAlignment w:val="center"/>
              <w:rPr>
                <w:rFonts w:hint="default"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color w:val="000000"/>
                <w:kern w:val="0"/>
                <w:sz w:val="22"/>
                <w:szCs w:val="22"/>
                <w:u w:val="none"/>
                <w:lang w:bidi="ar"/>
              </w:rPr>
              <w:t>虾农生态</w:t>
            </w:r>
            <w:r>
              <w:rPr>
                <w:rFonts w:hint="eastAsia" w:ascii="宋体" w:hAnsi="宋体" w:eastAsia="宋体" w:cs="宋体"/>
                <w:color w:val="000000" w:themeColor="text1"/>
                <w:kern w:val="0"/>
                <w:sz w:val="22"/>
                <w:szCs w:val="22"/>
                <w:u w:val="none"/>
                <w:lang w:eastAsia="zh-CN" w:bidi="ar"/>
                <w14:textFill>
                  <w14:solidFill>
                    <w14:schemeClr w14:val="tx1"/>
                  </w14:solidFill>
                </w14:textFill>
              </w:rPr>
              <w:t>、</w:t>
            </w:r>
            <w:r>
              <w:rPr>
                <w:rFonts w:hint="eastAsia" w:ascii="宋体" w:hAnsi="宋体" w:eastAsia="宋体" w:cs="宋体"/>
                <w:color w:val="000000"/>
                <w:kern w:val="0"/>
                <w:sz w:val="22"/>
                <w:szCs w:val="22"/>
                <w:u w:val="none"/>
                <w:lang w:bidi="ar"/>
              </w:rPr>
              <w:t>凤林苑</w:t>
            </w:r>
            <w:r>
              <w:rPr>
                <w:rFonts w:hint="eastAsia" w:ascii="宋体" w:hAnsi="宋体" w:eastAsia="宋体" w:cs="宋体"/>
                <w:color w:val="000000"/>
                <w:kern w:val="0"/>
                <w:sz w:val="22"/>
                <w:szCs w:val="22"/>
                <w:u w:val="none"/>
                <w:lang w:eastAsia="zh-CN" w:bidi="ar"/>
              </w:rPr>
              <w:t>、</w:t>
            </w:r>
            <w:r>
              <w:rPr>
                <w:rFonts w:hint="eastAsia" w:ascii="宋体" w:hAnsi="宋体" w:eastAsia="宋体" w:cs="宋体"/>
                <w:color w:val="000000"/>
                <w:kern w:val="0"/>
                <w:sz w:val="22"/>
                <w:szCs w:val="22"/>
                <w:u w:val="none"/>
                <w:lang w:bidi="ar"/>
              </w:rPr>
              <w:t>楚潜村韵</w:t>
            </w:r>
            <w:r>
              <w:rPr>
                <w:rFonts w:hint="eastAsia" w:ascii="宋体" w:hAnsi="宋体" w:eastAsia="宋体" w:cs="宋体"/>
                <w:color w:val="000000"/>
                <w:kern w:val="0"/>
                <w:sz w:val="22"/>
                <w:szCs w:val="22"/>
                <w:u w:val="none"/>
                <w:lang w:eastAsia="zh-CN" w:bidi="ar"/>
              </w:rPr>
              <w:t>、</w:t>
            </w:r>
            <w:r>
              <w:rPr>
                <w:rFonts w:hint="eastAsia" w:ascii="宋体" w:hAnsi="宋体" w:eastAsia="宋体" w:cs="宋体"/>
                <w:color w:val="000000"/>
                <w:kern w:val="0"/>
                <w:sz w:val="22"/>
                <w:szCs w:val="22"/>
                <w:u w:val="none"/>
                <w:lang w:val="en-US" w:eastAsia="zh-CN" w:bidi="ar"/>
              </w:rPr>
              <w:t>爱夏农业</w:t>
            </w:r>
          </w:p>
        </w:tc>
        <w:tc>
          <w:tcPr>
            <w:tcW w:w="1006"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再争创3-5个</w:t>
            </w:r>
          </w:p>
        </w:tc>
      </w:tr>
      <w:tr>
        <w:tblPrEx>
          <w:tblCellMar>
            <w:top w:w="0" w:type="dxa"/>
            <w:left w:w="0" w:type="dxa"/>
            <w:bottom w:w="0" w:type="dxa"/>
            <w:right w:w="0" w:type="dxa"/>
          </w:tblCellMar>
        </w:tblPrEx>
        <w:trPr>
          <w:trHeight w:val="514"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center"/>
              <w:textAlignment w:val="center"/>
              <w:rPr>
                <w:rFonts w:hint="default" w:eastAsia="宋体" w:cs="Times New Roman"/>
                <w:i w:val="0"/>
                <w:color w:val="000000" w:themeColor="text1"/>
                <w:kern w:val="0"/>
                <w:sz w:val="24"/>
                <w:szCs w:val="24"/>
                <w:u w:val="none"/>
                <w:lang w:val="en-US" w:eastAsia="zh-CN" w:bidi="ar"/>
                <w14:textFill>
                  <w14:solidFill>
                    <w14:schemeClr w14:val="tx1"/>
                  </w14:solidFill>
                </w14:textFill>
              </w:rPr>
            </w:pPr>
            <w:r>
              <w:rPr>
                <w:rFonts w:hint="eastAsia" w:eastAsia="宋体" w:cs="Times New Roman"/>
                <w:i w:val="0"/>
                <w:color w:val="000000" w:themeColor="text1"/>
                <w:kern w:val="0"/>
                <w:sz w:val="24"/>
                <w:szCs w:val="24"/>
                <w:u w:val="none"/>
                <w:lang w:val="en-US" w:eastAsia="zh-CN" w:bidi="ar"/>
                <w14:textFill>
                  <w14:solidFill>
                    <w14:schemeClr w14:val="tx1"/>
                  </w14:solidFill>
                </w14:textFill>
              </w:rPr>
              <w:t>8</w:t>
            </w:r>
          </w:p>
        </w:tc>
        <w:tc>
          <w:tcPr>
            <w:tcW w:w="1792"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color w:val="000000"/>
                <w:kern w:val="0"/>
                <w:sz w:val="22"/>
                <w:szCs w:val="22"/>
                <w:u w:val="none"/>
                <w:lang w:val="en-US" w:eastAsia="zh-CN" w:bidi="ar"/>
              </w:rPr>
              <w:t>乡村振兴农业科技引领示范村</w:t>
            </w:r>
          </w:p>
        </w:tc>
        <w:tc>
          <w:tcPr>
            <w:tcW w:w="1821"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default" w:eastAsia="宋体" w:cs="Times New Roman"/>
                <w:i w:val="0"/>
                <w:color w:val="000000" w:themeColor="text1"/>
                <w:sz w:val="22"/>
                <w:szCs w:val="22"/>
                <w:u w:val="none"/>
                <w:lang w:val="en-US" w:eastAsia="zh-CN"/>
                <w14:textFill>
                  <w14:solidFill>
                    <w14:schemeClr w14:val="tx1"/>
                  </w14:solidFill>
                </w14:textFill>
              </w:rPr>
            </w:pPr>
            <w:r>
              <w:rPr>
                <w:rFonts w:hint="eastAsia" w:eastAsia="宋体" w:cs="Times New Roman"/>
                <w:i w:val="0"/>
                <w:color w:val="000000" w:themeColor="text1"/>
                <w:sz w:val="22"/>
                <w:szCs w:val="22"/>
                <w:u w:val="none"/>
                <w:lang w:val="en-US" w:eastAsia="zh-CN"/>
                <w14:textFill>
                  <w14:solidFill>
                    <w14:schemeClr w14:val="tx1"/>
                  </w14:solidFill>
                </w14:textFill>
              </w:rPr>
              <w:t>暂无</w:t>
            </w:r>
          </w:p>
        </w:tc>
        <w:tc>
          <w:tcPr>
            <w:tcW w:w="1006"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争创3-5个</w:t>
            </w:r>
          </w:p>
        </w:tc>
      </w:tr>
      <w:tr>
        <w:tblPrEx>
          <w:tblCellMar>
            <w:top w:w="0" w:type="dxa"/>
            <w:left w:w="0" w:type="dxa"/>
            <w:bottom w:w="0" w:type="dxa"/>
            <w:right w:w="0" w:type="dxa"/>
          </w:tblCellMar>
        </w:tblPrEx>
        <w:trPr>
          <w:trHeight w:val="234"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lang w:val="en-US" w:eastAsia="zh-CN"/>
                <w14:textFill>
                  <w14:solidFill>
                    <w14:schemeClr w14:val="tx1"/>
                  </w14:solidFill>
                </w14:textFill>
              </w:rPr>
            </w:pPr>
            <w:r>
              <w:rPr>
                <w:rFonts w:hint="eastAsia" w:eastAsia="宋体" w:cs="Times New Roman"/>
                <w:i w:val="0"/>
                <w:color w:val="000000" w:themeColor="text1"/>
                <w:sz w:val="24"/>
                <w:szCs w:val="24"/>
                <w:u w:val="none"/>
                <w:lang w:val="en-US" w:eastAsia="zh-CN"/>
                <w14:textFill>
                  <w14:solidFill>
                    <w14:schemeClr w14:val="tx1"/>
                  </w14:solidFill>
                </w14:textFill>
              </w:rPr>
              <w:t>9</w:t>
            </w:r>
          </w:p>
        </w:tc>
        <w:tc>
          <w:tcPr>
            <w:tcW w:w="1792"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color w:val="000000" w:themeColor="text1"/>
                <w:sz w:val="22"/>
                <w:szCs w:val="22"/>
                <w:u w:val="none"/>
                <w:lang w:val="en-US"/>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国家产业融合发展示范园</w:t>
            </w:r>
          </w:p>
        </w:tc>
        <w:tc>
          <w:tcPr>
            <w:tcW w:w="1821"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s="Times New Roman"/>
                <w:i w:val="0"/>
                <w:color w:val="000000" w:themeColor="text1"/>
                <w:sz w:val="22"/>
                <w:szCs w:val="22"/>
                <w:u w:val="none"/>
                <w:lang w:val="en-US" w:eastAsia="zh-CN"/>
                <w14:textFill>
                  <w14:solidFill>
                    <w14:schemeClr w14:val="tx1"/>
                  </w14:solidFill>
                </w14:textFill>
              </w:rPr>
            </w:pPr>
            <w:r>
              <w:rPr>
                <w:rFonts w:hint="eastAsia" w:eastAsia="宋体" w:cs="Times New Roman"/>
                <w:i w:val="0"/>
                <w:color w:val="000000" w:themeColor="text1"/>
                <w:sz w:val="22"/>
                <w:szCs w:val="22"/>
                <w:u w:val="none"/>
                <w:lang w:val="en-US" w:eastAsia="zh-CN"/>
                <w14:textFill>
                  <w14:solidFill>
                    <w14:schemeClr w14:val="tx1"/>
                  </w14:solidFill>
                </w14:textFill>
              </w:rPr>
              <w:t>暂无</w:t>
            </w:r>
          </w:p>
        </w:tc>
        <w:tc>
          <w:tcPr>
            <w:tcW w:w="1006" w:type="pct"/>
            <w:tcBorders>
              <w:top w:val="single" w:color="000000" w:sz="4" w:space="0"/>
              <w:left w:val="single" w:color="000000" w:sz="4" w:space="0"/>
              <w:bottom w:val="single" w:color="000000" w:sz="4" w:space="0"/>
              <w:right w:val="single" w:color="000000" w:sz="4" w:space="0"/>
            </w:tcBorders>
            <w:shd w:val="clear" w:color="auto" w:fill="FFFFFF"/>
            <w:noWrap/>
            <w:tcMar>
              <w:top w:w="17" w:type="dxa"/>
              <w:left w:w="113" w:type="dxa"/>
              <w:bottom w:w="17" w:type="dxa"/>
              <w:right w:w="113" w:type="dxa"/>
            </w:tcMar>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0000" w:themeColor="text1"/>
                <w:kern w:val="0"/>
                <w:sz w:val="22"/>
                <w:szCs w:val="22"/>
                <w:u w:val="none"/>
                <w:lang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争创1个</w:t>
            </w:r>
          </w:p>
        </w:tc>
      </w:tr>
    </w:tbl>
    <w:p>
      <w:pPr>
        <w:keepNext w:val="0"/>
        <w:keepLines w:val="0"/>
        <w:pageBreakBefore w:val="0"/>
        <w:widowControl w:val="0"/>
        <w:kinsoku/>
        <w:wordWrap/>
        <w:overflowPunct/>
        <w:topLinePunct w:val="0"/>
        <w:autoSpaceDE/>
        <w:autoSpaceDN/>
        <w:bidi w:val="0"/>
        <w:adjustRightInd/>
        <w:snapToGrid/>
        <w:spacing w:before="220" w:beforeLines="50" w:after="220" w:afterLines="50" w:line="240" w:lineRule="auto"/>
        <w:ind w:left="0" w:leftChars="0" w:firstLine="0" w:firstLineChars="0"/>
        <w:jc w:val="center"/>
        <w:textAlignment w:val="auto"/>
        <w:outlineLvl w:val="0"/>
        <w:rPr>
          <w:rFonts w:hint="default" w:ascii="Times New Roman" w:hAnsi="Times New Roman" w:eastAsia="黑体" w:cs="Times New Roman"/>
          <w:color w:val="000000" w:themeColor="text1"/>
          <w:sz w:val="32"/>
          <w:szCs w:val="32"/>
          <w:lang w:val="en-US" w:eastAsia="zh-CN"/>
          <w14:textFill>
            <w14:solidFill>
              <w14:schemeClr w14:val="tx1"/>
            </w14:solidFill>
          </w14:textFill>
        </w:rPr>
      </w:pPr>
      <w:bookmarkStart w:id="246" w:name="_Toc30120"/>
      <w:bookmarkStart w:id="247" w:name="_Toc17587"/>
      <w:bookmarkStart w:id="248" w:name="_Toc15649"/>
      <w:r>
        <w:rPr>
          <w:rFonts w:hint="default" w:ascii="Times New Roman" w:hAnsi="Times New Roman" w:eastAsia="黑体" w:cs="Times New Roman"/>
          <w:color w:val="000000" w:themeColor="text1"/>
          <w:sz w:val="32"/>
          <w:szCs w:val="32"/>
          <w14:textFill>
            <w14:solidFill>
              <w14:schemeClr w14:val="tx1"/>
            </w14:solidFill>
          </w14:textFill>
        </w:rPr>
        <w:fldChar w:fldCharType="begin"/>
      </w:r>
      <w:r>
        <w:rPr>
          <w:rFonts w:hint="default" w:ascii="Times New Roman" w:hAnsi="Times New Roman" w:eastAsia="黑体" w:cs="Times New Roman"/>
          <w:color w:val="000000" w:themeColor="text1"/>
          <w:sz w:val="32"/>
          <w:szCs w:val="32"/>
          <w14:textFill>
            <w14:solidFill>
              <w14:schemeClr w14:val="tx1"/>
            </w14:solidFill>
          </w14:textFill>
        </w:rPr>
        <w:instrText xml:space="preserve"> HYPERLINK \l "_Toc10882" </w:instrText>
      </w:r>
      <w:r>
        <w:rPr>
          <w:rFonts w:hint="default" w:ascii="Times New Roman" w:hAnsi="Times New Roman" w:eastAsia="黑体" w:cs="Times New Roman"/>
          <w:color w:val="000000" w:themeColor="text1"/>
          <w:sz w:val="32"/>
          <w:szCs w:val="32"/>
          <w14:textFill>
            <w14:solidFill>
              <w14:schemeClr w14:val="tx1"/>
            </w14:solidFill>
          </w14:textFill>
        </w:rPr>
        <w:fldChar w:fldCharType="separate"/>
      </w:r>
      <w:r>
        <w:rPr>
          <w:rFonts w:hint="default" w:ascii="Times New Roman" w:hAnsi="Times New Roman" w:eastAsia="黑体" w:cs="Times New Roman"/>
          <w:color w:val="000000" w:themeColor="text1"/>
          <w:sz w:val="32"/>
          <w:szCs w:val="32"/>
          <w14:textFill>
            <w14:solidFill>
              <w14:schemeClr w14:val="tx1"/>
            </w14:solidFill>
          </w14:textFill>
        </w:rPr>
        <w:t>附件</w:t>
      </w:r>
      <w:r>
        <w:rPr>
          <w:rFonts w:hint="eastAsia" w:ascii="Times New Roman" w:hAnsi="Times New Roman" w:eastAsia="黑体" w:cs="Times New Roman"/>
          <w:color w:val="000000" w:themeColor="text1"/>
          <w:sz w:val="32"/>
          <w:szCs w:val="32"/>
          <w:lang w:val="en-US" w:eastAsia="zh-CN"/>
          <w14:textFill>
            <w14:solidFill>
              <w14:schemeClr w14:val="tx1"/>
            </w14:solidFill>
          </w14:textFill>
        </w:rPr>
        <w:t>2</w:t>
      </w:r>
      <w:r>
        <w:rPr>
          <w:rFonts w:hint="eastAsia" w:ascii="Times New Roman" w:hAnsi="Times New Roman" w:eastAsia="黑体" w:cs="Times New Roman"/>
          <w:color w:val="000000" w:themeColor="text1"/>
          <w:sz w:val="32"/>
          <w:szCs w:val="32"/>
          <w14:textFill>
            <w14:solidFill>
              <w14:schemeClr w14:val="tx1"/>
            </w14:solidFill>
          </w14:textFill>
        </w:rPr>
        <w:t>：</w:t>
      </w:r>
      <w:r>
        <w:rPr>
          <w:rFonts w:hint="eastAsia" w:ascii="Times New Roman" w:hAnsi="Times New Roman" w:eastAsia="黑体" w:cs="Times New Roman"/>
          <w:color w:val="000000" w:themeColor="text1"/>
          <w:sz w:val="32"/>
          <w:szCs w:val="32"/>
          <w14:textFill>
            <w14:solidFill>
              <w14:schemeClr w14:val="tx1"/>
            </w14:solidFill>
          </w14:textFill>
        </w:rPr>
        <w:fldChar w:fldCharType="end"/>
      </w:r>
      <w:r>
        <w:rPr>
          <w:rFonts w:hint="eastAsia" w:ascii="Times New Roman" w:hAnsi="Times New Roman" w:eastAsia="黑体" w:cs="Times New Roman"/>
          <w:color w:val="000000" w:themeColor="text1"/>
          <w:sz w:val="32"/>
          <w:szCs w:val="32"/>
          <w:lang w:val="en-US" w:eastAsia="zh-CN"/>
          <w14:textFill>
            <w14:solidFill>
              <w14:schemeClr w14:val="tx1"/>
            </w14:solidFill>
          </w14:textFill>
        </w:rPr>
        <w:t>潜江市</w:t>
      </w:r>
      <w:r>
        <w:rPr>
          <w:rFonts w:hint="eastAsia" w:ascii="Times New Roman" w:hAnsi="Times New Roman" w:eastAsia="黑体" w:cs="Times New Roman"/>
          <w:color w:val="000000" w:themeColor="text1"/>
          <w:sz w:val="32"/>
          <w:szCs w:val="32"/>
          <w14:textFill>
            <w14:solidFill>
              <w14:schemeClr w14:val="tx1"/>
            </w14:solidFill>
          </w14:textFill>
        </w:rPr>
        <w:t>“十四五”农业农村</w:t>
      </w:r>
      <w:r>
        <w:rPr>
          <w:rFonts w:hint="eastAsia" w:ascii="Times New Roman" w:hAnsi="Times New Roman" w:eastAsia="黑体" w:cs="Times New Roman"/>
          <w:color w:val="000000" w:themeColor="text1"/>
          <w:sz w:val="32"/>
          <w:szCs w:val="32"/>
          <w:lang w:val="en-US" w:eastAsia="zh-CN"/>
          <w14:textFill>
            <w14:solidFill>
              <w14:schemeClr w14:val="tx1"/>
            </w14:solidFill>
          </w14:textFill>
        </w:rPr>
        <w:t>重大项目表</w:t>
      </w:r>
      <w:bookmarkEnd w:id="246"/>
      <w:bookmarkEnd w:id="247"/>
      <w:bookmarkEnd w:id="248"/>
      <w:r>
        <w:rPr>
          <w:rFonts w:hint="eastAsia" w:eastAsia="黑体" w:cs="Times New Roman"/>
          <w:color w:val="000000" w:themeColor="text1"/>
          <w:sz w:val="32"/>
          <w:szCs w:val="32"/>
          <w:lang w:val="en-US" w:eastAsia="zh-CN"/>
          <w14:textFill>
            <w14:solidFill>
              <w14:schemeClr w14:val="tx1"/>
            </w14:solidFill>
          </w14:textFill>
        </w:rPr>
        <w:t xml:space="preserve">                         </w:t>
      </w:r>
    </w:p>
    <w:tbl>
      <w:tblPr>
        <w:tblStyle w:val="24"/>
        <w:tblW w:w="8707" w:type="dxa"/>
        <w:jc w:val="center"/>
        <w:shd w:val="clear" w:color="auto" w:fill="auto"/>
        <w:tblLayout w:type="fixed"/>
        <w:tblCellMar>
          <w:top w:w="0" w:type="dxa"/>
          <w:left w:w="0" w:type="dxa"/>
          <w:bottom w:w="0" w:type="dxa"/>
          <w:right w:w="0" w:type="dxa"/>
        </w:tblCellMar>
      </w:tblPr>
      <w:tblGrid>
        <w:gridCol w:w="777"/>
        <w:gridCol w:w="4433"/>
        <w:gridCol w:w="1814"/>
        <w:gridCol w:w="1683"/>
      </w:tblGrid>
      <w:tr>
        <w:tblPrEx>
          <w:shd w:val="clear" w:color="auto" w:fill="auto"/>
          <w:tblCellMar>
            <w:top w:w="0" w:type="dxa"/>
            <w:left w:w="0" w:type="dxa"/>
            <w:bottom w:w="0" w:type="dxa"/>
            <w:right w:w="0" w:type="dxa"/>
          </w:tblCellMar>
        </w:tblPrEx>
        <w:trPr>
          <w:trHeight w:val="527" w:hRule="atLeast"/>
          <w:jc w:val="center"/>
        </w:trPr>
        <w:tc>
          <w:tcPr>
            <w:tcW w:w="777" w:type="dxa"/>
            <w:tcBorders>
              <w:top w:val="single" w:color="000000" w:sz="8" w:space="0"/>
              <w:left w:val="single" w:color="000000" w:sz="8" w:space="0"/>
              <w:bottom w:val="single" w:color="000000" w:sz="4" w:space="0"/>
              <w:right w:val="single" w:color="000000" w:sz="4" w:space="0"/>
            </w:tcBorders>
            <w:shd w:val="clear" w:color="auto" w:fill="F2F2F2"/>
            <w:noWrap/>
            <w:tcMar>
              <w:top w:w="15" w:type="dxa"/>
              <w:left w:w="15" w:type="dxa"/>
              <w:right w:w="15" w:type="dxa"/>
            </w:tcMar>
            <w:vAlign w:val="center"/>
          </w:tcPr>
          <w:p>
            <w:pPr>
              <w:widowControl/>
              <w:spacing w:line="240" w:lineRule="exact"/>
              <w:ind w:firstLine="0" w:firstLineChars="0"/>
              <w:jc w:val="center"/>
              <w:textAlignment w:val="center"/>
              <w:rPr>
                <w:rFonts w:hint="eastAsia" w:ascii="宋体" w:hAnsi="宋体" w:eastAsia="宋体" w:cs="等线"/>
                <w:b/>
                <w:color w:val="000000"/>
                <w:kern w:val="0"/>
                <w:sz w:val="20"/>
                <w:szCs w:val="20"/>
                <w:highlight w:val="none"/>
                <w:lang w:val="en-US" w:eastAsia="zh-CN" w:bidi="ar"/>
              </w:rPr>
            </w:pPr>
            <w:r>
              <w:rPr>
                <w:rFonts w:hint="eastAsia" w:ascii="宋体" w:hAnsi="宋体" w:eastAsia="宋体" w:cs="等线"/>
                <w:b/>
                <w:color w:val="000000"/>
                <w:kern w:val="0"/>
                <w:sz w:val="20"/>
                <w:szCs w:val="20"/>
                <w:highlight w:val="none"/>
                <w:lang w:val="en-US" w:eastAsia="zh-CN" w:bidi="ar"/>
              </w:rPr>
              <w:t>序号</w:t>
            </w:r>
          </w:p>
        </w:tc>
        <w:tc>
          <w:tcPr>
            <w:tcW w:w="4433" w:type="dxa"/>
            <w:tcBorders>
              <w:top w:val="single" w:color="000000" w:sz="8" w:space="0"/>
              <w:left w:val="single" w:color="000000" w:sz="4" w:space="0"/>
              <w:bottom w:val="single" w:color="000000" w:sz="4" w:space="0"/>
              <w:right w:val="single" w:color="000000" w:sz="4" w:space="0"/>
            </w:tcBorders>
            <w:shd w:val="clear" w:color="auto" w:fill="F2F2F2"/>
            <w:noWrap/>
            <w:tcMar>
              <w:top w:w="15" w:type="dxa"/>
              <w:left w:w="15" w:type="dxa"/>
              <w:right w:w="15" w:type="dxa"/>
            </w:tcMar>
            <w:vAlign w:val="center"/>
          </w:tcPr>
          <w:p>
            <w:pPr>
              <w:widowControl/>
              <w:spacing w:line="240" w:lineRule="exact"/>
              <w:ind w:firstLine="0" w:firstLineChars="0"/>
              <w:jc w:val="center"/>
              <w:textAlignment w:val="center"/>
              <w:rPr>
                <w:rFonts w:hint="eastAsia" w:ascii="宋体" w:hAnsi="宋体" w:eastAsia="宋体" w:cs="等线"/>
                <w:b/>
                <w:color w:val="000000"/>
                <w:kern w:val="0"/>
                <w:sz w:val="20"/>
                <w:szCs w:val="20"/>
                <w:highlight w:val="none"/>
                <w:lang w:val="en-US" w:eastAsia="zh-CN" w:bidi="ar"/>
              </w:rPr>
            </w:pPr>
            <w:r>
              <w:rPr>
                <w:rFonts w:hint="eastAsia" w:ascii="宋体" w:hAnsi="宋体" w:eastAsia="宋体" w:cs="等线"/>
                <w:b/>
                <w:color w:val="000000"/>
                <w:kern w:val="0"/>
                <w:sz w:val="20"/>
                <w:szCs w:val="20"/>
                <w:highlight w:val="none"/>
                <w:lang w:val="en-US" w:eastAsia="zh-CN" w:bidi="ar"/>
              </w:rPr>
              <w:t>项目类型</w:t>
            </w:r>
          </w:p>
        </w:tc>
        <w:tc>
          <w:tcPr>
            <w:tcW w:w="1814" w:type="dxa"/>
            <w:tcBorders>
              <w:top w:val="single" w:color="000000" w:sz="8" w:space="0"/>
              <w:left w:val="single" w:color="000000" w:sz="4" w:space="0"/>
              <w:bottom w:val="single" w:color="000000" w:sz="4" w:space="0"/>
              <w:right w:val="single" w:color="000000" w:sz="4" w:space="0"/>
            </w:tcBorders>
            <w:shd w:val="clear" w:color="auto" w:fill="F2F2F2"/>
            <w:noWrap/>
            <w:tcMar>
              <w:top w:w="15" w:type="dxa"/>
              <w:left w:w="15" w:type="dxa"/>
              <w:right w:w="15" w:type="dxa"/>
            </w:tcMar>
            <w:vAlign w:val="center"/>
          </w:tcPr>
          <w:p>
            <w:pPr>
              <w:widowControl/>
              <w:spacing w:line="240" w:lineRule="exact"/>
              <w:ind w:firstLine="0" w:firstLineChars="0"/>
              <w:jc w:val="center"/>
              <w:textAlignment w:val="center"/>
              <w:rPr>
                <w:rFonts w:hint="eastAsia" w:ascii="宋体" w:hAnsi="宋体" w:eastAsia="宋体" w:cs="等线"/>
                <w:b/>
                <w:color w:val="000000"/>
                <w:kern w:val="0"/>
                <w:sz w:val="20"/>
                <w:szCs w:val="20"/>
                <w:highlight w:val="none"/>
                <w:lang w:val="en-US" w:eastAsia="zh-CN" w:bidi="ar"/>
              </w:rPr>
            </w:pPr>
            <w:r>
              <w:rPr>
                <w:rFonts w:hint="eastAsia" w:ascii="宋体" w:hAnsi="宋体" w:eastAsia="宋体" w:cs="等线"/>
                <w:b/>
                <w:color w:val="000000"/>
                <w:kern w:val="0"/>
                <w:sz w:val="20"/>
                <w:szCs w:val="20"/>
                <w:highlight w:val="none"/>
                <w:lang w:val="en-US" w:eastAsia="zh-CN" w:bidi="ar"/>
              </w:rPr>
              <w:t>项目数量（个）</w:t>
            </w:r>
          </w:p>
        </w:tc>
        <w:tc>
          <w:tcPr>
            <w:tcW w:w="1683" w:type="dxa"/>
            <w:tcBorders>
              <w:top w:val="single" w:color="000000" w:sz="8" w:space="0"/>
              <w:left w:val="single" w:color="000000" w:sz="4" w:space="0"/>
              <w:bottom w:val="single" w:color="000000" w:sz="4" w:space="0"/>
              <w:right w:val="single" w:color="000000" w:sz="8" w:space="0"/>
            </w:tcBorders>
            <w:shd w:val="clear" w:color="auto" w:fill="F2F2F2"/>
            <w:noWrap/>
            <w:tcMar>
              <w:top w:w="15" w:type="dxa"/>
              <w:left w:w="15" w:type="dxa"/>
              <w:right w:w="15" w:type="dxa"/>
            </w:tcMar>
            <w:vAlign w:val="center"/>
          </w:tcPr>
          <w:p>
            <w:pPr>
              <w:widowControl/>
              <w:spacing w:line="240" w:lineRule="exact"/>
              <w:ind w:firstLine="0" w:firstLineChars="0"/>
              <w:jc w:val="center"/>
              <w:textAlignment w:val="center"/>
              <w:rPr>
                <w:rFonts w:hint="eastAsia" w:ascii="宋体" w:hAnsi="宋体" w:eastAsia="宋体" w:cs="等线"/>
                <w:b/>
                <w:color w:val="000000"/>
                <w:kern w:val="0"/>
                <w:sz w:val="20"/>
                <w:szCs w:val="20"/>
                <w:highlight w:val="none"/>
                <w:lang w:val="en-US" w:eastAsia="zh-CN" w:bidi="ar"/>
              </w:rPr>
            </w:pPr>
            <w:r>
              <w:rPr>
                <w:rFonts w:hint="eastAsia" w:ascii="宋体" w:hAnsi="宋体" w:eastAsia="宋体" w:cs="等线"/>
                <w:b/>
                <w:color w:val="000000"/>
                <w:kern w:val="0"/>
                <w:sz w:val="20"/>
                <w:szCs w:val="20"/>
                <w:highlight w:val="none"/>
                <w:lang w:val="en-US" w:eastAsia="zh-CN" w:bidi="ar"/>
              </w:rPr>
              <w:t>投资额（亿元）</w:t>
            </w:r>
          </w:p>
        </w:tc>
      </w:tr>
      <w:tr>
        <w:tblPrEx>
          <w:shd w:val="clear" w:color="auto" w:fill="auto"/>
          <w:tblCellMar>
            <w:top w:w="0" w:type="dxa"/>
            <w:left w:w="0" w:type="dxa"/>
            <w:bottom w:w="0" w:type="dxa"/>
            <w:right w:w="0" w:type="dxa"/>
          </w:tblCellMar>
        </w:tblPrEx>
        <w:trPr>
          <w:trHeight w:val="484" w:hRule="atLeast"/>
          <w:jc w:val="center"/>
        </w:trPr>
        <w:tc>
          <w:tcPr>
            <w:tcW w:w="777" w:type="dxa"/>
            <w:tcBorders>
              <w:top w:val="single" w:color="000000" w:sz="4" w:space="0"/>
              <w:left w:val="single" w:color="000000" w:sz="8"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1</w:t>
            </w:r>
          </w:p>
        </w:tc>
        <w:tc>
          <w:tcPr>
            <w:tcW w:w="443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240" w:firstLineChars="100"/>
              <w:jc w:val="both"/>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粮食与重要农产品生产基地建设工程</w:t>
            </w:r>
          </w:p>
        </w:tc>
        <w:tc>
          <w:tcPr>
            <w:tcW w:w="18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lang w:val="en-US"/>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1</w:t>
            </w:r>
            <w:r>
              <w:rPr>
                <w:rFonts w:hint="eastAsia" w:eastAsia="宋体" w:cs="Times New Roman"/>
                <w:i w:val="0"/>
                <w:color w:val="000000" w:themeColor="text1"/>
                <w:kern w:val="0"/>
                <w:sz w:val="24"/>
                <w:szCs w:val="24"/>
                <w:u w:val="none"/>
                <w:lang w:val="en-US" w:eastAsia="zh-CN" w:bidi="ar"/>
                <w14:textFill>
                  <w14:solidFill>
                    <w14:schemeClr w14:val="tx1"/>
                  </w14:solidFill>
                </w14:textFill>
              </w:rPr>
              <w:t>2</w:t>
            </w:r>
          </w:p>
        </w:tc>
        <w:tc>
          <w:tcPr>
            <w:tcW w:w="1683" w:type="dxa"/>
            <w:tcBorders>
              <w:top w:val="single" w:color="000000" w:sz="4" w:space="0"/>
              <w:left w:val="single" w:color="000000" w:sz="4" w:space="0"/>
              <w:bottom w:val="single" w:color="000000" w:sz="4" w:space="0"/>
              <w:right w:val="single" w:color="000000" w:sz="8"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eastAsia" w:eastAsia="宋体" w:cs="Times New Roman"/>
                <w:i w:val="0"/>
                <w:color w:val="000000" w:themeColor="text1"/>
                <w:kern w:val="0"/>
                <w:sz w:val="24"/>
                <w:szCs w:val="24"/>
                <w:u w:val="none"/>
                <w:lang w:val="en-US" w:eastAsia="zh-CN" w:bidi="ar"/>
                <w14:textFill>
                  <w14:solidFill>
                    <w14:schemeClr w14:val="tx1"/>
                  </w14:solidFill>
                </w14:textFill>
              </w:rPr>
              <w:t>61.40</w:t>
            </w:r>
          </w:p>
        </w:tc>
      </w:tr>
      <w:tr>
        <w:tblPrEx>
          <w:shd w:val="clear" w:color="auto" w:fill="auto"/>
          <w:tblCellMar>
            <w:top w:w="0" w:type="dxa"/>
            <w:left w:w="0" w:type="dxa"/>
            <w:bottom w:w="0" w:type="dxa"/>
            <w:right w:w="0" w:type="dxa"/>
          </w:tblCellMar>
        </w:tblPrEx>
        <w:trPr>
          <w:trHeight w:val="548" w:hRule="atLeast"/>
          <w:jc w:val="center"/>
        </w:trPr>
        <w:tc>
          <w:tcPr>
            <w:tcW w:w="777" w:type="dxa"/>
            <w:tcBorders>
              <w:top w:val="single" w:color="000000" w:sz="4" w:space="0"/>
              <w:left w:val="single" w:color="000000" w:sz="8"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2</w:t>
            </w:r>
          </w:p>
        </w:tc>
        <w:tc>
          <w:tcPr>
            <w:tcW w:w="443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240" w:firstLineChars="100"/>
              <w:jc w:val="both"/>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乡村产业融合升级建设工程</w:t>
            </w:r>
          </w:p>
        </w:tc>
        <w:tc>
          <w:tcPr>
            <w:tcW w:w="18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lang w:val="en-US"/>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1</w:t>
            </w:r>
            <w:r>
              <w:rPr>
                <w:rFonts w:hint="eastAsia" w:eastAsia="宋体" w:cs="Times New Roman"/>
                <w:i w:val="0"/>
                <w:color w:val="000000" w:themeColor="text1"/>
                <w:kern w:val="0"/>
                <w:sz w:val="24"/>
                <w:szCs w:val="24"/>
                <w:u w:val="none"/>
                <w:lang w:val="en-US" w:eastAsia="zh-CN" w:bidi="ar"/>
                <w14:textFill>
                  <w14:solidFill>
                    <w14:schemeClr w14:val="tx1"/>
                  </w14:solidFill>
                </w14:textFill>
              </w:rPr>
              <w:t>6</w:t>
            </w:r>
          </w:p>
        </w:tc>
        <w:tc>
          <w:tcPr>
            <w:tcW w:w="1683" w:type="dxa"/>
            <w:tcBorders>
              <w:top w:val="single" w:color="000000" w:sz="4" w:space="0"/>
              <w:left w:val="single" w:color="000000" w:sz="4" w:space="0"/>
              <w:bottom w:val="single" w:color="000000" w:sz="4" w:space="0"/>
              <w:right w:val="single" w:color="000000" w:sz="8"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425.90</w:t>
            </w:r>
          </w:p>
        </w:tc>
      </w:tr>
      <w:tr>
        <w:tblPrEx>
          <w:shd w:val="clear" w:color="auto" w:fill="auto"/>
          <w:tblCellMar>
            <w:top w:w="0" w:type="dxa"/>
            <w:left w:w="0" w:type="dxa"/>
            <w:bottom w:w="0" w:type="dxa"/>
            <w:right w:w="0" w:type="dxa"/>
          </w:tblCellMar>
        </w:tblPrEx>
        <w:trPr>
          <w:trHeight w:val="548" w:hRule="atLeast"/>
          <w:jc w:val="center"/>
        </w:trPr>
        <w:tc>
          <w:tcPr>
            <w:tcW w:w="777" w:type="dxa"/>
            <w:tcBorders>
              <w:top w:val="single" w:color="000000" w:sz="4" w:space="0"/>
              <w:left w:val="single" w:color="000000" w:sz="8"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3</w:t>
            </w:r>
          </w:p>
        </w:tc>
        <w:tc>
          <w:tcPr>
            <w:tcW w:w="443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240" w:firstLineChars="100"/>
              <w:jc w:val="both"/>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农业科技创新支撑提升建设工程</w:t>
            </w:r>
          </w:p>
        </w:tc>
        <w:tc>
          <w:tcPr>
            <w:tcW w:w="18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9</w:t>
            </w:r>
          </w:p>
        </w:tc>
        <w:tc>
          <w:tcPr>
            <w:tcW w:w="1683" w:type="dxa"/>
            <w:tcBorders>
              <w:top w:val="single" w:color="000000" w:sz="4" w:space="0"/>
              <w:left w:val="single" w:color="000000" w:sz="4" w:space="0"/>
              <w:bottom w:val="single" w:color="000000" w:sz="4" w:space="0"/>
              <w:right w:val="single" w:color="000000" w:sz="8"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2</w:t>
            </w:r>
            <w:r>
              <w:rPr>
                <w:rFonts w:hint="eastAsia" w:eastAsia="宋体" w:cs="Times New Roman"/>
                <w:i w:val="0"/>
                <w:color w:val="000000" w:themeColor="text1"/>
                <w:kern w:val="0"/>
                <w:sz w:val="24"/>
                <w:szCs w:val="24"/>
                <w:u w:val="none"/>
                <w:lang w:val="en-US" w:eastAsia="zh-CN" w:bidi="ar"/>
                <w14:textFill>
                  <w14:solidFill>
                    <w14:schemeClr w14:val="tx1"/>
                  </w14:solidFill>
                </w14:textFill>
              </w:rPr>
              <w:t>8</w:t>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w:t>
            </w:r>
            <w:r>
              <w:rPr>
                <w:rFonts w:hint="eastAsia" w:eastAsia="宋体" w:cs="Times New Roman"/>
                <w:i w:val="0"/>
                <w:color w:val="000000" w:themeColor="text1"/>
                <w:kern w:val="0"/>
                <w:sz w:val="24"/>
                <w:szCs w:val="24"/>
                <w:u w:val="none"/>
                <w:lang w:val="en-US" w:eastAsia="zh-CN" w:bidi="ar"/>
                <w14:textFill>
                  <w14:solidFill>
                    <w14:schemeClr w14:val="tx1"/>
                  </w14:solidFill>
                </w14:textFill>
              </w:rPr>
              <w:t>0</w:t>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0</w:t>
            </w:r>
          </w:p>
        </w:tc>
      </w:tr>
      <w:tr>
        <w:tblPrEx>
          <w:shd w:val="clear" w:color="auto" w:fill="auto"/>
          <w:tblCellMar>
            <w:top w:w="0" w:type="dxa"/>
            <w:left w:w="0" w:type="dxa"/>
            <w:bottom w:w="0" w:type="dxa"/>
            <w:right w:w="0" w:type="dxa"/>
          </w:tblCellMar>
        </w:tblPrEx>
        <w:trPr>
          <w:trHeight w:val="548" w:hRule="atLeast"/>
          <w:jc w:val="center"/>
        </w:trPr>
        <w:tc>
          <w:tcPr>
            <w:tcW w:w="777" w:type="dxa"/>
            <w:tcBorders>
              <w:top w:val="single" w:color="000000" w:sz="4" w:space="0"/>
              <w:left w:val="single" w:color="000000" w:sz="8"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4</w:t>
            </w:r>
          </w:p>
        </w:tc>
        <w:tc>
          <w:tcPr>
            <w:tcW w:w="443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240" w:firstLineChars="100"/>
              <w:jc w:val="both"/>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农业绿色发展引领示范建设工程</w:t>
            </w:r>
          </w:p>
        </w:tc>
        <w:tc>
          <w:tcPr>
            <w:tcW w:w="18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Times New Roman" w:hAnsi="Times New Roman" w:eastAsia="宋体" w:cs="Times New Roman"/>
                <w:i w:val="0"/>
                <w:color w:val="000000" w:themeColor="text1"/>
                <w:sz w:val="24"/>
                <w:szCs w:val="24"/>
                <w:u w:val="none"/>
                <w:lang w:val="en-US" w:eastAsia="zh-CN"/>
                <w14:textFill>
                  <w14:solidFill>
                    <w14:schemeClr w14:val="tx1"/>
                  </w14:solidFill>
                </w14:textFill>
              </w:rPr>
            </w:pPr>
            <w:r>
              <w:rPr>
                <w:rFonts w:hint="eastAsia" w:eastAsia="宋体" w:cs="Times New Roman"/>
                <w:i w:val="0"/>
                <w:color w:val="000000" w:themeColor="text1"/>
                <w:sz w:val="24"/>
                <w:szCs w:val="24"/>
                <w:u w:val="none"/>
                <w:lang w:val="en-US" w:eastAsia="zh-CN"/>
                <w14:textFill>
                  <w14:solidFill>
                    <w14:schemeClr w14:val="tx1"/>
                  </w14:solidFill>
                </w14:textFill>
              </w:rPr>
              <w:t>5</w:t>
            </w:r>
          </w:p>
        </w:tc>
        <w:tc>
          <w:tcPr>
            <w:tcW w:w="1683" w:type="dxa"/>
            <w:tcBorders>
              <w:top w:val="single" w:color="000000" w:sz="4" w:space="0"/>
              <w:left w:val="single" w:color="000000" w:sz="4" w:space="0"/>
              <w:bottom w:val="single" w:color="000000" w:sz="4" w:space="0"/>
              <w:right w:val="single" w:color="000000" w:sz="8"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lang w:val="en-US"/>
                <w14:textFill>
                  <w14:solidFill>
                    <w14:schemeClr w14:val="tx1"/>
                  </w14:solidFill>
                </w14:textFill>
              </w:rPr>
            </w:pPr>
            <w:r>
              <w:rPr>
                <w:rFonts w:hint="eastAsia" w:eastAsia="宋体" w:cs="Times New Roman"/>
                <w:i w:val="0"/>
                <w:color w:val="000000" w:themeColor="text1"/>
                <w:kern w:val="0"/>
                <w:sz w:val="24"/>
                <w:szCs w:val="24"/>
                <w:u w:val="none"/>
                <w:lang w:val="en-US" w:eastAsia="zh-CN" w:bidi="ar"/>
                <w14:textFill>
                  <w14:solidFill>
                    <w14:schemeClr w14:val="tx1"/>
                  </w14:solidFill>
                </w14:textFill>
              </w:rPr>
              <w:t>12.</w:t>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5</w:t>
            </w:r>
            <w:r>
              <w:rPr>
                <w:rFonts w:hint="eastAsia" w:eastAsia="宋体" w:cs="Times New Roman"/>
                <w:i w:val="0"/>
                <w:color w:val="000000" w:themeColor="text1"/>
                <w:kern w:val="0"/>
                <w:sz w:val="24"/>
                <w:szCs w:val="24"/>
                <w:u w:val="none"/>
                <w:lang w:val="en-US" w:eastAsia="zh-CN" w:bidi="ar"/>
                <w14:textFill>
                  <w14:solidFill>
                    <w14:schemeClr w14:val="tx1"/>
                  </w14:solidFill>
                </w14:textFill>
              </w:rPr>
              <w:t>0</w:t>
            </w:r>
          </w:p>
        </w:tc>
      </w:tr>
      <w:tr>
        <w:tblPrEx>
          <w:shd w:val="clear" w:color="auto" w:fill="auto"/>
          <w:tblCellMar>
            <w:top w:w="0" w:type="dxa"/>
            <w:left w:w="0" w:type="dxa"/>
            <w:bottom w:w="0" w:type="dxa"/>
            <w:right w:w="0" w:type="dxa"/>
          </w:tblCellMar>
        </w:tblPrEx>
        <w:trPr>
          <w:trHeight w:val="548" w:hRule="atLeast"/>
          <w:jc w:val="center"/>
        </w:trPr>
        <w:tc>
          <w:tcPr>
            <w:tcW w:w="777" w:type="dxa"/>
            <w:tcBorders>
              <w:top w:val="single" w:color="000000" w:sz="4" w:space="0"/>
              <w:left w:val="single" w:color="000000" w:sz="8"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5</w:t>
            </w:r>
          </w:p>
        </w:tc>
        <w:tc>
          <w:tcPr>
            <w:tcW w:w="443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240" w:firstLineChars="100"/>
              <w:jc w:val="both"/>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农业安全生产保障建设工程</w:t>
            </w:r>
          </w:p>
        </w:tc>
        <w:tc>
          <w:tcPr>
            <w:tcW w:w="18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5</w:t>
            </w:r>
          </w:p>
        </w:tc>
        <w:tc>
          <w:tcPr>
            <w:tcW w:w="1683" w:type="dxa"/>
            <w:tcBorders>
              <w:top w:val="single" w:color="000000" w:sz="4" w:space="0"/>
              <w:left w:val="single" w:color="000000" w:sz="4" w:space="0"/>
              <w:bottom w:val="single" w:color="000000" w:sz="4" w:space="0"/>
              <w:right w:val="single" w:color="000000" w:sz="8"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2.45</w:t>
            </w:r>
          </w:p>
        </w:tc>
      </w:tr>
      <w:tr>
        <w:tblPrEx>
          <w:shd w:val="clear" w:color="auto" w:fill="auto"/>
          <w:tblCellMar>
            <w:top w:w="0" w:type="dxa"/>
            <w:left w:w="0" w:type="dxa"/>
            <w:bottom w:w="0" w:type="dxa"/>
            <w:right w:w="0" w:type="dxa"/>
          </w:tblCellMar>
        </w:tblPrEx>
        <w:trPr>
          <w:trHeight w:val="548" w:hRule="atLeast"/>
          <w:jc w:val="center"/>
        </w:trPr>
        <w:tc>
          <w:tcPr>
            <w:tcW w:w="777" w:type="dxa"/>
            <w:tcBorders>
              <w:top w:val="single" w:color="000000" w:sz="4" w:space="0"/>
              <w:left w:val="single" w:color="000000" w:sz="8"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6</w:t>
            </w:r>
          </w:p>
        </w:tc>
        <w:tc>
          <w:tcPr>
            <w:tcW w:w="443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240" w:firstLineChars="100"/>
              <w:jc w:val="both"/>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智慧农业和数字乡村建设工程</w:t>
            </w:r>
          </w:p>
        </w:tc>
        <w:tc>
          <w:tcPr>
            <w:tcW w:w="18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3</w:t>
            </w:r>
          </w:p>
        </w:tc>
        <w:tc>
          <w:tcPr>
            <w:tcW w:w="1683" w:type="dxa"/>
            <w:tcBorders>
              <w:top w:val="single" w:color="000000" w:sz="4" w:space="0"/>
              <w:left w:val="single" w:color="000000" w:sz="4" w:space="0"/>
              <w:bottom w:val="single" w:color="000000" w:sz="4" w:space="0"/>
              <w:right w:val="single" w:color="000000" w:sz="8"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3.05</w:t>
            </w:r>
          </w:p>
        </w:tc>
      </w:tr>
      <w:tr>
        <w:tblPrEx>
          <w:tblCellMar>
            <w:top w:w="0" w:type="dxa"/>
            <w:left w:w="0" w:type="dxa"/>
            <w:bottom w:w="0" w:type="dxa"/>
            <w:right w:w="0" w:type="dxa"/>
          </w:tblCellMar>
        </w:tblPrEx>
        <w:trPr>
          <w:trHeight w:val="548" w:hRule="atLeast"/>
          <w:jc w:val="center"/>
        </w:trPr>
        <w:tc>
          <w:tcPr>
            <w:tcW w:w="777" w:type="dxa"/>
            <w:tcBorders>
              <w:top w:val="single" w:color="000000" w:sz="4" w:space="0"/>
              <w:left w:val="single" w:color="000000" w:sz="8"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7</w:t>
            </w:r>
          </w:p>
        </w:tc>
        <w:tc>
          <w:tcPr>
            <w:tcW w:w="443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240" w:firstLineChars="100"/>
              <w:jc w:val="both"/>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农村基础设施建设工程</w:t>
            </w:r>
          </w:p>
        </w:tc>
        <w:tc>
          <w:tcPr>
            <w:tcW w:w="18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5</w:t>
            </w:r>
          </w:p>
        </w:tc>
        <w:tc>
          <w:tcPr>
            <w:tcW w:w="1683" w:type="dxa"/>
            <w:tcBorders>
              <w:top w:val="single" w:color="000000" w:sz="4" w:space="0"/>
              <w:left w:val="single" w:color="000000" w:sz="4" w:space="0"/>
              <w:bottom w:val="single" w:color="000000" w:sz="4" w:space="0"/>
              <w:right w:val="single" w:color="000000" w:sz="8"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8</w:t>
            </w:r>
            <w:r>
              <w:rPr>
                <w:rFonts w:hint="eastAsia" w:eastAsia="宋体" w:cs="Times New Roman"/>
                <w:i w:val="0"/>
                <w:color w:val="000000" w:themeColor="text1"/>
                <w:kern w:val="0"/>
                <w:sz w:val="24"/>
                <w:szCs w:val="24"/>
                <w:u w:val="none"/>
                <w:lang w:val="en-US" w:eastAsia="zh-CN" w:bidi="ar"/>
                <w14:textFill>
                  <w14:solidFill>
                    <w14:schemeClr w14:val="tx1"/>
                  </w14:solidFill>
                </w14:textFill>
              </w:rPr>
              <w:t>4</w:t>
            </w: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.26</w:t>
            </w:r>
          </w:p>
        </w:tc>
      </w:tr>
      <w:tr>
        <w:tblPrEx>
          <w:tblCellMar>
            <w:top w:w="0" w:type="dxa"/>
            <w:left w:w="0" w:type="dxa"/>
            <w:bottom w:w="0" w:type="dxa"/>
            <w:right w:w="0" w:type="dxa"/>
          </w:tblCellMar>
        </w:tblPrEx>
        <w:trPr>
          <w:trHeight w:val="548" w:hRule="atLeast"/>
          <w:jc w:val="center"/>
        </w:trPr>
        <w:tc>
          <w:tcPr>
            <w:tcW w:w="777" w:type="dxa"/>
            <w:tcBorders>
              <w:top w:val="single" w:color="000000" w:sz="4" w:space="0"/>
              <w:left w:val="single" w:color="000000" w:sz="8"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8</w:t>
            </w:r>
          </w:p>
        </w:tc>
        <w:tc>
          <w:tcPr>
            <w:tcW w:w="443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240" w:firstLineChars="100"/>
              <w:jc w:val="both"/>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其 他</w:t>
            </w:r>
          </w:p>
        </w:tc>
        <w:tc>
          <w:tcPr>
            <w:tcW w:w="181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14:textFill>
                  <w14:solidFill>
                    <w14:schemeClr w14:val="tx1"/>
                  </w14:solidFill>
                </w14:textFill>
              </w:rPr>
            </w:pPr>
            <w: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t>2</w:t>
            </w:r>
          </w:p>
        </w:tc>
        <w:tc>
          <w:tcPr>
            <w:tcW w:w="1683" w:type="dxa"/>
            <w:tcBorders>
              <w:top w:val="single" w:color="000000" w:sz="4" w:space="0"/>
              <w:left w:val="single" w:color="000000" w:sz="4" w:space="0"/>
              <w:bottom w:val="single" w:color="000000" w:sz="4" w:space="0"/>
              <w:right w:val="single" w:color="000000" w:sz="8"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sz w:val="24"/>
                <w:szCs w:val="24"/>
                <w:u w:val="none"/>
                <w:lang w:val="en-US" w:eastAsia="zh-CN"/>
                <w14:textFill>
                  <w14:solidFill>
                    <w14:schemeClr w14:val="tx1"/>
                  </w14:solidFill>
                </w14:textFill>
              </w:rPr>
            </w:pPr>
            <w:r>
              <w:rPr>
                <w:rFonts w:hint="eastAsia" w:eastAsia="宋体" w:cs="Times New Roman"/>
                <w:i w:val="0"/>
                <w:color w:val="000000" w:themeColor="text1"/>
                <w:sz w:val="24"/>
                <w:szCs w:val="24"/>
                <w:u w:val="none"/>
                <w:lang w:val="en-US" w:eastAsia="zh-CN"/>
                <w14:textFill>
                  <w14:solidFill>
                    <w14:schemeClr w14:val="tx1"/>
                  </w14:solidFill>
                </w14:textFill>
              </w:rPr>
              <w:t>11.50</w:t>
            </w:r>
          </w:p>
        </w:tc>
      </w:tr>
      <w:tr>
        <w:tblPrEx>
          <w:tblCellMar>
            <w:top w:w="0" w:type="dxa"/>
            <w:left w:w="0" w:type="dxa"/>
            <w:bottom w:w="0" w:type="dxa"/>
            <w:right w:w="0" w:type="dxa"/>
          </w:tblCellMar>
        </w:tblPrEx>
        <w:trPr>
          <w:trHeight w:val="333" w:hRule="atLeast"/>
          <w:jc w:val="center"/>
        </w:trPr>
        <w:tc>
          <w:tcPr>
            <w:tcW w:w="777" w:type="dxa"/>
            <w:tcBorders>
              <w:top w:val="single" w:color="000000" w:sz="4" w:space="0"/>
              <w:left w:val="single" w:color="000000" w:sz="8" w:space="0"/>
              <w:bottom w:val="single" w:color="000000" w:sz="8" w:space="0"/>
              <w:right w:val="single" w:color="000000" w:sz="4" w:space="0"/>
            </w:tcBorders>
            <w:shd w:val="clear" w:color="auto" w:fill="FFFFFF"/>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00" w:lineRule="exact"/>
              <w:jc w:val="both"/>
              <w:rPr>
                <w:rFonts w:hint="eastAsia" w:ascii="宋体" w:hAnsi="宋体" w:eastAsia="宋体" w:cs="宋体"/>
                <w:i w:val="0"/>
                <w:color w:val="000000" w:themeColor="text1"/>
                <w:sz w:val="24"/>
                <w:szCs w:val="24"/>
                <w:u w:val="none"/>
                <w14:textFill>
                  <w14:solidFill>
                    <w14:schemeClr w14:val="tx1"/>
                  </w14:solidFill>
                </w14:textFill>
              </w:rPr>
            </w:pPr>
          </w:p>
        </w:tc>
        <w:tc>
          <w:tcPr>
            <w:tcW w:w="4433" w:type="dxa"/>
            <w:tcBorders>
              <w:top w:val="single" w:color="000000" w:sz="4" w:space="0"/>
              <w:left w:val="single" w:color="000000" w:sz="4" w:space="0"/>
              <w:bottom w:val="single" w:color="000000" w:sz="8"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b/>
                <w:bCs/>
                <w:i w:val="0"/>
                <w:color w:val="000000" w:themeColor="text1"/>
                <w:kern w:val="0"/>
                <w:sz w:val="24"/>
                <w:szCs w:val="24"/>
                <w:u w:val="none"/>
                <w:lang w:val="en-US" w:eastAsia="zh-CN" w:bidi="ar"/>
                <w14:textFill>
                  <w14:solidFill>
                    <w14:schemeClr w14:val="tx1"/>
                  </w14:solidFill>
                </w14:textFill>
              </w:rPr>
              <w:t>合 计</w:t>
            </w:r>
          </w:p>
        </w:tc>
        <w:tc>
          <w:tcPr>
            <w:tcW w:w="1814" w:type="dxa"/>
            <w:tcBorders>
              <w:top w:val="single" w:color="000000" w:sz="4" w:space="0"/>
              <w:left w:val="single" w:color="000000" w:sz="4" w:space="0"/>
              <w:bottom w:val="single" w:color="000000" w:sz="8" w:space="0"/>
              <w:right w:val="single" w:color="000000"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i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b/>
                <w:bCs/>
                <w:i w:val="0"/>
                <w:color w:val="000000" w:themeColor="text1"/>
                <w:kern w:val="0"/>
                <w:sz w:val="24"/>
                <w:szCs w:val="24"/>
                <w:u w:val="none"/>
                <w:lang w:val="en-US" w:eastAsia="zh-CN" w:bidi="ar"/>
                <w14:textFill>
                  <w14:solidFill>
                    <w14:schemeClr w14:val="tx1"/>
                  </w14:solidFill>
                </w14:textFill>
              </w:rPr>
              <w:t>5</w:t>
            </w:r>
            <w:r>
              <w:rPr>
                <w:rFonts w:hint="eastAsia" w:eastAsia="宋体" w:cs="Times New Roman"/>
                <w:b/>
                <w:bCs/>
                <w:i w:val="0"/>
                <w:color w:val="000000" w:themeColor="text1"/>
                <w:kern w:val="0"/>
                <w:sz w:val="24"/>
                <w:szCs w:val="24"/>
                <w:u w:val="none"/>
                <w:lang w:val="en-US" w:eastAsia="zh-CN" w:bidi="ar"/>
                <w14:textFill>
                  <w14:solidFill>
                    <w14:schemeClr w14:val="tx1"/>
                  </w14:solidFill>
                </w14:textFill>
              </w:rPr>
              <w:t>7</w:t>
            </w:r>
          </w:p>
        </w:tc>
        <w:tc>
          <w:tcPr>
            <w:tcW w:w="1683" w:type="dxa"/>
            <w:tcBorders>
              <w:top w:val="single" w:color="000000" w:sz="4" w:space="0"/>
              <w:left w:val="single" w:color="000000" w:sz="4" w:space="0"/>
              <w:bottom w:val="single" w:color="000000" w:sz="8" w:space="0"/>
              <w:right w:val="single" w:color="000000" w:sz="8"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Times New Roman" w:hAnsi="Times New Roman" w:eastAsia="宋体" w:cs="Times New Roman"/>
                <w:b/>
                <w:bCs/>
                <w:i w:val="0"/>
                <w:color w:val="000000" w:themeColor="text1"/>
                <w:sz w:val="24"/>
                <w:szCs w:val="24"/>
                <w:u w:val="none"/>
                <w:lang w:val="en-US"/>
                <w14:textFill>
                  <w14:solidFill>
                    <w14:schemeClr w14:val="tx1"/>
                  </w14:solidFill>
                </w14:textFill>
              </w:rPr>
            </w:pPr>
            <w:r>
              <w:rPr>
                <w:rFonts w:hint="eastAsia" w:eastAsia="宋体" w:cs="Times New Roman"/>
                <w:b/>
                <w:bCs/>
                <w:i w:val="0"/>
                <w:color w:val="000000" w:themeColor="text1"/>
                <w:kern w:val="0"/>
                <w:sz w:val="24"/>
                <w:szCs w:val="24"/>
                <w:u w:val="none"/>
                <w:lang w:val="en-US" w:eastAsia="zh-CN" w:bidi="ar"/>
                <w14:textFill>
                  <w14:solidFill>
                    <w14:schemeClr w14:val="tx1"/>
                  </w14:solidFill>
                </w14:textFill>
              </w:rPr>
              <w:t>629.06</w:t>
            </w:r>
          </w:p>
        </w:tc>
      </w:tr>
    </w:tbl>
    <w:p>
      <w:pPr>
        <w:pStyle w:val="2"/>
        <w:keepNext w:val="0"/>
        <w:keepLines w:val="0"/>
        <w:pageBreakBefore w:val="0"/>
        <w:kinsoku/>
        <w:wordWrap/>
        <w:overflowPunct/>
        <w:topLinePunct w:val="0"/>
        <w:autoSpaceDE/>
        <w:autoSpaceDN/>
        <w:bidi w:val="0"/>
        <w:adjustRightInd/>
        <w:snapToGrid/>
        <w:spacing w:after="0" w:line="400" w:lineRule="exact"/>
        <w:rPr>
          <w:rFonts w:hint="default"/>
          <w:lang w:val="en-US" w:eastAsia="zh-CN"/>
        </w:rPr>
        <w:sectPr>
          <w:footerReference r:id="rId8" w:type="default"/>
          <w:footnotePr>
            <w:numFmt w:val="decimalEnclosedCircleChinese"/>
          </w:footnotePr>
          <w:pgSz w:w="11906" w:h="16838"/>
          <w:pgMar w:top="1440" w:right="1803" w:bottom="1440" w:left="1803" w:header="851" w:footer="992" w:gutter="0"/>
          <w:pgNumType w:fmt="decimal"/>
          <w:cols w:space="0" w:num="1"/>
          <w:docGrid w:type="lines" w:linePitch="436" w:charSpace="0"/>
        </w:sectPr>
      </w:pPr>
    </w:p>
    <w:p>
      <w:pPr>
        <w:pStyle w:val="7"/>
        <w:spacing w:line="360" w:lineRule="auto"/>
        <w:ind w:left="0" w:leftChars="0"/>
        <w:jc w:val="center"/>
        <w:outlineLvl w:val="9"/>
        <w:rPr>
          <w:rFonts w:hint="default" w:eastAsia="黑体"/>
          <w:lang w:val="en-US" w:eastAsia="zh-CN"/>
        </w:rPr>
      </w:pPr>
      <w:bookmarkStart w:id="249" w:name="_Toc31969"/>
      <w:bookmarkStart w:id="250" w:name="_Toc29089"/>
      <w:bookmarkStart w:id="251" w:name="_Toc23459"/>
      <w:bookmarkStart w:id="252" w:name="_Toc30742"/>
      <w:r>
        <w:rPr>
          <w:rFonts w:hint="eastAsia" w:ascii="黑体" w:hAnsi="黑体" w:eastAsia="黑体" w:cs="黑体"/>
          <w:sz w:val="32"/>
          <w:szCs w:val="36"/>
          <w:lang w:val="en-US" w:eastAsia="zh-CN"/>
        </w:rPr>
        <w:t>接附件</w:t>
      </w:r>
      <w:r>
        <w:rPr>
          <w:rFonts w:hint="default" w:ascii="Times New Roman" w:hAnsi="Times New Roman" w:eastAsia="黑体" w:cs="Times New Roman"/>
          <w:sz w:val="32"/>
          <w:szCs w:val="36"/>
          <w:lang w:val="en-US" w:eastAsia="zh-CN"/>
        </w:rPr>
        <w:t>2</w:t>
      </w:r>
      <w:r>
        <w:rPr>
          <w:rFonts w:hint="eastAsia" w:ascii="黑体" w:hAnsi="黑体" w:eastAsia="黑体" w:cs="黑体"/>
          <w:sz w:val="32"/>
          <w:szCs w:val="36"/>
          <w:lang w:val="en-US" w:eastAsia="zh-CN"/>
        </w:rPr>
        <w:t>：潜江</w:t>
      </w:r>
      <w:r>
        <w:rPr>
          <w:rFonts w:hint="eastAsia" w:ascii="黑体" w:hAnsi="黑体" w:eastAsia="黑体" w:cs="黑体"/>
          <w:sz w:val="32"/>
          <w:szCs w:val="36"/>
        </w:rPr>
        <w:t>市“十四五”农业农村现代化发展规划（</w:t>
      </w:r>
      <w:r>
        <w:rPr>
          <w:rFonts w:ascii="Times New Roman" w:hAnsi="Times New Roman" w:eastAsia="黑体" w:cs="Times New Roman"/>
          <w:sz w:val="32"/>
          <w:szCs w:val="36"/>
        </w:rPr>
        <w:t>2021-2025</w:t>
      </w:r>
      <w:r>
        <w:rPr>
          <w:rFonts w:hint="eastAsia" w:ascii="黑体" w:hAnsi="黑体" w:eastAsia="黑体" w:cs="黑体"/>
          <w:sz w:val="32"/>
          <w:szCs w:val="36"/>
        </w:rPr>
        <w:t>年）</w:t>
      </w:r>
      <w:r>
        <w:rPr>
          <w:rFonts w:hint="eastAsia" w:ascii="黑体" w:hAnsi="黑体" w:eastAsia="黑体" w:cs="黑体"/>
          <w:sz w:val="32"/>
          <w:szCs w:val="36"/>
          <w:lang w:val="en-US" w:eastAsia="zh-CN"/>
        </w:rPr>
        <w:t>重大</w:t>
      </w:r>
      <w:r>
        <w:rPr>
          <w:rFonts w:hint="eastAsia" w:ascii="黑体" w:hAnsi="黑体" w:eastAsia="黑体" w:cs="黑体"/>
          <w:sz w:val="32"/>
          <w:szCs w:val="36"/>
        </w:rPr>
        <w:t>项目</w:t>
      </w:r>
      <w:bookmarkEnd w:id="249"/>
      <w:r>
        <w:rPr>
          <w:rFonts w:hint="eastAsia" w:ascii="黑体" w:hAnsi="黑体" w:eastAsia="黑体" w:cs="黑体"/>
          <w:sz w:val="32"/>
          <w:szCs w:val="36"/>
          <w:lang w:val="en-US" w:eastAsia="zh-CN"/>
        </w:rPr>
        <w:t>表</w:t>
      </w:r>
      <w:bookmarkEnd w:id="250"/>
      <w:bookmarkEnd w:id="251"/>
      <w:bookmarkEnd w:id="252"/>
    </w:p>
    <w:tbl>
      <w:tblPr>
        <w:tblStyle w:val="24"/>
        <w:tblW w:w="5050" w:type="pct"/>
        <w:jc w:val="center"/>
        <w:shd w:val="clear" w:color="auto" w:fill="auto"/>
        <w:tblLayout w:type="fixed"/>
        <w:tblCellMar>
          <w:top w:w="0" w:type="dxa"/>
          <w:left w:w="0" w:type="dxa"/>
          <w:bottom w:w="0" w:type="dxa"/>
          <w:right w:w="0" w:type="dxa"/>
        </w:tblCellMar>
      </w:tblPr>
      <w:tblGrid>
        <w:gridCol w:w="869"/>
        <w:gridCol w:w="2317"/>
        <w:gridCol w:w="1919"/>
        <w:gridCol w:w="774"/>
        <w:gridCol w:w="1502"/>
        <w:gridCol w:w="2398"/>
        <w:gridCol w:w="774"/>
        <w:gridCol w:w="775"/>
        <w:gridCol w:w="888"/>
        <w:gridCol w:w="2378"/>
        <w:gridCol w:w="1188"/>
      </w:tblGrid>
      <w:tr>
        <w:tblPrEx>
          <w:shd w:val="clear" w:color="auto" w:fill="auto"/>
          <w:tblCellMar>
            <w:top w:w="0" w:type="dxa"/>
            <w:left w:w="0" w:type="dxa"/>
            <w:bottom w:w="0" w:type="dxa"/>
            <w:right w:w="0" w:type="dxa"/>
          </w:tblCellMar>
        </w:tblPrEx>
        <w:trPr>
          <w:cantSplit/>
          <w:trHeight w:val="90" w:hRule="atLeast"/>
          <w:tblHeader/>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b/>
                <w:color w:val="000000" w:themeColor="text1"/>
                <w:kern w:val="0"/>
                <w:sz w:val="21"/>
                <w:szCs w:val="21"/>
                <w14:textFill>
                  <w14:solidFill>
                    <w14:schemeClr w14:val="tx1"/>
                  </w14:solidFill>
                </w14:textFill>
              </w:rPr>
            </w:pPr>
            <w:r>
              <w:rPr>
                <w:rFonts w:hint="default" w:ascii="Times New Roman" w:hAnsi="Times New Roman" w:cs="Times New Roman" w:eastAsiaTheme="minorEastAsia"/>
                <w:b/>
                <w:color w:val="000000" w:themeColor="text1"/>
                <w:kern w:val="0"/>
                <w:sz w:val="21"/>
                <w:szCs w:val="21"/>
                <w:lang w:val="en-US" w:eastAsia="zh-CN"/>
                <w14:textFill>
                  <w14:solidFill>
                    <w14:schemeClr w14:val="tx1"/>
                  </w14:solidFill>
                </w14:textFill>
              </w:rPr>
              <w:t>重要性序号</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eastAsiaTheme="minorEastAsia"/>
                <w:b/>
                <w:color w:val="000000" w:themeColor="text1"/>
                <w:kern w:val="0"/>
                <w:sz w:val="21"/>
                <w:szCs w:val="21"/>
                <w14:textFill>
                  <w14:solidFill>
                    <w14:schemeClr w14:val="tx1"/>
                  </w14:solidFill>
                </w14:textFill>
              </w:rPr>
            </w:pPr>
            <w:r>
              <w:rPr>
                <w:rFonts w:hint="eastAsia" w:ascii="Times New Roman" w:hAnsi="Times New Roman" w:cs="Times New Roman" w:eastAsiaTheme="minorEastAsia"/>
                <w:b/>
                <w:color w:val="000000" w:themeColor="text1"/>
                <w:kern w:val="0"/>
                <w:sz w:val="21"/>
                <w:szCs w:val="21"/>
                <w:lang w:val="en-US" w:eastAsia="zh-CN"/>
                <w14:textFill>
                  <w14:solidFill>
                    <w14:schemeClr w14:val="tx1"/>
                  </w14:solidFill>
                </w14:textFill>
              </w:rPr>
              <w:t>项目名称</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eastAsiaTheme="minorEastAsia"/>
                <w:b/>
                <w:color w:val="000000" w:themeColor="text1"/>
                <w:kern w:val="0"/>
                <w:sz w:val="21"/>
                <w:szCs w:val="21"/>
                <w14:textFill>
                  <w14:solidFill>
                    <w14:schemeClr w14:val="tx1"/>
                  </w14:solidFill>
                </w14:textFill>
              </w:rPr>
            </w:pPr>
            <w:r>
              <w:rPr>
                <w:rFonts w:hint="eastAsia" w:ascii="Times New Roman" w:hAnsi="Times New Roman" w:cs="Times New Roman" w:eastAsiaTheme="minorEastAsia"/>
                <w:b/>
                <w:color w:val="000000" w:themeColor="text1"/>
                <w:kern w:val="0"/>
                <w:sz w:val="21"/>
                <w:szCs w:val="21"/>
                <w:lang w:val="en-US" w:eastAsia="zh-CN"/>
                <w14:textFill>
                  <w14:solidFill>
                    <w14:schemeClr w14:val="tx1"/>
                  </w14:solidFill>
                </w14:textFill>
              </w:rPr>
              <w:t>所属领域</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eastAsiaTheme="minorEastAsia"/>
                <w:b/>
                <w:color w:val="000000" w:themeColor="text1"/>
                <w:kern w:val="0"/>
                <w:sz w:val="21"/>
                <w:szCs w:val="21"/>
                <w14:textFill>
                  <w14:solidFill>
                    <w14:schemeClr w14:val="tx1"/>
                  </w14:solidFill>
                </w14:textFill>
              </w:rPr>
            </w:pPr>
            <w:r>
              <w:rPr>
                <w:rFonts w:hint="eastAsia" w:ascii="Times New Roman" w:hAnsi="Times New Roman" w:cs="Times New Roman" w:eastAsiaTheme="minorEastAsia"/>
                <w:b/>
                <w:color w:val="000000" w:themeColor="text1"/>
                <w:kern w:val="0"/>
                <w:sz w:val="21"/>
                <w:szCs w:val="21"/>
                <w:lang w:val="en-US" w:eastAsia="zh-CN"/>
                <w14:textFill>
                  <w14:solidFill>
                    <w14:schemeClr w14:val="tx1"/>
                  </w14:solidFill>
                </w14:textFill>
              </w:rPr>
              <w:t>建设性质</w:t>
            </w:r>
          </w:p>
        </w:tc>
        <w:tc>
          <w:tcPr>
            <w:tcW w:w="4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eastAsiaTheme="minorEastAsia"/>
                <w:b/>
                <w:color w:val="000000" w:themeColor="text1"/>
                <w:kern w:val="0"/>
                <w:sz w:val="21"/>
                <w:szCs w:val="21"/>
                <w14:textFill>
                  <w14:solidFill>
                    <w14:schemeClr w14:val="tx1"/>
                  </w14:solidFill>
                </w14:textFill>
              </w:rPr>
            </w:pPr>
            <w:r>
              <w:rPr>
                <w:rFonts w:hint="eastAsia" w:ascii="Times New Roman" w:hAnsi="Times New Roman" w:cs="Times New Roman" w:eastAsiaTheme="minorEastAsia"/>
                <w:b/>
                <w:color w:val="000000" w:themeColor="text1"/>
                <w:kern w:val="0"/>
                <w:sz w:val="21"/>
                <w:szCs w:val="21"/>
                <w:lang w:val="en-US" w:eastAsia="zh-CN"/>
                <w14:textFill>
                  <w14:solidFill>
                    <w14:schemeClr w14:val="tx1"/>
                  </w14:solidFill>
                </w14:textFill>
              </w:rPr>
              <w:t>建设地点</w:t>
            </w:r>
          </w:p>
        </w:tc>
        <w:tc>
          <w:tcPr>
            <w:tcW w:w="759"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eastAsiaTheme="minorEastAsia"/>
                <w:b/>
                <w:color w:val="000000" w:themeColor="text1"/>
                <w:kern w:val="0"/>
                <w:sz w:val="21"/>
                <w:szCs w:val="21"/>
                <w14:textFill>
                  <w14:solidFill>
                    <w14:schemeClr w14:val="tx1"/>
                  </w14:solidFill>
                </w14:textFill>
              </w:rPr>
            </w:pPr>
            <w:r>
              <w:rPr>
                <w:rFonts w:hint="eastAsia" w:ascii="Times New Roman" w:hAnsi="Times New Roman" w:cs="Times New Roman" w:eastAsiaTheme="minorEastAsia"/>
                <w:b/>
                <w:color w:val="000000" w:themeColor="text1"/>
                <w:kern w:val="0"/>
                <w:sz w:val="21"/>
                <w:szCs w:val="21"/>
                <w:lang w:val="en-US" w:eastAsia="zh-CN"/>
                <w14:textFill>
                  <w14:solidFill>
                    <w14:schemeClr w14:val="tx1"/>
                  </w14:solidFill>
                </w14:textFill>
              </w:rPr>
              <w:t>主要建设内容及规模</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b/>
                <w:color w:val="000000" w:themeColor="text1"/>
                <w:kern w:val="0"/>
                <w:sz w:val="21"/>
                <w:szCs w:val="21"/>
                <w:lang w:val="en-US" w:eastAsia="zh-CN"/>
                <w14:textFill>
                  <w14:solidFill>
                    <w14:schemeClr w14:val="tx1"/>
                  </w14:solidFill>
                </w14:textFill>
              </w:rPr>
            </w:pPr>
            <w:r>
              <w:rPr>
                <w:rFonts w:hint="default" w:ascii="Times New Roman" w:hAnsi="Times New Roman" w:cs="Times New Roman" w:eastAsiaTheme="minorEastAsia"/>
                <w:b/>
                <w:color w:val="000000" w:themeColor="text1"/>
                <w:kern w:val="0"/>
                <w:sz w:val="21"/>
                <w:szCs w:val="21"/>
                <w:lang w:val="en-US" w:eastAsia="zh-CN"/>
                <w14:textFill>
                  <w14:solidFill>
                    <w14:schemeClr w14:val="tx1"/>
                  </w14:solidFill>
                </w14:textFill>
              </w:rPr>
              <w:t>开工</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b/>
                <w:color w:val="000000" w:themeColor="text1"/>
                <w:kern w:val="0"/>
                <w:sz w:val="21"/>
                <w:szCs w:val="21"/>
                <w14:textFill>
                  <w14:solidFill>
                    <w14:schemeClr w14:val="tx1"/>
                  </w14:solidFill>
                </w14:textFill>
              </w:rPr>
            </w:pPr>
            <w:r>
              <w:rPr>
                <w:rFonts w:hint="default" w:ascii="Times New Roman" w:hAnsi="Times New Roman" w:cs="Times New Roman" w:eastAsiaTheme="minorEastAsia"/>
                <w:b/>
                <w:color w:val="000000" w:themeColor="text1"/>
                <w:kern w:val="0"/>
                <w:sz w:val="21"/>
                <w:szCs w:val="21"/>
                <w:lang w:val="en-US" w:eastAsia="zh-CN"/>
                <w14:textFill>
                  <w14:solidFill>
                    <w14:schemeClr w14:val="tx1"/>
                  </w14:solidFill>
                </w14:textFill>
              </w:rPr>
              <w:t>年份</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b/>
                <w:color w:val="000000" w:themeColor="text1"/>
                <w:kern w:val="0"/>
                <w:sz w:val="21"/>
                <w:szCs w:val="21"/>
                <w14:textFill>
                  <w14:solidFill>
                    <w14:schemeClr w14:val="tx1"/>
                  </w14:solidFill>
                </w14:textFill>
              </w:rPr>
            </w:pPr>
            <w:r>
              <w:rPr>
                <w:rFonts w:hint="default" w:ascii="Times New Roman" w:hAnsi="Times New Roman" w:cs="Times New Roman" w:eastAsiaTheme="minorEastAsia"/>
                <w:b/>
                <w:color w:val="000000" w:themeColor="text1"/>
                <w:kern w:val="0"/>
                <w:sz w:val="21"/>
                <w:szCs w:val="21"/>
                <w:lang w:val="en-US" w:eastAsia="zh-CN"/>
                <w14:textFill>
                  <w14:solidFill>
                    <w14:schemeClr w14:val="tx1"/>
                  </w14:solidFill>
                </w14:textFill>
              </w:rPr>
              <w:t>建成年份</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b/>
                <w:color w:val="000000" w:themeColor="text1"/>
                <w:kern w:val="0"/>
                <w:sz w:val="21"/>
                <w:szCs w:val="21"/>
                <w14:textFill>
                  <w14:solidFill>
                    <w14:schemeClr w14:val="tx1"/>
                  </w14:solidFill>
                </w14:textFill>
              </w:rPr>
            </w:pPr>
            <w:r>
              <w:rPr>
                <w:rFonts w:hint="default" w:ascii="Times New Roman" w:hAnsi="Times New Roman" w:cs="Times New Roman" w:eastAsiaTheme="minorEastAsia"/>
                <w:b/>
                <w:color w:val="000000" w:themeColor="text1"/>
                <w:kern w:val="0"/>
                <w:sz w:val="21"/>
                <w:szCs w:val="21"/>
                <w:lang w:val="en-US" w:eastAsia="zh-CN"/>
                <w14:textFill>
                  <w14:solidFill>
                    <w14:schemeClr w14:val="tx1"/>
                  </w14:solidFill>
                </w14:textFill>
              </w:rPr>
              <w:t>总投资</w:t>
            </w:r>
            <w:r>
              <w:rPr>
                <w:rFonts w:hint="eastAsia" w:cs="Times New Roman" w:eastAsiaTheme="minorEastAsia"/>
                <w:b/>
                <w:color w:val="000000" w:themeColor="text1"/>
                <w:kern w:val="0"/>
                <w:sz w:val="18"/>
                <w:szCs w:val="18"/>
                <w:lang w:val="en-US" w:eastAsia="zh-CN"/>
                <w14:textFill>
                  <w14:solidFill>
                    <w14:schemeClr w14:val="tx1"/>
                  </w14:solidFill>
                </w14:textFill>
              </w:rPr>
              <w:t>（</w:t>
            </w:r>
            <w:r>
              <w:rPr>
                <w:rFonts w:hint="default" w:ascii="Times New Roman" w:hAnsi="Times New Roman" w:cs="Times New Roman" w:eastAsiaTheme="minorEastAsia"/>
                <w:b/>
                <w:color w:val="000000" w:themeColor="text1"/>
                <w:kern w:val="0"/>
                <w:sz w:val="18"/>
                <w:szCs w:val="18"/>
                <w:lang w:val="en-US" w:eastAsia="zh-CN"/>
                <w14:textFill>
                  <w14:solidFill>
                    <w14:schemeClr w14:val="tx1"/>
                  </w14:solidFill>
                </w14:textFill>
              </w:rPr>
              <w:t>亿元</w:t>
            </w:r>
            <w:r>
              <w:rPr>
                <w:rFonts w:hint="eastAsia" w:cs="Times New Roman" w:eastAsiaTheme="minorEastAsia"/>
                <w:b/>
                <w:color w:val="000000" w:themeColor="text1"/>
                <w:kern w:val="0"/>
                <w:sz w:val="18"/>
                <w:szCs w:val="18"/>
                <w:lang w:val="en-US" w:eastAsia="zh-CN"/>
                <w14:textFill>
                  <w14:solidFill>
                    <w14:schemeClr w14:val="tx1"/>
                  </w14:solidFill>
                </w14:textFill>
              </w:rPr>
              <w:t>）</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eastAsiaTheme="minorEastAsia"/>
                <w:b/>
                <w:color w:val="000000" w:themeColor="text1"/>
                <w:kern w:val="0"/>
                <w:sz w:val="21"/>
                <w:szCs w:val="21"/>
                <w14:textFill>
                  <w14:solidFill>
                    <w14:schemeClr w14:val="tx1"/>
                  </w14:solidFill>
                </w14:textFill>
              </w:rPr>
            </w:pPr>
            <w:r>
              <w:rPr>
                <w:rFonts w:hint="eastAsia" w:ascii="Times New Roman" w:hAnsi="Times New Roman" w:cs="Times New Roman" w:eastAsiaTheme="minorEastAsia"/>
                <w:b/>
                <w:color w:val="000000" w:themeColor="text1"/>
                <w:kern w:val="0"/>
                <w:sz w:val="21"/>
                <w:szCs w:val="21"/>
                <w:lang w:val="en-US" w:eastAsia="zh-CN"/>
                <w14:textFill>
                  <w14:solidFill>
                    <w14:schemeClr w14:val="tx1"/>
                  </w14:solidFill>
                </w14:textFill>
              </w:rPr>
              <w:t>项目达成的经济效益和社会效益</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eastAsiaTheme="minorEastAsia"/>
                <w:b/>
                <w:color w:val="000000" w:themeColor="text1"/>
                <w:kern w:val="0"/>
                <w:sz w:val="21"/>
                <w:szCs w:val="21"/>
                <w14:textFill>
                  <w14:solidFill>
                    <w14:schemeClr w14:val="tx1"/>
                  </w14:solidFill>
                </w14:textFill>
              </w:rPr>
            </w:pPr>
            <w:r>
              <w:rPr>
                <w:rFonts w:hint="eastAsia" w:ascii="Times New Roman" w:hAnsi="Times New Roman" w:cs="Times New Roman" w:eastAsiaTheme="minorEastAsia"/>
                <w:b/>
                <w:color w:val="000000" w:themeColor="text1"/>
                <w:kern w:val="0"/>
                <w:sz w:val="21"/>
                <w:szCs w:val="21"/>
                <w:lang w:val="en-US" w:eastAsia="zh-CN"/>
                <w14:textFill>
                  <w14:solidFill>
                    <w14:schemeClr w14:val="tx1"/>
                  </w14:solidFill>
                </w14:textFill>
              </w:rPr>
              <w:t>项目单位</w:t>
            </w:r>
          </w:p>
        </w:tc>
      </w:tr>
      <w:tr>
        <w:tblPrEx>
          <w:shd w:val="clear" w:color="auto" w:fill="auto"/>
          <w:tblCellMar>
            <w:top w:w="0" w:type="dxa"/>
            <w:left w:w="0" w:type="dxa"/>
            <w:bottom w:w="0" w:type="dxa"/>
            <w:right w:w="0" w:type="dxa"/>
          </w:tblCellMar>
        </w:tblPrEx>
        <w:trPr>
          <w:cantSplit/>
          <w:trHeight w:val="593" w:hRule="atLeast"/>
          <w:tblHeader/>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一</w:t>
            </w:r>
          </w:p>
        </w:tc>
        <w:tc>
          <w:tcPr>
            <w:tcW w:w="734"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lang w:val="en-US" w:eastAsia="zh-CN"/>
                <w14:textFill>
                  <w14:solidFill>
                    <w14:schemeClr w14:val="tx1"/>
                  </w14:solidFill>
                </w14:textFill>
              </w:rPr>
              <w:t>粮食与重要农产品生产基地建设工程</w:t>
            </w:r>
          </w:p>
        </w:tc>
        <w:tc>
          <w:tcPr>
            <w:tcW w:w="607"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47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759"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b/>
                <w:bCs/>
                <w:color w:val="000000" w:themeColor="text1"/>
                <w:kern w:val="0"/>
                <w:sz w:val="21"/>
                <w:szCs w:val="21"/>
                <w:highlight w:val="none"/>
                <w:lang w:val="en-US" w:eastAsia="zh-CN"/>
                <w14:textFill>
                  <w14:solidFill>
                    <w14:schemeClr w14:val="tx1"/>
                  </w14:solidFill>
                </w14:textFill>
              </w:rPr>
              <w:t>61.40</w:t>
            </w:r>
          </w:p>
        </w:tc>
        <w:tc>
          <w:tcPr>
            <w:tcW w:w="753"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cantSplit/>
          <w:trHeight w:val="380" w:hRule="atLeast"/>
          <w:tblHeader/>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（一）</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高标准农田建设项目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4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759"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cantSplit/>
          <w:trHeight w:val="1288" w:hRule="atLeast"/>
          <w:tblHeader/>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1</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潜江市高标准农田建设项目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粮食与重要农产品生产基地建设工程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新建、改建</w:t>
            </w:r>
          </w:p>
        </w:tc>
        <w:tc>
          <w:tcPr>
            <w:tcW w:w="4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759"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建设高标准农田</w:t>
            </w: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40</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万亩，</w:t>
            </w: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其中</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新建18万亩</w:t>
            </w:r>
            <w:r>
              <w:rPr>
                <w:rFonts w:hint="eastAsia" w:asciiTheme="minorEastAsia" w:hAnsiTheme="minorEastAsia" w:eastAsiaTheme="minorEastAsia" w:cstheme="minorEastAsia"/>
                <w:color w:val="000000" w:themeColor="text1"/>
                <w:ker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提质改造高标准农田22万亩</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8.00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改善农业生产条件，提高农业生产能力，年新增粮食产能3万吨以上。</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市农业农村局，各区、镇、街道</w:t>
            </w:r>
          </w:p>
        </w:tc>
      </w:tr>
      <w:tr>
        <w:tblPrEx>
          <w:shd w:val="clear" w:color="auto" w:fill="auto"/>
          <w:tblCellMar>
            <w:top w:w="0" w:type="dxa"/>
            <w:left w:w="0" w:type="dxa"/>
            <w:bottom w:w="0" w:type="dxa"/>
            <w:right w:w="0" w:type="dxa"/>
          </w:tblCellMar>
        </w:tblPrEx>
        <w:trPr>
          <w:cantSplit/>
          <w:trHeight w:val="628" w:hRule="atLeast"/>
          <w:tblHeader/>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（二）</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重要农产品生产基地建设项目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4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759"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cantSplit/>
          <w:trHeight w:val="1480" w:hRule="atLeast"/>
          <w:tblHeader/>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2</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潜江市虾稻共作生产基地建设项目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粮食与重要农产品生产基地建设工程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改建</w:t>
            </w:r>
          </w:p>
        </w:tc>
        <w:tc>
          <w:tcPr>
            <w:tcW w:w="4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759"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实施生产道路、沟渠、泵站、涵闸、农用桥梁的改造、升级工作。改造面积85万亩。</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2023</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13.50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提高潜江龙虾、潜江虾稻产品竞争力，亩平年增收1000元以上。</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市农业农村局，市农业发展中心，各区、镇、街道</w:t>
            </w:r>
          </w:p>
        </w:tc>
      </w:tr>
      <w:tr>
        <w:tblPrEx>
          <w:tblCellMar>
            <w:top w:w="0" w:type="dxa"/>
            <w:left w:w="0" w:type="dxa"/>
            <w:bottom w:w="0" w:type="dxa"/>
            <w:right w:w="0" w:type="dxa"/>
          </w:tblCellMar>
        </w:tblPrEx>
        <w:trPr>
          <w:cantSplit/>
          <w:trHeight w:val="1440" w:hRule="atLeast"/>
          <w:tblHeader/>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3</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潜江市富硒虾稻基地建设项目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粮食与重要农产品生产基地建设工程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改建</w:t>
            </w:r>
          </w:p>
        </w:tc>
        <w:tc>
          <w:tcPr>
            <w:tcW w:w="4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运粮湖管理区</w:t>
            </w:r>
          </w:p>
        </w:tc>
        <w:tc>
          <w:tcPr>
            <w:tcW w:w="759"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改造虾稻基地4万亩，开展道路、渠道、土地平整等改造升级。</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2023</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0.80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提高潜江龙虾、潜江虾稻产品竞争力，亩平年增收1500元以上。</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市农业农村局，市农业发展中心，运粮湖管理区</w:t>
            </w:r>
          </w:p>
        </w:tc>
      </w:tr>
    </w:tbl>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sectPr>
          <w:footerReference r:id="rId9" w:type="default"/>
          <w:pgSz w:w="16838" w:h="11906" w:orient="landscape"/>
          <w:pgMar w:top="720" w:right="720" w:bottom="720" w:left="720" w:header="851" w:footer="992" w:gutter="0"/>
          <w:pgNumType w:fmt="decimal" w:start="87"/>
          <w:cols w:space="0" w:num="1"/>
          <w:rtlGutter w:val="0"/>
          <w:docGrid w:type="lines" w:linePitch="436" w:charSpace="0"/>
        </w:sectPr>
      </w:pPr>
    </w:p>
    <w:tbl>
      <w:tblPr>
        <w:tblStyle w:val="24"/>
        <w:tblW w:w="5050" w:type="pct"/>
        <w:jc w:val="center"/>
        <w:shd w:val="clear" w:color="auto" w:fill="auto"/>
        <w:tblLayout w:type="fixed"/>
        <w:tblCellMar>
          <w:top w:w="0" w:type="dxa"/>
          <w:left w:w="0" w:type="dxa"/>
          <w:bottom w:w="0" w:type="dxa"/>
          <w:right w:w="0" w:type="dxa"/>
        </w:tblCellMar>
      </w:tblPr>
      <w:tblGrid>
        <w:gridCol w:w="869"/>
        <w:gridCol w:w="2317"/>
        <w:gridCol w:w="1919"/>
        <w:gridCol w:w="774"/>
        <w:gridCol w:w="1338"/>
        <w:gridCol w:w="2562"/>
        <w:gridCol w:w="774"/>
        <w:gridCol w:w="775"/>
        <w:gridCol w:w="888"/>
        <w:gridCol w:w="2378"/>
        <w:gridCol w:w="1188"/>
      </w:tblGrid>
      <w:tr>
        <w:tblPrEx>
          <w:shd w:val="clear" w:color="auto" w:fill="auto"/>
          <w:tblCellMar>
            <w:top w:w="0" w:type="dxa"/>
            <w:left w:w="0" w:type="dxa"/>
            <w:bottom w:w="0" w:type="dxa"/>
            <w:right w:w="0" w:type="dxa"/>
          </w:tblCellMar>
        </w:tblPrEx>
        <w:trPr>
          <w:trHeight w:val="1636"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4</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潜江市高蛋白大豆基地建设项目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粮食与重要农产品生产基地建设工程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新建、改建</w:t>
            </w:r>
          </w:p>
        </w:tc>
        <w:tc>
          <w:tcPr>
            <w:tcW w:w="42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高石碑镇、王场镇、周矶街道、竹根滩镇、杨市街道等地</w:t>
            </w:r>
          </w:p>
        </w:tc>
        <w:tc>
          <w:tcPr>
            <w:tcW w:w="81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实施生产道路、沟渠、泵站、涵闸、农用桥梁的改造、升级工作。改建面积15万亩。</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2023</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3.00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提高潜江大豆品牌竞争力，亩平年增收300元以上。</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市农业农村局，相关镇、街道</w:t>
            </w:r>
          </w:p>
        </w:tc>
      </w:tr>
      <w:tr>
        <w:tblPrEx>
          <w:shd w:val="clear" w:color="auto" w:fill="auto"/>
          <w:tblCellMar>
            <w:top w:w="0" w:type="dxa"/>
            <w:left w:w="0" w:type="dxa"/>
            <w:bottom w:w="0" w:type="dxa"/>
            <w:right w:w="0" w:type="dxa"/>
          </w:tblCellMar>
        </w:tblPrEx>
        <w:trPr>
          <w:trHeight w:val="9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5</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潜江市道地药材潜江半夏基地建设项目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粮食与重要农产品生产基地建设工程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新建、改建</w:t>
            </w:r>
          </w:p>
        </w:tc>
        <w:tc>
          <w:tcPr>
            <w:tcW w:w="42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竹根滩镇、周矶街道、周矶管理区、王场镇、高石碑镇等地</w:t>
            </w:r>
          </w:p>
        </w:tc>
        <w:tc>
          <w:tcPr>
            <w:tcW w:w="81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实施生产道路、沟渠、泵站、涵闸、农用桥梁的改造、升级工作。改造面积2万亩。</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2023</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0.80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提高潜江半夏品牌竞争力，亩平年增收2000元以上。</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市农业农村局，相关区、镇、街道</w:t>
            </w:r>
          </w:p>
        </w:tc>
      </w:tr>
      <w:tr>
        <w:tblPrEx>
          <w:shd w:val="clear" w:color="auto" w:fill="auto"/>
          <w:tblCellMar>
            <w:top w:w="0" w:type="dxa"/>
            <w:left w:w="0" w:type="dxa"/>
            <w:bottom w:w="0" w:type="dxa"/>
            <w:right w:w="0" w:type="dxa"/>
          </w:tblCellMar>
        </w:tblPrEx>
        <w:trPr>
          <w:trHeight w:val="176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6</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潜江市水果基地设施建设项目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粮食与重要农产品生产基地建设工程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改建</w:t>
            </w:r>
          </w:p>
        </w:tc>
        <w:tc>
          <w:tcPr>
            <w:tcW w:w="42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高石碑镇、王场镇、后湖管理区、熊口镇、熊口管理区、龙湾镇、白鹭湖管理区等地</w:t>
            </w:r>
          </w:p>
        </w:tc>
        <w:tc>
          <w:tcPr>
            <w:tcW w:w="81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实施生产道路、沟渠、泵站、涵闸、农用桥梁的改造、升级工作，建设高标准水果生产基地，改造面积10万亩。</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5.00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提高水果产品竞争力，亩平年增收800元以上。</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市农业农村局，相关区、镇、街道</w:t>
            </w:r>
          </w:p>
        </w:tc>
      </w:tr>
      <w:tr>
        <w:tblPrEx>
          <w:tblCellMar>
            <w:top w:w="0" w:type="dxa"/>
            <w:left w:w="0" w:type="dxa"/>
            <w:bottom w:w="0" w:type="dxa"/>
            <w:right w:w="0" w:type="dxa"/>
          </w:tblCellMar>
        </w:tblPrEx>
        <w:trPr>
          <w:trHeight w:val="172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7</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潜江市蔬菜基地设施建设项目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粮食与重要农产品生产基地建设工程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改建</w:t>
            </w:r>
          </w:p>
        </w:tc>
        <w:tc>
          <w:tcPr>
            <w:tcW w:w="42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高石碑镇、竹根滩镇、王场镇、周矶管理区、周矶街道、渔洋、总口管理区、熊口管理区</w:t>
            </w:r>
          </w:p>
        </w:tc>
        <w:tc>
          <w:tcPr>
            <w:tcW w:w="81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实施生产道路、沟渠、泵站、涵闸、农用桥梁的改造、升级工作，建设高标准蔬菜生产基地，改造面积5万亩。</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3.00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提高蔬菜产品竞争力，亩平年增收1000元以上。</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市农业农村局，相关区、镇、街道</w:t>
            </w:r>
          </w:p>
        </w:tc>
      </w:tr>
    </w:tbl>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sectPr>
          <w:footerReference r:id="rId10" w:type="default"/>
          <w:pgSz w:w="16838" w:h="11906" w:orient="landscape"/>
          <w:pgMar w:top="720" w:right="720" w:bottom="720" w:left="720" w:header="851" w:footer="992" w:gutter="0"/>
          <w:pgNumType w:fmt="decimal"/>
          <w:cols w:space="0" w:num="1"/>
          <w:rtlGutter w:val="0"/>
          <w:docGrid w:type="lines" w:linePitch="436" w:charSpace="0"/>
        </w:sectPr>
      </w:pPr>
    </w:p>
    <w:tbl>
      <w:tblPr>
        <w:tblStyle w:val="24"/>
        <w:tblW w:w="5050" w:type="pct"/>
        <w:jc w:val="center"/>
        <w:shd w:val="clear" w:color="auto" w:fill="auto"/>
        <w:tblLayout w:type="fixed"/>
        <w:tblCellMar>
          <w:top w:w="0" w:type="dxa"/>
          <w:left w:w="0" w:type="dxa"/>
          <w:bottom w:w="0" w:type="dxa"/>
          <w:right w:w="0" w:type="dxa"/>
        </w:tblCellMar>
      </w:tblPr>
      <w:tblGrid>
        <w:gridCol w:w="870"/>
        <w:gridCol w:w="2317"/>
        <w:gridCol w:w="1919"/>
        <w:gridCol w:w="773"/>
        <w:gridCol w:w="1168"/>
        <w:gridCol w:w="2732"/>
        <w:gridCol w:w="773"/>
        <w:gridCol w:w="773"/>
        <w:gridCol w:w="889"/>
        <w:gridCol w:w="2377"/>
        <w:gridCol w:w="1189"/>
      </w:tblGrid>
      <w:tr>
        <w:tblPrEx>
          <w:shd w:val="clear" w:color="auto" w:fill="auto"/>
          <w:tblCellMar>
            <w:top w:w="0" w:type="dxa"/>
            <w:left w:w="0" w:type="dxa"/>
            <w:bottom w:w="0" w:type="dxa"/>
            <w:right w:w="0" w:type="dxa"/>
          </w:tblCellMar>
        </w:tblPrEx>
        <w:trPr>
          <w:trHeight w:val="186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8</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潜江市肉鸡养殖场升级改造建设项目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粮食与重要农产品生产基地建设工程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改建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对现有肉鸡养殖场进行升级改造，加强疫病防控能力建设。建成2个种养循环利用示范养殖基地、创建2家美丽鸡场。建成1座产能5万吨有机肥厂，配套建设1家集中处理中心。</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提高肉鸡质量安全水平、产品竞争力，销售价格提高10%以上。</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市农业农村局，各区、镇、街道</w:t>
            </w:r>
          </w:p>
        </w:tc>
      </w:tr>
      <w:tr>
        <w:tblPrEx>
          <w:shd w:val="clear" w:color="auto" w:fill="auto"/>
          <w:tblCellMar>
            <w:top w:w="0" w:type="dxa"/>
            <w:left w:w="0" w:type="dxa"/>
            <w:bottom w:w="0" w:type="dxa"/>
            <w:right w:w="0" w:type="dxa"/>
          </w:tblCellMar>
        </w:tblPrEx>
        <w:trPr>
          <w:trHeight w:val="190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9</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潜江市生猪养殖场升级改造建设项目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粮食与重要农产品生产基地建设工程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改建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对现有生猪养殖场进行升级改造，加强疫病防控能力建设。建成10个种养循环利用示范养殖基地、创建10家美丽猪场。建成1座产能30万吨有机肥厂，配套建设3-4家集中处理中心。</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10.00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提高生猪质量安全水平、产品竞争力，销售价格提高10%以上。</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市农业农村局，相关区、镇、街道</w:t>
            </w:r>
          </w:p>
        </w:tc>
      </w:tr>
      <w:tr>
        <w:tblPrEx>
          <w:shd w:val="clear" w:color="auto" w:fill="auto"/>
          <w:tblCellMar>
            <w:top w:w="0" w:type="dxa"/>
            <w:left w:w="0" w:type="dxa"/>
            <w:bottom w:w="0" w:type="dxa"/>
            <w:right w:w="0" w:type="dxa"/>
          </w:tblCellMar>
        </w:tblPrEx>
        <w:trPr>
          <w:trHeight w:val="122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10</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生猪标准化规模养殖场建设项目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粮食与重要农产品生产基地建设工程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周矶街道</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新建楼房养殖，占地面积15亩，计划总投资5亿元，项目分两期建设，一期为种猪区，年提供商品猪苗15万头，总设计存栏母猪6700头；二期为育肥区，年出栏肉猪15万头，配套建设生物安全和环保处理等各项设施。</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14:textFill>
                  <w14:solidFill>
                    <w14:schemeClr w14:val="tx1"/>
                  </w14:solidFill>
                </w14:textFill>
              </w:rPr>
              <w:t>2022</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yellow"/>
                <w:lang w:val="en-US" w:eastAsia="zh-CN"/>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14:textFill>
                  <w14:solidFill>
                    <w14:schemeClr w14:val="tx1"/>
                  </w14:solidFill>
                </w14:textFill>
              </w:rPr>
              <w:t>5.00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提高生猪产业化发展水平；提高生猪供给能力。</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周矶街道</w:t>
            </w:r>
          </w:p>
        </w:tc>
      </w:tr>
      <w:tr>
        <w:tblPrEx>
          <w:shd w:val="clear" w:color="auto" w:fill="auto"/>
          <w:tblCellMar>
            <w:top w:w="0" w:type="dxa"/>
            <w:left w:w="0" w:type="dxa"/>
            <w:bottom w:w="0" w:type="dxa"/>
            <w:right w:w="0" w:type="dxa"/>
          </w:tblCellMar>
        </w:tblPrEx>
        <w:trPr>
          <w:trHeight w:val="167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1</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潜江市淡水鱼养殖、特色水产养殖基地升级改造建设项目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粮食与重要农产品生产基地建设工程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改建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对现有淡水鱼、特色水产养殖基地进行升级改造，加强疫病防控能力建设。改造面积10万亩。</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10.00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提高淡水鱼和特色水产品质量与竞争力，亩平年增收1000元以上。</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市农业农村局，市农业发展中心，各区、镇、街道</w:t>
            </w:r>
          </w:p>
        </w:tc>
      </w:tr>
      <w:tr>
        <w:tblPrEx>
          <w:shd w:val="clear" w:color="auto" w:fill="auto"/>
          <w:tblCellMar>
            <w:top w:w="0" w:type="dxa"/>
            <w:left w:w="0" w:type="dxa"/>
            <w:bottom w:w="0" w:type="dxa"/>
            <w:right w:w="0" w:type="dxa"/>
          </w:tblCellMar>
        </w:tblPrEx>
        <w:trPr>
          <w:trHeight w:val="9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（三）</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退化及污染耕地治理建设项目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153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2</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潜江市受污染耕地安全利用治理项目</w:t>
            </w:r>
          </w:p>
        </w:tc>
        <w:tc>
          <w:tcPr>
            <w:tcW w:w="607"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粮食与重要农产品生产基地建设工程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竹根滩镇、泽口街道、广华街道、张金镇、运粮湖管理区</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对受污染的耕地，通过石灰调节、种植结构调整、增施有机肥、水分管理等措施，达到安全利用的目的。治理面积1万亩。</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0.30</w:t>
            </w: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提升耕地地力水平，亩平年增收500元以上。</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市农业农村局，相关区、镇、街道</w:t>
            </w:r>
          </w:p>
        </w:tc>
      </w:tr>
      <w:tr>
        <w:tblPrEx>
          <w:shd w:val="clear" w:color="auto" w:fill="auto"/>
          <w:tblCellMar>
            <w:top w:w="0" w:type="dxa"/>
            <w:left w:w="0" w:type="dxa"/>
            <w:bottom w:w="0" w:type="dxa"/>
            <w:right w:w="0" w:type="dxa"/>
          </w:tblCellMar>
        </w:tblPrEx>
        <w:trPr>
          <w:trHeight w:val="357"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二</w:t>
            </w:r>
          </w:p>
        </w:tc>
        <w:tc>
          <w:tcPr>
            <w:tcW w:w="734"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lang w:val="en-US" w:eastAsia="zh-CN"/>
                <w14:textFill>
                  <w14:solidFill>
                    <w14:schemeClr w14:val="tx1"/>
                  </w14:solidFill>
                </w14:textFill>
              </w:rPr>
              <w:t>乡村产业融合升级建设工程</w:t>
            </w:r>
          </w:p>
        </w:tc>
        <w:tc>
          <w:tcPr>
            <w:tcW w:w="607"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b/>
                <w:bCs/>
                <w:color w:val="000000" w:themeColor="text1"/>
                <w:kern w:val="0"/>
                <w:sz w:val="21"/>
                <w:szCs w:val="21"/>
                <w:lang w:val="en-US" w:eastAsia="zh-CN"/>
                <w14:textFill>
                  <w14:solidFill>
                    <w14:schemeClr w14:val="tx1"/>
                  </w14:solidFill>
                </w14:textFill>
              </w:rPr>
              <w:t>425.90</w:t>
            </w:r>
          </w:p>
        </w:tc>
        <w:tc>
          <w:tcPr>
            <w:tcW w:w="753"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49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（一）</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农产品仓储保鲜冷链物流设施建设项目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655"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3</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潜江市农产品仓储保鲜冷链设施建设项目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乡村产业融合升级建设工程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建设高标准的仓储保鲜库50万立方米及配套设施。</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10.00</w:t>
            </w: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解决农产品出村进城“最初一公里”问题，促进农产品高效流通。</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w:t>
            </w:r>
          </w:p>
        </w:tc>
      </w:tr>
      <w:tr>
        <w:tblPrEx>
          <w:shd w:val="clear" w:color="auto" w:fill="auto"/>
          <w:tblCellMar>
            <w:top w:w="0" w:type="dxa"/>
            <w:left w:w="0" w:type="dxa"/>
            <w:bottom w:w="0" w:type="dxa"/>
            <w:right w:w="0" w:type="dxa"/>
          </w:tblCellMar>
        </w:tblPrEx>
        <w:trPr>
          <w:trHeight w:val="1355"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kern w:val="0"/>
                <w:sz w:val="21"/>
                <w:szCs w:val="21"/>
                <w:highlight w:val="none"/>
                <w:lang w:val="en-US" w:eastAsia="zh-CN"/>
                <w14:textFill>
                  <w14:solidFill>
                    <w14:schemeClr w14:val="tx1"/>
                  </w14:solidFill>
                </w14:textFill>
              </w:rPr>
              <w:t>4</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潜江市农产品冷链物流中心建设项目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乡村产业融合升级建设工程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园林街道、后湖管理区、运粮湖管理区</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建设园林综合冷链物流中心、后湖水产品冷链物流中心、运粮湖临空高档农产品冷链物流中心。</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50.00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解决农产品冷藏保鲜问题，提高农产品市场竞争力。</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市农业农村局</w:t>
            </w:r>
          </w:p>
        </w:tc>
      </w:tr>
      <w:tr>
        <w:tblPrEx>
          <w:shd w:val="clear" w:color="auto" w:fill="auto"/>
          <w:tblCellMar>
            <w:top w:w="0" w:type="dxa"/>
            <w:left w:w="0" w:type="dxa"/>
            <w:bottom w:w="0" w:type="dxa"/>
            <w:right w:w="0" w:type="dxa"/>
          </w:tblCellMar>
        </w:tblPrEx>
        <w:trPr>
          <w:trHeight w:val="105"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（二）</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现代农业产业融合建设项目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355"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5</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潜江市国家、省级现代农业产业园建设项目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乡村产业融合升级建设工程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龙湾镇、熊口镇、渔洋镇、杨市街道、园林街道、泰丰街道，后湖管理区、高场街道、周矶街道、周矶街道</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续建潜江国家级、省级现代农业产业园基础设施。</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50.00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提供优质原料，开展综合利用加工，实现一二三产融合。年增加综合产值100亿元以上。</w:t>
            </w: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w:t>
            </w:r>
          </w:p>
        </w:tc>
      </w:tr>
      <w:tr>
        <w:tblPrEx>
          <w:shd w:val="clear" w:color="auto" w:fill="auto"/>
          <w:tblCellMar>
            <w:top w:w="0" w:type="dxa"/>
            <w:left w:w="0" w:type="dxa"/>
            <w:bottom w:w="0" w:type="dxa"/>
            <w:right w:w="0" w:type="dxa"/>
          </w:tblCellMar>
        </w:tblPrEx>
        <w:trPr>
          <w:trHeight w:val="214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6</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潜江市国家级、省级农产品加工园区建设项目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乡村产业融合升级建设工程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龙湾镇、熊口镇、杨市街道、园林街道、泰丰街道、后湖管理区、高场街道、周矶管理区、周矶街道、老新镇、运粮湖管理区等地</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续建潜江国家级、省级农产品加工园区基础设施。</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100.00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农产品加工能力提升，产品竞争力增强，企业效益提高。年新增加工产值100亿元以上，新增税收1亿元以上。</w:t>
            </w: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w:t>
            </w:r>
          </w:p>
        </w:tc>
      </w:tr>
      <w:tr>
        <w:tblPrEx>
          <w:shd w:val="clear" w:color="auto" w:fill="auto"/>
          <w:tblCellMar>
            <w:top w:w="0" w:type="dxa"/>
            <w:left w:w="0" w:type="dxa"/>
            <w:bottom w:w="0" w:type="dxa"/>
            <w:right w:w="0" w:type="dxa"/>
          </w:tblCellMar>
        </w:tblPrEx>
        <w:trPr>
          <w:trHeight w:val="9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7</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潜江市小龙虾餐饮园区建设</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乡村产业融合升级建设工程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园林街道、泰丰街道</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续建潜江龙虾餐饮园区，提档升级。</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2023</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提高潜江龙虾餐饮品牌知名度，带动三产业发展，促进产业融合。</w:t>
            </w: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w:t>
            </w:r>
          </w:p>
        </w:tc>
      </w:tr>
      <w:tr>
        <w:tblPrEx>
          <w:shd w:val="clear" w:color="auto" w:fill="auto"/>
          <w:tblCellMar>
            <w:top w:w="0" w:type="dxa"/>
            <w:left w:w="0" w:type="dxa"/>
            <w:bottom w:w="0" w:type="dxa"/>
            <w:right w:w="0" w:type="dxa"/>
          </w:tblCellMar>
        </w:tblPrEx>
        <w:trPr>
          <w:trHeight w:val="9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8</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潜江市现代农业装备制造和汽车配件产业园</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乡村产业融合升级建设工程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总口管理区</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重点引进现代农业装备制造和汽车零部件制造企业落户园区，其中现代农业装备制造企业3-5家，汽配产业企业18家，打造机械制造产业园区。</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30.00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新增产值50亿，税收8000万元，提供就业岗位2000个。</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市农业农村局，总口管理区</w:t>
            </w:r>
          </w:p>
        </w:tc>
      </w:tr>
      <w:tr>
        <w:tblPrEx>
          <w:shd w:val="clear" w:color="auto" w:fill="auto"/>
          <w:tblCellMar>
            <w:top w:w="0" w:type="dxa"/>
            <w:left w:w="0" w:type="dxa"/>
            <w:bottom w:w="0" w:type="dxa"/>
            <w:right w:w="0" w:type="dxa"/>
          </w:tblCellMar>
        </w:tblPrEx>
        <w:trPr>
          <w:trHeight w:val="382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1</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9</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潜江市虾谷小镇建设项目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乡村产业融合升级建设工程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后湖管理区</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总建筑规模40.2万平方米。投资建设内容有“虾谷 360”交易平台和虾谷快运体系建设；建筑面积 4.5 万平方米小龙虾交易中心建设；建筑面积 2.5 万平方米小龙虾聚集区现代物流配送中心建设；建筑面积4 万平方米 10 万吨冷链物流仓储中心建设；1000亩虾稻实训基地建设；2 万平方米澳虾繁育养殖基地建设；800亩虾谷农旅融合观光体验园建设。</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2024</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10.00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heme="minorEastAsia" w:hAnsiTheme="minorEastAsia" w:eastAsiaTheme="minorEastAsia" w:cstheme="minorEastAsia"/>
                <w:color w:val="000000" w:themeColor="text1"/>
                <w:kern w:val="0"/>
                <w:sz w:val="21"/>
                <w:szCs w:val="21"/>
                <w:lang w:val="en-US"/>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推进中国小龙虾交易中心扩规扩融建设潜网集团10万吨冷链仓储项目（虾谷智慧云仓），2022年潜网集团销售额力争突破120亿元，“十四五”期间冲刺500亿元。</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市农业农村局，后湖管理区，湖北潜网生态小龙虾产业园集团有限公司</w:t>
            </w:r>
          </w:p>
        </w:tc>
      </w:tr>
      <w:tr>
        <w:tblPrEx>
          <w:shd w:val="clear" w:color="auto" w:fill="auto"/>
          <w:tblCellMar>
            <w:top w:w="0" w:type="dxa"/>
            <w:left w:w="0" w:type="dxa"/>
            <w:bottom w:w="0" w:type="dxa"/>
            <w:right w:w="0" w:type="dxa"/>
          </w:tblCellMar>
        </w:tblPrEx>
        <w:trPr>
          <w:trHeight w:val="212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20</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潜江市半夏小镇建设项目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乡村产业融合升级建设工程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周矶管理区</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征地500亩新建饮片、中成药加工厂房，购置成套设备；新建中医疗、康旅用房，购置配套设备设施。</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2024</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5.00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打造特色小镇，促进半夏产业一二三产融合。</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市农业农村局，周矶管理区，潜江市潜半夏药业股份有限公司</w:t>
            </w:r>
          </w:p>
        </w:tc>
      </w:tr>
      <w:tr>
        <w:tblPrEx>
          <w:shd w:val="clear" w:color="auto" w:fill="auto"/>
          <w:tblCellMar>
            <w:top w:w="0" w:type="dxa"/>
            <w:left w:w="0" w:type="dxa"/>
            <w:bottom w:w="0" w:type="dxa"/>
            <w:right w:w="0" w:type="dxa"/>
          </w:tblCellMar>
        </w:tblPrEx>
        <w:trPr>
          <w:trHeight w:val="367"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2</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1</w:t>
            </w:r>
          </w:p>
        </w:tc>
        <w:tc>
          <w:tcPr>
            <w:tcW w:w="734"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潜江市生态康养小镇建设项目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乡村产业融合升级建设工程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积玉口镇</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依托借粮湖一体化农庄，建设2个康养度假社区和1个核心服务区，每个康养社区配有中央食堂、娱乐活动中心、室外运动场地、医务室、小超市、健身房、棋牌室等；核心服务区包含小型医院、商业小吃街、小型商业街、小型度假酒店。</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50.00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打造特色小镇，促进龙虾产业一二三产融合。</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市农业农村局，积玉口镇</w:t>
            </w:r>
          </w:p>
        </w:tc>
      </w:tr>
      <w:tr>
        <w:tblPrEx>
          <w:shd w:val="clear" w:color="auto" w:fill="auto"/>
          <w:tblCellMar>
            <w:top w:w="0" w:type="dxa"/>
            <w:left w:w="0" w:type="dxa"/>
            <w:bottom w:w="0" w:type="dxa"/>
            <w:right w:w="0" w:type="dxa"/>
          </w:tblCellMar>
        </w:tblPrEx>
        <w:trPr>
          <w:trHeight w:val="1087"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2</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2</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潜江市产业强镇建设项目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乡村产业融合升级建设工程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熊口镇</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续建熊口镇农业农村配套设施建设。</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2023</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打造熊口镇乡村振兴样板镇。</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市农业农村局、熊口镇</w:t>
            </w:r>
          </w:p>
        </w:tc>
      </w:tr>
      <w:tr>
        <w:tblPrEx>
          <w:shd w:val="clear" w:color="auto" w:fill="auto"/>
          <w:tblCellMar>
            <w:top w:w="0" w:type="dxa"/>
            <w:left w:w="0" w:type="dxa"/>
            <w:bottom w:w="0" w:type="dxa"/>
            <w:right w:w="0" w:type="dxa"/>
          </w:tblCellMar>
        </w:tblPrEx>
        <w:trPr>
          <w:trHeight w:val="9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2</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3</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潜江市旱地农业示范区建设项目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乡村产业融合升级建设工程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高石碑镇</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积极发展优质大豆、水果、蔬菜、潜江半夏等旱地作物，建设标准化生产示范基地。</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4.00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建成潜江旱地作物示范区，引领北部片区发展。</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市农业农村局、高石碑镇</w:t>
            </w:r>
          </w:p>
        </w:tc>
      </w:tr>
      <w:tr>
        <w:tblPrEx>
          <w:shd w:val="clear" w:color="auto" w:fill="auto"/>
          <w:tblCellMar>
            <w:top w:w="0" w:type="dxa"/>
            <w:left w:w="0" w:type="dxa"/>
            <w:bottom w:w="0" w:type="dxa"/>
            <w:right w:w="0" w:type="dxa"/>
          </w:tblCellMar>
        </w:tblPrEx>
        <w:trPr>
          <w:trHeight w:val="9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2</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4</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潜江市水田农业示范区建设项目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乡村产业融合升级建设工程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白鹭湖管理区</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发展高效种养模式，建设鱼池垂钓、桃花观赏、葡萄采摘等生产基地。</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2023</w:t>
            </w: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4.35</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建成集高效种养模式、鱼池垂钓、桃花观赏、葡萄采摘等农旅结合于一体的水田地区现代农业示范区。</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市农业农村局、白鹭湖管理区</w:t>
            </w:r>
          </w:p>
        </w:tc>
      </w:tr>
      <w:tr>
        <w:tblPrEx>
          <w:shd w:val="clear" w:color="auto" w:fill="auto"/>
          <w:tblCellMar>
            <w:top w:w="0" w:type="dxa"/>
            <w:left w:w="0" w:type="dxa"/>
            <w:bottom w:w="0" w:type="dxa"/>
            <w:right w:w="0" w:type="dxa"/>
          </w:tblCellMar>
        </w:tblPrEx>
        <w:trPr>
          <w:trHeight w:val="226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2</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5</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卓尔集团返湾湖湿地康养度假区项目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乡村产业融合升级建设工程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后湖管理区</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占地12000亩，建设内容包括水上漫游下环道、游客接待中心、国际垂钓中心、水上游乐中心、湿地康养别墅区、康疗中心、云梦五星级宾馆、章华综合体建设等。</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w:t>
            </w:r>
            <w:r>
              <w:rPr>
                <w:rFonts w:hint="eastAsia" w:cs="Times New Roman" w:eastAsiaTheme="minorEastAsia"/>
                <w:color w:val="000000" w:themeColor="text1"/>
                <w:kern w:val="0"/>
                <w:sz w:val="21"/>
                <w:szCs w:val="21"/>
                <w:lang w:val="en-US" w:eastAsia="zh-CN"/>
                <w14:textFill>
                  <w14:solidFill>
                    <w14:schemeClr w14:val="tx1"/>
                  </w14:solidFill>
                </w14:textFill>
              </w:rPr>
              <w:t>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16.00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建成4A级旅游景区。</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卓尔集团</w:t>
            </w:r>
          </w:p>
        </w:tc>
      </w:tr>
      <w:tr>
        <w:tblPrEx>
          <w:shd w:val="clear" w:color="auto" w:fill="auto"/>
          <w:tblCellMar>
            <w:top w:w="0" w:type="dxa"/>
            <w:left w:w="0" w:type="dxa"/>
            <w:bottom w:w="0" w:type="dxa"/>
            <w:right w:w="0" w:type="dxa"/>
          </w:tblCellMar>
        </w:tblPrEx>
        <w:trPr>
          <w:trHeight w:val="284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2</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6</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潜江市兴隆生态旅游区建设项目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乡村产业融合升级建设工程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高石碑镇</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建设休闲观光旅游平台，核心区600亩；现代康养产业平台，面积1000亩；现代生态农业平台，为户部巷前端卖场提供优质定制米、面、油、鱼、虾等农产品，面积1000亩；联合打造研学教育、产教融合平台，面积50亩；水上运动平台，面积100亩；地产开发服务平台，面积500亩。</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2024</w:t>
            </w: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10.00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建成4A级旅游景区。</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高石碑镇</w:t>
            </w:r>
          </w:p>
        </w:tc>
      </w:tr>
      <w:tr>
        <w:tblPrEx>
          <w:shd w:val="clear" w:color="auto" w:fill="auto"/>
          <w:tblCellMar>
            <w:top w:w="0" w:type="dxa"/>
            <w:left w:w="0" w:type="dxa"/>
            <w:bottom w:w="0" w:type="dxa"/>
            <w:right w:w="0" w:type="dxa"/>
          </w:tblCellMar>
        </w:tblPrEx>
        <w:trPr>
          <w:trHeight w:val="172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2</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7</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潜江市休闲农业建设项目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乡村产业融合升级建设工程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建设生态休闲旅游农场、汉江旅游码头、水上竞技体验区等项目。打造水杉风景带、生态农庄、湿地康养度假区、生态康养小镇、国家乡村公园。</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80.55</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发挥农业多功能性，增加农业、农民收入。</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市农业农村局，各区、镇、街道</w:t>
            </w:r>
          </w:p>
        </w:tc>
      </w:tr>
      <w:tr>
        <w:tblPrEx>
          <w:shd w:val="clear" w:color="auto" w:fill="auto"/>
          <w:tblCellMar>
            <w:top w:w="0" w:type="dxa"/>
            <w:left w:w="0" w:type="dxa"/>
            <w:bottom w:w="0" w:type="dxa"/>
            <w:right w:w="0" w:type="dxa"/>
          </w:tblCellMar>
        </w:tblPrEx>
        <w:trPr>
          <w:trHeight w:val="9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w:t>
            </w:r>
            <w:r>
              <w:rPr>
                <w:rFonts w:hint="eastAsia" w:cs="Times New Roman" w:eastAsiaTheme="minorEastAsia"/>
                <w:color w:val="000000" w:themeColor="text1"/>
                <w:kern w:val="0"/>
                <w:sz w:val="21"/>
                <w:szCs w:val="21"/>
                <w:lang w:val="en-US" w:eastAsia="zh-CN"/>
                <w14:textFill>
                  <w14:solidFill>
                    <w14:schemeClr w14:val="tx1"/>
                  </w14:solidFill>
                </w14:textFill>
              </w:rPr>
              <w:t>8</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潜江市农村双创基地建设项目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乡村产业融合升级建设工程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续建400个不同规模的双创平台和基地。</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为返乡留乡农民提供就地就近就业创业场所和平台，提供农民就业机会1万个，增加农民收入2亿元。</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市农业农村局，各区、镇、街道</w:t>
            </w:r>
          </w:p>
        </w:tc>
      </w:tr>
      <w:tr>
        <w:tblPrEx>
          <w:shd w:val="clear" w:color="auto" w:fill="auto"/>
          <w:tblCellMar>
            <w:top w:w="0" w:type="dxa"/>
            <w:left w:w="0" w:type="dxa"/>
            <w:bottom w:w="0" w:type="dxa"/>
            <w:right w:w="0" w:type="dxa"/>
          </w:tblCellMar>
        </w:tblPrEx>
        <w:trPr>
          <w:trHeight w:val="63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三</w:t>
            </w:r>
          </w:p>
        </w:tc>
        <w:tc>
          <w:tcPr>
            <w:tcW w:w="734"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lang w:val="en-US" w:eastAsia="zh-CN"/>
                <w14:textFill>
                  <w14:solidFill>
                    <w14:schemeClr w14:val="tx1"/>
                  </w14:solidFill>
                </w14:textFill>
              </w:rPr>
              <w:t>农业科技创新支撑提升建设工程</w:t>
            </w:r>
          </w:p>
        </w:tc>
        <w:tc>
          <w:tcPr>
            <w:tcW w:w="607"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pPr>
            <w:r>
              <w:rPr>
                <w:rFonts w:hint="eastAsia" w:cs="Times New Roman" w:eastAsiaTheme="minorEastAsia"/>
                <w:b/>
                <w:bCs/>
                <w:color w:val="000000" w:themeColor="text1"/>
                <w:kern w:val="0"/>
                <w:sz w:val="21"/>
                <w:szCs w:val="21"/>
                <w:highlight w:val="none"/>
                <w:lang w:val="en-US" w:eastAsia="zh-CN"/>
                <w14:textFill>
                  <w14:solidFill>
                    <w14:schemeClr w14:val="tx1"/>
                  </w14:solidFill>
                </w14:textFill>
              </w:rPr>
              <w:t>28.00</w:t>
            </w:r>
          </w:p>
        </w:tc>
        <w:tc>
          <w:tcPr>
            <w:tcW w:w="753"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558"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（一）</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现代种业提升建设项目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1268"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2</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9</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潜江市农作物良种示范推广</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农业科技创新支撑提升建设工程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每年推广粮食、经济作物、蔬菜、药材良种面积150万亩次。</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7.50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年新增产值3亿元，增加农民收入1.8亿元。</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市农业农村局、市农业发展中心，各区、镇、街道</w:t>
            </w:r>
          </w:p>
        </w:tc>
      </w:tr>
      <w:tr>
        <w:tblPrEx>
          <w:shd w:val="clear" w:color="auto" w:fill="auto"/>
          <w:tblCellMar>
            <w:top w:w="0" w:type="dxa"/>
            <w:left w:w="0" w:type="dxa"/>
            <w:bottom w:w="0" w:type="dxa"/>
            <w:right w:w="0" w:type="dxa"/>
          </w:tblCellMar>
        </w:tblPrEx>
        <w:trPr>
          <w:trHeight w:val="1855"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30</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潜江虾稻专用水稻品种选育项目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农业科技创新支撑提升建设工程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龙湾镇、渔洋镇等地</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开展虾稻品种选育、推广，年推广面积20万亩。</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0.50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年增产粮食2000万斤，增收4000万元。</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市农业农村局，相关区、镇、街道</w:t>
            </w:r>
          </w:p>
        </w:tc>
      </w:tr>
      <w:tr>
        <w:tblPrEx>
          <w:shd w:val="clear" w:color="auto" w:fill="auto"/>
          <w:tblCellMar>
            <w:top w:w="0" w:type="dxa"/>
            <w:left w:w="0" w:type="dxa"/>
            <w:bottom w:w="0" w:type="dxa"/>
            <w:right w:w="0" w:type="dxa"/>
          </w:tblCellMar>
        </w:tblPrEx>
        <w:trPr>
          <w:trHeight w:val="9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1</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潜江龙虾良种基地建设项目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农业科技创新支撑提升建设工程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积玉口镇、浩口镇、后湖管理区、熊口镇、龙湾镇、渔洋镇</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建设小龙虾良种繁育基地10万亩。</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3.00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为全市90万亩龙虾养殖基地提供种苗。</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市农业发展中心，相关区、镇</w:t>
            </w:r>
          </w:p>
        </w:tc>
      </w:tr>
      <w:tr>
        <w:tblPrEx>
          <w:shd w:val="clear" w:color="auto" w:fill="auto"/>
          <w:tblCellMar>
            <w:top w:w="0" w:type="dxa"/>
            <w:left w:w="0" w:type="dxa"/>
            <w:bottom w:w="0" w:type="dxa"/>
            <w:right w:w="0" w:type="dxa"/>
          </w:tblCellMar>
        </w:tblPrEx>
        <w:trPr>
          <w:trHeight w:val="1198"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2</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潜江大豆良种基地建设项目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农业科技创新支撑提升建设工程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竹根滩镇</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优质高蛋白大豆良种繁育基地面积4万亩。</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3.50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年提供优质大豆种子1000万斤，为农民增收1500万元。</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湖北潜汉生态农业科技有限公司</w:t>
            </w:r>
          </w:p>
        </w:tc>
      </w:tr>
      <w:tr>
        <w:tblPrEx>
          <w:shd w:val="clear" w:color="auto" w:fill="auto"/>
          <w:tblCellMar>
            <w:top w:w="0" w:type="dxa"/>
            <w:left w:w="0" w:type="dxa"/>
            <w:bottom w:w="0" w:type="dxa"/>
            <w:right w:w="0" w:type="dxa"/>
          </w:tblCellMar>
        </w:tblPrEx>
        <w:trPr>
          <w:trHeight w:val="9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3</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潜江半夏良种繁育基地建设项目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农业科技创新支撑提升建设工程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竹根滩镇、周矶管理区</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建设潜江半夏野生种质资源保护和国家区域性良种繁育基地2000亩。</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0.50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为全市半夏生产基地和周边地区提供200万斤种源。</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半夏生产企业</w:t>
            </w:r>
          </w:p>
        </w:tc>
      </w:tr>
      <w:tr>
        <w:tblPrEx>
          <w:shd w:val="clear" w:color="auto" w:fill="auto"/>
          <w:tblCellMar>
            <w:top w:w="0" w:type="dxa"/>
            <w:left w:w="0" w:type="dxa"/>
            <w:bottom w:w="0" w:type="dxa"/>
            <w:right w:w="0" w:type="dxa"/>
          </w:tblCellMar>
        </w:tblPrEx>
        <w:trPr>
          <w:trHeight w:val="608"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（二）</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农业科技创新能力条件建设项目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1592"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4</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潜江市设施农业科技示范基地建设</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农业科技创新支撑提升建设工程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建设设施园艺和设施养殖的连栋温室、 日光温室、塑料大棚、小拱棚（遮阳棚）等及环境安全型畜禽舍，配套物理植保技术装备或其他喷雾植保机械、物理增产技术装备、耕耙与灌溉类机械装置、湿帘降温系统等。规模1万亩。</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为全市现代农业发展提供科技示范、科技培训、科技教育基地。</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w:t>
            </w:r>
          </w:p>
        </w:tc>
      </w:tr>
      <w:tr>
        <w:tblPrEx>
          <w:shd w:val="clear" w:color="auto" w:fill="auto"/>
          <w:tblCellMar>
            <w:top w:w="0" w:type="dxa"/>
            <w:left w:w="0" w:type="dxa"/>
            <w:bottom w:w="0" w:type="dxa"/>
            <w:right w:w="0" w:type="dxa"/>
          </w:tblCellMar>
        </w:tblPrEx>
        <w:trPr>
          <w:trHeight w:val="116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5</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潜江市农业生产全程机械化提升项目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农业科技创新支撑提升建设工程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 xml:space="preserve">引进、示范、推广农业生产种植养殖过程的各类新型农机具。 </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10.00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年农机化率提高1个百分点。</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w:t>
            </w:r>
          </w:p>
        </w:tc>
      </w:tr>
      <w:tr>
        <w:tblPrEx>
          <w:shd w:val="clear" w:color="auto" w:fill="auto"/>
          <w:tblCellMar>
            <w:top w:w="0" w:type="dxa"/>
            <w:left w:w="0" w:type="dxa"/>
            <w:bottom w:w="0" w:type="dxa"/>
            <w:right w:w="0" w:type="dxa"/>
          </w:tblCellMar>
        </w:tblPrEx>
        <w:trPr>
          <w:trHeight w:val="1197"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6</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潜江市高素质农民培育工程项目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农业科技创新支撑提升建设工程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年培育高素质农民1000人。</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0.20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提高农民科技水平。</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heme="minorEastAsia" w:hAnsiTheme="minorEastAsia" w:eastAsiaTheme="minorEastAsia" w:cstheme="minorEastAsia"/>
                <w:color w:val="000000" w:themeColor="text1"/>
                <w:kern w:val="0"/>
                <w:sz w:val="21"/>
                <w:szCs w:val="21"/>
                <w:lang w:val="en-US"/>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市农业农村局、市农业发展中心及相关单位</w:t>
            </w:r>
          </w:p>
        </w:tc>
      </w:tr>
      <w:tr>
        <w:tblPrEx>
          <w:shd w:val="clear" w:color="auto" w:fill="auto"/>
          <w:tblCellMar>
            <w:top w:w="0" w:type="dxa"/>
            <w:left w:w="0" w:type="dxa"/>
            <w:bottom w:w="0" w:type="dxa"/>
            <w:right w:w="0" w:type="dxa"/>
          </w:tblCellMar>
        </w:tblPrEx>
        <w:trPr>
          <w:trHeight w:val="1157"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7</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潜江市农业新型经营主体培育建设项目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农业科技创新支撑提升建设工程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培育家庭农场、合作社、龙头企业、产业化联合体等农业新型经营主体，年增加50个以上。</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0.80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提高农业组织化程度。</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市农业农村局、市经管局</w:t>
            </w:r>
          </w:p>
        </w:tc>
      </w:tr>
      <w:tr>
        <w:tblPrEx>
          <w:shd w:val="clear" w:color="auto" w:fill="auto"/>
          <w:tblCellMar>
            <w:top w:w="0" w:type="dxa"/>
            <w:left w:w="0" w:type="dxa"/>
            <w:bottom w:w="0" w:type="dxa"/>
            <w:right w:w="0" w:type="dxa"/>
          </w:tblCellMar>
        </w:tblPrEx>
        <w:trPr>
          <w:trHeight w:val="53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四</w:t>
            </w:r>
          </w:p>
        </w:tc>
        <w:tc>
          <w:tcPr>
            <w:tcW w:w="734"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lang w:val="en-US" w:eastAsia="zh-CN"/>
                <w14:textFill>
                  <w14:solidFill>
                    <w14:schemeClr w14:val="tx1"/>
                  </w14:solidFill>
                </w14:textFill>
              </w:rPr>
              <w:t>农业绿色发展引领示范建设工程</w:t>
            </w:r>
          </w:p>
        </w:tc>
        <w:tc>
          <w:tcPr>
            <w:tcW w:w="607"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b/>
                <w:bCs/>
                <w:color w:val="000000" w:themeColor="text1"/>
                <w:kern w:val="0"/>
                <w:sz w:val="21"/>
                <w:szCs w:val="21"/>
                <w:lang w:val="en-US" w:eastAsia="zh-CN"/>
                <w14:textFill>
                  <w14:solidFill>
                    <w14:schemeClr w14:val="tx1"/>
                  </w14:solidFill>
                </w14:textFill>
              </w:rPr>
              <w:t>12.50</w:t>
            </w:r>
          </w:p>
        </w:tc>
        <w:tc>
          <w:tcPr>
            <w:tcW w:w="753"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63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（一）</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重点流域农业面源污染治理建设项目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94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8</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潜江市农业面源污染整治工程项目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农业绿色发展引领示范建设工程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对重点污染源进行整治，加强农药废弃物包装物和农膜回收。</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提升耕地地力水平，改善农村生产生活环境，提高居民生活幸福感</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w:t>
            </w:r>
          </w:p>
        </w:tc>
      </w:tr>
      <w:tr>
        <w:tblPrEx>
          <w:shd w:val="clear" w:color="auto" w:fill="auto"/>
          <w:tblCellMar>
            <w:top w:w="0" w:type="dxa"/>
            <w:left w:w="0" w:type="dxa"/>
            <w:bottom w:w="0" w:type="dxa"/>
            <w:right w:w="0" w:type="dxa"/>
          </w:tblCellMar>
        </w:tblPrEx>
        <w:trPr>
          <w:trHeight w:val="592"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39</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潜江市水产养殖尾水治理工程项目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农业绿色发展引领示范建设工程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建设生态沟渠、沉淀池、曝气池、过滤坝、生物净化池、底泥处理池和养殖废弃物辅助设施等。</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14:textFill>
                  <w14:solidFill>
                    <w14:schemeClr w14:val="tx1"/>
                  </w14:solidFill>
                </w14:textFill>
              </w:rPr>
              <w:t>3.00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水产养殖尾水达标排放，保护水域生态环境，助推生态宜居美丽乡村建设。</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市农业农村局、市农业发展中心</w:t>
            </w:r>
          </w:p>
        </w:tc>
      </w:tr>
      <w:tr>
        <w:tblPrEx>
          <w:shd w:val="clear" w:color="auto" w:fill="auto"/>
          <w:tblCellMar>
            <w:top w:w="0" w:type="dxa"/>
            <w:left w:w="0" w:type="dxa"/>
            <w:bottom w:w="0" w:type="dxa"/>
            <w:right w:w="0" w:type="dxa"/>
          </w:tblCellMar>
        </w:tblPrEx>
        <w:trPr>
          <w:trHeight w:val="592"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（二）</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畜禽粪肥利用种养结合建设项目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895"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40</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潜江市畜禽粪污综合利用建设项目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农业绿色发展引领示范建设工程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开展畜禽粪污综合利用，年使用面积10万亩。</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5.00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减少粪污污染，降低种养殖业成本，提高农产品品质。亩增收500元。</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市农业农村局</w:t>
            </w:r>
          </w:p>
        </w:tc>
      </w:tr>
      <w:tr>
        <w:tblPrEx>
          <w:shd w:val="clear" w:color="auto" w:fill="auto"/>
          <w:tblCellMar>
            <w:top w:w="0" w:type="dxa"/>
            <w:left w:w="0" w:type="dxa"/>
            <w:bottom w:w="0" w:type="dxa"/>
            <w:right w:w="0" w:type="dxa"/>
          </w:tblCellMar>
        </w:tblPrEx>
        <w:trPr>
          <w:trHeight w:val="128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41</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绿色种养循环农业试点县建设项目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农业绿色发展引领示范建设工程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每年投入1000万，整市推进开展粪肥就地消纳、就地还田，扶持一批企业、专业化服务组织等市场主体提供粪肥收集、处理、施用服务，构建1-2种粪肥还田组织运行模式。</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14:textFill>
                  <w14:solidFill>
                    <w14:schemeClr w14:val="tx1"/>
                  </w14:solidFill>
                </w14:textFill>
              </w:rPr>
              <w:t>0.50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带动全市粪肥基本还田，推动化肥减量化、促进耕地质量提升和农业绿色发展。</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市农业农村局、市农业发展中心</w:t>
            </w:r>
          </w:p>
        </w:tc>
      </w:tr>
      <w:tr>
        <w:tblPrEx>
          <w:shd w:val="clear" w:color="auto" w:fill="auto"/>
          <w:tblCellMar>
            <w:top w:w="0" w:type="dxa"/>
            <w:left w:w="0" w:type="dxa"/>
            <w:bottom w:w="0" w:type="dxa"/>
            <w:right w:w="0" w:type="dxa"/>
          </w:tblCellMar>
        </w:tblPrEx>
        <w:trPr>
          <w:trHeight w:val="547"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（三）</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长江水生生物保护建设项目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605"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4</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2</w:t>
            </w:r>
          </w:p>
        </w:tc>
        <w:tc>
          <w:tcPr>
            <w:tcW w:w="734"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汉江潜江段四大家鱼种质资源保护项目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农业绿色发展引领示范建设工程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汉江潜江段</w:t>
            </w: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1.落实退补禁补政策；2.每年开展增殖放流。</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3.00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保护汉江生态环境，保护汉江水生资源。</w:t>
            </w:r>
          </w:p>
        </w:tc>
        <w:tc>
          <w:tcPr>
            <w:tcW w:w="376"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市农业农村局</w:t>
            </w:r>
          </w:p>
        </w:tc>
      </w:tr>
      <w:tr>
        <w:tblPrEx>
          <w:shd w:val="clear" w:color="auto" w:fill="auto"/>
          <w:tblCellMar>
            <w:top w:w="0" w:type="dxa"/>
            <w:left w:w="0" w:type="dxa"/>
            <w:bottom w:w="0" w:type="dxa"/>
            <w:right w:w="0" w:type="dxa"/>
          </w:tblCellMar>
        </w:tblPrEx>
        <w:trPr>
          <w:trHeight w:val="64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五</w:t>
            </w:r>
          </w:p>
        </w:tc>
        <w:tc>
          <w:tcPr>
            <w:tcW w:w="734"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lang w:val="en-US" w:eastAsia="zh-CN"/>
                <w14:textFill>
                  <w14:solidFill>
                    <w14:schemeClr w14:val="tx1"/>
                  </w14:solidFill>
                </w14:textFill>
              </w:rPr>
              <w:t>农业安全生产保障建设工程</w:t>
            </w:r>
          </w:p>
        </w:tc>
        <w:tc>
          <w:tcPr>
            <w:tcW w:w="607"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b/>
                <w:bCs/>
                <w:color w:val="000000" w:themeColor="text1"/>
                <w:kern w:val="0"/>
                <w:sz w:val="21"/>
                <w:szCs w:val="21"/>
                <w:lang w:val="en-US" w:eastAsia="zh-CN"/>
                <w14:textFill>
                  <w14:solidFill>
                    <w14:schemeClr w14:val="tx1"/>
                  </w14:solidFill>
                </w14:textFill>
              </w:rPr>
              <w:t>2.45</w:t>
            </w:r>
          </w:p>
        </w:tc>
        <w:tc>
          <w:tcPr>
            <w:tcW w:w="753"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375"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（一）</w:t>
            </w:r>
          </w:p>
        </w:tc>
        <w:tc>
          <w:tcPr>
            <w:tcW w:w="734"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动植物保护建设项目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9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4</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3</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创建全国绿色防控示范县市</w:t>
            </w:r>
          </w:p>
        </w:tc>
        <w:tc>
          <w:tcPr>
            <w:tcW w:w="607"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农业安全生产保障建设工程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推广应用先进绿色防控技术，建设绿色农产品基地</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 xml:space="preserve">2025 </w:t>
            </w:r>
          </w:p>
        </w:tc>
        <w:tc>
          <w:tcPr>
            <w:tcW w:w="281"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1.00</w:t>
            </w: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确保农作物生产安全、农产品质量安全和农业生态环境安全，促进农业增产，农民增收。</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市农业农村局，市农业发展中心</w:t>
            </w:r>
          </w:p>
        </w:tc>
      </w:tr>
      <w:tr>
        <w:tblPrEx>
          <w:shd w:val="clear" w:color="auto" w:fill="auto"/>
          <w:tblCellMar>
            <w:top w:w="0" w:type="dxa"/>
            <w:left w:w="0" w:type="dxa"/>
            <w:bottom w:w="0" w:type="dxa"/>
            <w:right w:w="0" w:type="dxa"/>
          </w:tblCellMar>
        </w:tblPrEx>
        <w:trPr>
          <w:trHeight w:val="1227"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4</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4</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潜江市动物疫病防控建设项目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农业安全生产保障建设工程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推广应用先进绿色防控技术，建设畜禽绿色生产基地</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 xml:space="preserve">2025 </w:t>
            </w:r>
          </w:p>
        </w:tc>
        <w:tc>
          <w:tcPr>
            <w:tcW w:w="281"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1.00</w:t>
            </w: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确保养殖业生产安全、畜禽产品质量安全和农业生态环境安全，促进农业增产，农民增收。</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w:t>
            </w:r>
          </w:p>
        </w:tc>
      </w:tr>
      <w:tr>
        <w:tblPrEx>
          <w:shd w:val="clear" w:color="auto" w:fill="auto"/>
          <w:tblCellMar>
            <w:top w:w="0" w:type="dxa"/>
            <w:left w:w="0" w:type="dxa"/>
            <w:bottom w:w="0" w:type="dxa"/>
            <w:right w:w="0" w:type="dxa"/>
          </w:tblCellMar>
        </w:tblPrEx>
        <w:trPr>
          <w:trHeight w:val="605"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（二）</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农产品质量安全保障建设项目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922"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4</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5</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潜江市中药材产品检测和质量安全追溯平台建设项目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农业安全生产保障建设工程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周矶管理区</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征地20亩，建设检测检验用房，购置仪器设备和软件。</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 xml:space="preserve">2022 </w:t>
            </w:r>
          </w:p>
        </w:tc>
        <w:tc>
          <w:tcPr>
            <w:tcW w:w="281"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0.10</w:t>
            </w: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提高中药材质量监管水平。</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市农业农村局，周矶管理区</w:t>
            </w:r>
          </w:p>
        </w:tc>
      </w:tr>
      <w:tr>
        <w:tblPrEx>
          <w:shd w:val="clear" w:color="auto" w:fill="auto"/>
          <w:tblCellMar>
            <w:top w:w="0" w:type="dxa"/>
            <w:left w:w="0" w:type="dxa"/>
            <w:bottom w:w="0" w:type="dxa"/>
            <w:right w:w="0" w:type="dxa"/>
          </w:tblCellMar>
        </w:tblPrEx>
        <w:trPr>
          <w:trHeight w:val="9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4</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6</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潜江市农业综合执法能力提升建设项目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农业安全生产保障建设工程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园林街道</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配备完善执法装备；提升执法人员业务素质。</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 xml:space="preserve">2022 </w:t>
            </w:r>
          </w:p>
        </w:tc>
        <w:tc>
          <w:tcPr>
            <w:tcW w:w="281"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0.15</w:t>
            </w: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潜江农业综合执法能力提升建设，提高农资、农产品安全保障建设水平，确保农产品安全供给。</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市农业综合执法支队</w:t>
            </w:r>
          </w:p>
        </w:tc>
      </w:tr>
      <w:tr>
        <w:tblPrEx>
          <w:shd w:val="clear" w:color="auto" w:fill="auto"/>
          <w:tblCellMar>
            <w:top w:w="0" w:type="dxa"/>
            <w:left w:w="0" w:type="dxa"/>
            <w:bottom w:w="0" w:type="dxa"/>
            <w:right w:w="0" w:type="dxa"/>
          </w:tblCellMar>
        </w:tblPrEx>
        <w:trPr>
          <w:trHeight w:val="9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4</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7</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潜江市渔政执法装备建设项目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农业安全生产保障建设工程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王场镇</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渔政趸船1艘及配套简易码头1座、渔政执法艇1艘、无人机2架、视频监控系统1套。</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 xml:space="preserve">2022 </w:t>
            </w:r>
          </w:p>
        </w:tc>
        <w:tc>
          <w:tcPr>
            <w:tcW w:w="281"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0.20</w:t>
            </w: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通过项目的实施，确保汉江潜江段全面禁捕制度得到有效落实，使汉江渔业资源逐步恢复，水域生态环境逐步向好，达到人与自然和谐共生，社会经济绿色发展的目标。</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市农业综合执法支队</w:t>
            </w:r>
          </w:p>
        </w:tc>
      </w:tr>
      <w:tr>
        <w:tblPrEx>
          <w:shd w:val="clear" w:color="auto" w:fill="auto"/>
          <w:tblCellMar>
            <w:top w:w="0" w:type="dxa"/>
            <w:left w:w="0" w:type="dxa"/>
            <w:bottom w:w="0" w:type="dxa"/>
            <w:right w:w="0" w:type="dxa"/>
          </w:tblCellMar>
        </w:tblPrEx>
        <w:trPr>
          <w:trHeight w:val="505"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六</w:t>
            </w:r>
          </w:p>
        </w:tc>
        <w:tc>
          <w:tcPr>
            <w:tcW w:w="734"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lang w:val="en-US" w:eastAsia="zh-CN"/>
                <w14:textFill>
                  <w14:solidFill>
                    <w14:schemeClr w14:val="tx1"/>
                  </w14:solidFill>
                </w14:textFill>
              </w:rPr>
              <w:t>智慧农业和数字乡村建设工程</w:t>
            </w:r>
          </w:p>
        </w:tc>
        <w:tc>
          <w:tcPr>
            <w:tcW w:w="607"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b/>
                <w:bCs/>
                <w:color w:val="000000" w:themeColor="text1"/>
                <w:kern w:val="0"/>
                <w:sz w:val="21"/>
                <w:szCs w:val="21"/>
                <w:lang w:val="en-US" w:eastAsia="zh-CN"/>
                <w14:textFill>
                  <w14:solidFill>
                    <w14:schemeClr w14:val="tx1"/>
                  </w14:solidFill>
                </w14:textFill>
              </w:rPr>
              <w:t>3.05</w:t>
            </w:r>
          </w:p>
        </w:tc>
        <w:tc>
          <w:tcPr>
            <w:tcW w:w="753"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525"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（一）</w:t>
            </w:r>
          </w:p>
        </w:tc>
        <w:tc>
          <w:tcPr>
            <w:tcW w:w="734"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农业农村大数据平台建设项目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224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4</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8</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潜江市数字农业工程项目</w:t>
            </w:r>
          </w:p>
        </w:tc>
        <w:tc>
          <w:tcPr>
            <w:tcW w:w="607"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智慧农业和数字乡村建设工程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支持水稻、小龙虾、蔬菜等基地数字农业工程建设，构建天空地一体化观测体系，作物生产过程管理、大田物联网及农产品质量追溯系统，数字农业综合服务平台、农田基础设施建设及相关配套设备</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 xml:space="preserve">2025 </w:t>
            </w:r>
          </w:p>
        </w:tc>
        <w:tc>
          <w:tcPr>
            <w:tcW w:w="281"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2.00</w:t>
            </w: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有效监测水稻、蔬菜、小龙虾生长发育情况，科学田管，从而提升农产品质量，实现农田到餐桌全程可追溯，扩大农产品品牌影响力。</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w:t>
            </w:r>
          </w:p>
        </w:tc>
      </w:tr>
      <w:tr>
        <w:tblPrEx>
          <w:shd w:val="clear" w:color="auto" w:fill="auto"/>
          <w:tblCellMar>
            <w:top w:w="0" w:type="dxa"/>
            <w:left w:w="0" w:type="dxa"/>
            <w:bottom w:w="0" w:type="dxa"/>
            <w:right w:w="0" w:type="dxa"/>
          </w:tblCellMar>
        </w:tblPrEx>
        <w:trPr>
          <w:trHeight w:val="1492"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4</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9</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潜江市农资市场监管信息化平台建设</w:t>
            </w:r>
          </w:p>
        </w:tc>
        <w:tc>
          <w:tcPr>
            <w:tcW w:w="607"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智慧农业和数字乡村建设工程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300家</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 xml:space="preserve">2025 </w:t>
            </w:r>
          </w:p>
        </w:tc>
        <w:tc>
          <w:tcPr>
            <w:tcW w:w="281"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0.05</w:t>
            </w: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通过健全制度、分类柜台、配置电脑及扫码枪、监管软件，有效提高农资监管水平，确保农产品安全供给。</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w:t>
            </w:r>
          </w:p>
        </w:tc>
      </w:tr>
      <w:tr>
        <w:tblPrEx>
          <w:shd w:val="clear" w:color="auto" w:fill="auto"/>
          <w:tblCellMar>
            <w:top w:w="0" w:type="dxa"/>
            <w:left w:w="0" w:type="dxa"/>
            <w:bottom w:w="0" w:type="dxa"/>
            <w:right w:w="0" w:type="dxa"/>
          </w:tblCellMar>
        </w:tblPrEx>
        <w:trPr>
          <w:trHeight w:val="488"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（二）</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数字农业先导区建设项目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183"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color w:val="000000" w:themeColor="text1"/>
                <w:kern w:val="0"/>
                <w:sz w:val="21"/>
                <w:szCs w:val="21"/>
                <w:lang w:val="en-US" w:eastAsia="zh-CN"/>
                <w14:textFill>
                  <w14:solidFill>
                    <w14:schemeClr w14:val="tx1"/>
                  </w14:solidFill>
                </w14:textFill>
              </w:rPr>
              <w:t>50</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潜江市智慧农业项目</w:t>
            </w:r>
          </w:p>
        </w:tc>
        <w:tc>
          <w:tcPr>
            <w:tcW w:w="607"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智慧农业和数字乡村建设工程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充分应用现代信息技术成果，集成应用计算机与网络技术、物联网技术、音视频技术、3S技术、无线通信技术及专家智慧，开展农业生产指导、追溯、管理等。</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 xml:space="preserve">2025 </w:t>
            </w:r>
          </w:p>
        </w:tc>
        <w:tc>
          <w:tcPr>
            <w:tcW w:w="281"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1.00</w:t>
            </w: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提高农业生产经营效率，增加农民收入。</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w:t>
            </w:r>
          </w:p>
        </w:tc>
      </w:tr>
      <w:tr>
        <w:tblPrEx>
          <w:shd w:val="clear" w:color="auto" w:fill="auto"/>
          <w:tblCellMar>
            <w:top w:w="0" w:type="dxa"/>
            <w:left w:w="0" w:type="dxa"/>
            <w:bottom w:w="0" w:type="dxa"/>
            <w:right w:w="0" w:type="dxa"/>
          </w:tblCellMar>
        </w:tblPrEx>
        <w:trPr>
          <w:trHeight w:val="205"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七</w:t>
            </w:r>
          </w:p>
        </w:tc>
        <w:tc>
          <w:tcPr>
            <w:tcW w:w="734"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lang w:val="en-US" w:eastAsia="zh-CN"/>
                <w14:textFill>
                  <w14:solidFill>
                    <w14:schemeClr w14:val="tx1"/>
                  </w14:solidFill>
                </w14:textFill>
              </w:rPr>
              <w:t>农村基础设施建设工程</w:t>
            </w:r>
          </w:p>
        </w:tc>
        <w:tc>
          <w:tcPr>
            <w:tcW w:w="607"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eastAsia" w:cs="Times New Roman" w:eastAsiaTheme="minorEastAsia"/>
                <w:b/>
                <w:bCs/>
                <w:color w:val="000000" w:themeColor="text1"/>
                <w:kern w:val="0"/>
                <w:sz w:val="21"/>
                <w:szCs w:val="21"/>
                <w:highlight w:val="none"/>
                <w:lang w:val="en-US" w:eastAsia="zh-CN"/>
                <w14:textFill>
                  <w14:solidFill>
                    <w14:schemeClr w14:val="tx1"/>
                  </w14:solidFill>
                </w14:textFill>
              </w:rPr>
              <w:t>84</w:t>
            </w:r>
            <w:r>
              <w:rPr>
                <w:rFonts w:hint="eastAsia" w:ascii="Times New Roman" w:hAnsi="Times New Roman" w:cs="Times New Roman" w:eastAsiaTheme="minorEastAsia"/>
                <w:b/>
                <w:bCs/>
                <w:color w:val="000000" w:themeColor="text1"/>
                <w:kern w:val="0"/>
                <w:sz w:val="21"/>
                <w:szCs w:val="21"/>
                <w:highlight w:val="none"/>
                <w:lang w:val="en-US" w:eastAsia="zh-CN"/>
                <w14:textFill>
                  <w14:solidFill>
                    <w14:schemeClr w14:val="tx1"/>
                  </w14:solidFill>
                </w14:textFill>
              </w:rPr>
              <w:t>.26</w:t>
            </w:r>
          </w:p>
        </w:tc>
        <w:tc>
          <w:tcPr>
            <w:tcW w:w="753"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237"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（一）</w:t>
            </w:r>
          </w:p>
        </w:tc>
        <w:tc>
          <w:tcPr>
            <w:tcW w:w="734"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农村人居环境整治建设项目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1757"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51</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潜江市农村人居环境整治项目</w:t>
            </w:r>
          </w:p>
        </w:tc>
        <w:tc>
          <w:tcPr>
            <w:tcW w:w="607"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农村基础设施建设工程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建设微动力、大三格+人工湿地等农村生活污水、粪污处理设施；建设生活污水、粪污收集管网；治理农村河塘沟渠、黑臭水体；农村生活垃圾处理中转站建设、生活垃圾处理设备购买；建设及拓宽升级村内道路、通组道路；整治农户庭院环境。</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00</w:t>
            </w: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通过持续推进农村“厕所革命”、农村垃圾治理、农村生活污水治理、村庄绿化、村庄美化、农业面源污染治理，进一步完善和提升农村基础设施建设水平，不断改善、提升农村人居环境质量和水平。</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市农业农村局，市乡村振兴局，各区、镇、街道</w:t>
            </w:r>
          </w:p>
        </w:tc>
      </w:tr>
      <w:tr>
        <w:tblPrEx>
          <w:shd w:val="clear" w:color="auto" w:fill="auto"/>
          <w:tblCellMar>
            <w:top w:w="0" w:type="dxa"/>
            <w:left w:w="0" w:type="dxa"/>
            <w:bottom w:w="0" w:type="dxa"/>
            <w:right w:w="0" w:type="dxa"/>
          </w:tblCellMar>
        </w:tblPrEx>
        <w:trPr>
          <w:trHeight w:val="132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5</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2</w:t>
            </w:r>
          </w:p>
        </w:tc>
        <w:tc>
          <w:tcPr>
            <w:tcW w:w="734"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潜江市农村文化设施建设项目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农村基础设施建设工程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新建运动场、公园、停车场、公交枢纽、老年服务站、三农服务中心、文化广场、党群服务和便民服务中心。</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17.26</w:t>
            </w: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为居民提供高标准、高质量的文化活动场所。</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市农业农村局，市乡村振兴局，各区、镇、街道</w:t>
            </w:r>
          </w:p>
        </w:tc>
      </w:tr>
      <w:tr>
        <w:tblPrEx>
          <w:shd w:val="clear" w:color="auto" w:fill="auto"/>
          <w:tblCellMar>
            <w:top w:w="0" w:type="dxa"/>
            <w:left w:w="0" w:type="dxa"/>
            <w:bottom w:w="0" w:type="dxa"/>
            <w:right w:w="0" w:type="dxa"/>
          </w:tblCellMar>
        </w:tblPrEx>
        <w:trPr>
          <w:trHeight w:val="138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5</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3</w:t>
            </w:r>
          </w:p>
        </w:tc>
        <w:tc>
          <w:tcPr>
            <w:tcW w:w="734"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潜江市特色集镇和美丽乡村建设</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农村基础设施建设工程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白鹭湖管理区、熊口镇、后湖管理区、杨市街道、高石碑镇等</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推进特色集镇和美丽乡村基础设施建设。</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15.00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建成宜居集业、生态优美特色集镇。</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市农业农村局，市乡村振兴局，相关区、镇、街道</w:t>
            </w:r>
          </w:p>
        </w:tc>
      </w:tr>
      <w:tr>
        <w:tblPrEx>
          <w:shd w:val="clear" w:color="auto" w:fill="auto"/>
          <w:tblCellMar>
            <w:top w:w="0" w:type="dxa"/>
            <w:left w:w="0" w:type="dxa"/>
            <w:bottom w:w="0" w:type="dxa"/>
            <w:right w:w="0" w:type="dxa"/>
          </w:tblCellMar>
        </w:tblPrEx>
        <w:trPr>
          <w:trHeight w:val="268"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（二）</w:t>
            </w:r>
          </w:p>
        </w:tc>
        <w:tc>
          <w:tcPr>
            <w:tcW w:w="734"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乡镇污水处理建设项目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797"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5</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4</w:t>
            </w:r>
          </w:p>
        </w:tc>
        <w:tc>
          <w:tcPr>
            <w:tcW w:w="734"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潜江市农村污水管网改造建设项目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农村基础设施建设工程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续建</w:t>
            </w: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污水管网改造、建设，新建污水处理站，提升泵站扩容。</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26.00</w:t>
            </w: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市农业农村局，市乡村振兴局，相关区、镇、街道</w:t>
            </w:r>
          </w:p>
        </w:tc>
      </w:tr>
      <w:tr>
        <w:tblPrEx>
          <w:shd w:val="clear" w:color="auto" w:fill="auto"/>
          <w:tblCellMar>
            <w:top w:w="0" w:type="dxa"/>
            <w:left w:w="0" w:type="dxa"/>
            <w:bottom w:w="0" w:type="dxa"/>
            <w:right w:w="0" w:type="dxa"/>
          </w:tblCellMar>
        </w:tblPrEx>
        <w:trPr>
          <w:trHeight w:val="9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（三）</w:t>
            </w:r>
          </w:p>
        </w:tc>
        <w:tc>
          <w:tcPr>
            <w:tcW w:w="734"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其他</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90"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5</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5</w:t>
            </w:r>
          </w:p>
        </w:tc>
        <w:tc>
          <w:tcPr>
            <w:tcW w:w="734"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潜江市天然气进村入户建设项目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农村基础设施建设工程</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全市范围</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天然气入户管网配套设施建设。</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20.00</w:t>
            </w: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改善农村生态环境，提升农民生活质量。</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市农业农村局，市乡村振兴局，各区、镇、街道</w:t>
            </w:r>
          </w:p>
        </w:tc>
      </w:tr>
      <w:tr>
        <w:tblPrEx>
          <w:shd w:val="clear" w:color="auto" w:fill="auto"/>
          <w:tblCellMar>
            <w:top w:w="0" w:type="dxa"/>
            <w:left w:w="0" w:type="dxa"/>
            <w:bottom w:w="0" w:type="dxa"/>
            <w:right w:w="0" w:type="dxa"/>
          </w:tblCellMar>
        </w:tblPrEx>
        <w:trPr>
          <w:trHeight w:val="402"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b/>
                <w:bCs/>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八</w:t>
            </w:r>
          </w:p>
        </w:tc>
        <w:tc>
          <w:tcPr>
            <w:tcW w:w="734"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b/>
                <w:bCs/>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lang w:val="en-US" w:eastAsia="zh-CN"/>
                <w14:textFill>
                  <w14:solidFill>
                    <w14:schemeClr w14:val="tx1"/>
                  </w14:solidFill>
                </w14:textFill>
              </w:rPr>
              <w:t>其 他</w:t>
            </w:r>
          </w:p>
        </w:tc>
        <w:tc>
          <w:tcPr>
            <w:tcW w:w="607"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eastAsia" w:cs="Times New Roman" w:eastAsiaTheme="minorEastAsia"/>
                <w:b/>
                <w:bCs/>
                <w:color w:val="000000" w:themeColor="text1"/>
                <w:kern w:val="0"/>
                <w:sz w:val="21"/>
                <w:szCs w:val="21"/>
                <w:highlight w:val="none"/>
                <w:lang w:val="en-US" w:eastAsia="zh-CN"/>
                <w14:textFill>
                  <w14:solidFill>
                    <w14:schemeClr w14:val="tx1"/>
                  </w14:solidFill>
                </w14:textFill>
              </w:rPr>
              <w:t>11.50</w:t>
            </w:r>
          </w:p>
        </w:tc>
        <w:tc>
          <w:tcPr>
            <w:tcW w:w="753"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r>
        <w:tblPrEx>
          <w:shd w:val="clear" w:color="auto" w:fill="auto"/>
          <w:tblCellMar>
            <w:top w:w="0" w:type="dxa"/>
            <w:left w:w="0" w:type="dxa"/>
            <w:bottom w:w="0" w:type="dxa"/>
            <w:right w:w="0" w:type="dxa"/>
          </w:tblCellMar>
        </w:tblPrEx>
        <w:trPr>
          <w:trHeight w:val="595"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5</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6</w:t>
            </w:r>
          </w:p>
        </w:tc>
        <w:tc>
          <w:tcPr>
            <w:tcW w:w="734"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潜江市生态循环产业园建设项目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其他</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总口管理区</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建设生活垃圾焚烧飞灰填埋场、危废填埋场、污泥处置中心、建筑垃圾及大件垃圾处理、餐厨垃圾处理及配套工程等项目。</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10.00</w:t>
            </w: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改善生态环境、提高市民生活质量。</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市农业农村局，总口管理区</w:t>
            </w:r>
          </w:p>
        </w:tc>
      </w:tr>
      <w:tr>
        <w:tblPrEx>
          <w:shd w:val="clear" w:color="auto" w:fill="auto"/>
          <w:tblCellMar>
            <w:top w:w="0" w:type="dxa"/>
            <w:left w:w="0" w:type="dxa"/>
            <w:bottom w:w="0" w:type="dxa"/>
            <w:right w:w="0" w:type="dxa"/>
          </w:tblCellMar>
        </w:tblPrEx>
        <w:trPr>
          <w:trHeight w:val="608"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5</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7</w:t>
            </w:r>
          </w:p>
        </w:tc>
        <w:tc>
          <w:tcPr>
            <w:tcW w:w="734"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潜江市农业气象防灾减灾项目</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其他</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新建</w:t>
            </w:r>
          </w:p>
        </w:tc>
        <w:tc>
          <w:tcPr>
            <w:tcW w:w="370"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园林街道</w:t>
            </w:r>
          </w:p>
        </w:tc>
        <w:tc>
          <w:tcPr>
            <w:tcW w:w="865"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添置气象业务相关设施设备。</w:t>
            </w:r>
          </w:p>
        </w:tc>
        <w:tc>
          <w:tcPr>
            <w:tcW w:w="245" w:type="pct"/>
            <w:tcBorders>
              <w:top w:val="single" w:color="000000" w:sz="4" w:space="0"/>
              <w:left w:val="single" w:color="000000" w:sz="4" w:space="0"/>
              <w:bottom w:val="single" w:color="000000" w:sz="4" w:space="0"/>
              <w:right w:val="single" w:color="000000" w:sz="4" w:space="0"/>
            </w:tcBorders>
            <w:shd w:val="clear" w:color="auto" w:fill="FFFFFF"/>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2021</w:t>
            </w: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2025</w:t>
            </w: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1.50</w:t>
            </w:r>
          </w:p>
        </w:tc>
        <w:tc>
          <w:tcPr>
            <w:tcW w:w="753"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提高天气预报准确率，为农业生产保驾护航。</w:t>
            </w:r>
          </w:p>
        </w:tc>
        <w:tc>
          <w:tcPr>
            <w:tcW w:w="376" w:type="pct"/>
            <w:tcBorders>
              <w:top w:val="single" w:color="000000" w:sz="4" w:space="0"/>
              <w:left w:val="single" w:color="000000" w:sz="4" w:space="0"/>
              <w:bottom w:val="single" w:color="000000" w:sz="4" w:space="0"/>
              <w:right w:val="single" w:color="000000" w:sz="4" w:space="0"/>
            </w:tcBorders>
            <w:shd w:val="clear" w:color="auto" w:fill="auto"/>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市气象局</w:t>
            </w:r>
          </w:p>
        </w:tc>
      </w:tr>
      <w:tr>
        <w:tblPrEx>
          <w:tblCellMar>
            <w:top w:w="0" w:type="dxa"/>
            <w:left w:w="0" w:type="dxa"/>
            <w:bottom w:w="0" w:type="dxa"/>
            <w:right w:w="0" w:type="dxa"/>
          </w:tblCellMar>
        </w:tblPrEx>
        <w:trPr>
          <w:trHeight w:val="372"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九</w:t>
            </w:r>
          </w:p>
        </w:tc>
        <w:tc>
          <w:tcPr>
            <w:tcW w:w="734"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lang w:val="en-US" w:eastAsia="zh-CN"/>
                <w14:textFill>
                  <w14:solidFill>
                    <w14:schemeClr w14:val="tx1"/>
                  </w14:solidFill>
                </w14:textFill>
              </w:rPr>
              <w:t>合 计</w:t>
            </w: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86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default" w:ascii="Times New Roman" w:hAnsi="Times New Roman" w:cs="Times New Roman" w:eastAsiaTheme="minorEastAsia"/>
                <w:color w:val="000000" w:themeColor="text1"/>
                <w:kern w:val="0"/>
                <w:sz w:val="21"/>
                <w:szCs w:val="21"/>
                <w14:textFill>
                  <w14:solidFill>
                    <w14:schemeClr w14:val="tx1"/>
                  </w14:solidFill>
                </w14:textFill>
              </w:rPr>
            </w:pPr>
          </w:p>
        </w:tc>
        <w:tc>
          <w:tcPr>
            <w:tcW w:w="281"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pPr>
            <w:r>
              <w:rPr>
                <w:rFonts w:hint="eastAsia" w:cs="Times New Roman" w:eastAsiaTheme="minorEastAsia"/>
                <w:b/>
                <w:bCs/>
                <w:color w:val="000000" w:themeColor="text1"/>
                <w:kern w:val="0"/>
                <w:sz w:val="21"/>
                <w:szCs w:val="21"/>
                <w:highlight w:val="none"/>
                <w:lang w:val="en-US" w:eastAsia="zh-CN"/>
                <w14:textFill>
                  <w14:solidFill>
                    <w14:schemeClr w14:val="tx1"/>
                  </w14:solidFill>
                </w14:textFill>
              </w:rPr>
              <w:t>629.06</w:t>
            </w:r>
          </w:p>
        </w:tc>
        <w:tc>
          <w:tcPr>
            <w:tcW w:w="753"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c>
          <w:tcPr>
            <w:tcW w:w="376" w:type="pct"/>
            <w:tcBorders>
              <w:top w:val="single" w:color="000000" w:sz="4" w:space="0"/>
              <w:left w:val="single" w:color="000000" w:sz="4" w:space="0"/>
              <w:bottom w:val="single" w:color="000000" w:sz="4" w:space="0"/>
              <w:right w:val="single" w:color="000000" w:sz="4" w:space="0"/>
            </w:tcBorders>
            <w:shd w:val="clear" w:color="auto" w:fill="FFFFFF"/>
            <w:noWrap/>
            <w:tcMar>
              <w:top w:w="45" w:type="dxa"/>
              <w:left w:w="113" w:type="dxa"/>
              <w:bottom w:w="45" w:type="dxa"/>
              <w:right w:w="113"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textAlignment w:val="center"/>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p>
        </w:tc>
      </w:tr>
    </w:tbl>
    <w:p>
      <w:pPr>
        <w:widowControl/>
        <w:spacing w:line="240" w:lineRule="auto"/>
        <w:ind w:firstLine="0" w:firstLineChars="0"/>
        <w:textAlignment w:val="center"/>
        <w:rPr>
          <w:rFonts w:hint="default" w:asciiTheme="minorEastAsia" w:hAnsiTheme="minorEastAsia" w:eastAsiaTheme="minorEastAsia" w:cstheme="minorEastAsia"/>
          <w:color w:val="000000"/>
          <w:kern w:val="0"/>
          <w:sz w:val="21"/>
          <w:szCs w:val="21"/>
          <w:lang w:val="en-US" w:eastAsia="zh-CN"/>
        </w:rPr>
      </w:pPr>
    </w:p>
    <w:p>
      <w:pPr>
        <w:pStyle w:val="2"/>
        <w:rPr>
          <w:rFonts w:hint="default"/>
          <w:lang w:val="en-US" w:eastAsia="zh-CN"/>
        </w:rPr>
        <w:sectPr>
          <w:footerReference r:id="rId11" w:type="default"/>
          <w:pgSz w:w="16838" w:h="11906" w:orient="landscape"/>
          <w:pgMar w:top="720" w:right="720" w:bottom="720" w:left="720" w:header="851" w:footer="992" w:gutter="0"/>
          <w:pgNumType w:fmt="decimal"/>
          <w:cols w:space="0" w:num="1"/>
          <w:rtlGutter w:val="0"/>
          <w:docGrid w:type="lines" w:linePitch="436" w:charSpace="0"/>
        </w:sectPr>
      </w:pPr>
      <w:bookmarkStart w:id="253" w:name="_GoBack"/>
      <w:bookmarkEnd w:id="253"/>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both"/>
        <w:textAlignment w:val="auto"/>
        <w:rPr>
          <w:rFonts w:hint="default"/>
          <w:lang w:val="en-US" w:eastAsia="zh-CN"/>
        </w:rPr>
      </w:pPr>
    </w:p>
    <w:p>
      <w:pPr>
        <w:pStyle w:val="2"/>
        <w:keepNext w:val="0"/>
        <w:keepLines w:val="0"/>
        <w:pageBreakBefore w:val="0"/>
        <w:widowControl w:val="0"/>
        <w:kinsoku/>
        <w:wordWrap/>
        <w:overflowPunct w:val="0"/>
        <w:topLinePunct w:val="0"/>
        <w:autoSpaceDE/>
        <w:autoSpaceDN/>
        <w:bidi w:val="0"/>
        <w:adjustRightInd/>
        <w:snapToGrid/>
        <w:spacing w:after="0" w:line="240" w:lineRule="auto"/>
        <w:ind w:firstLine="0" w:firstLineChars="0"/>
        <w:jc w:val="both"/>
        <w:textAlignment w:val="auto"/>
        <w:rPr>
          <w:rFonts w:hint="default"/>
          <w:lang w:val="en-US" w:eastAsia="zh-CN"/>
        </w:rPr>
      </w:pP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both"/>
        <w:textAlignment w:val="auto"/>
        <w:rPr>
          <w:rFonts w:hint="default"/>
          <w:lang w:val="en-US" w:eastAsia="zh-CN"/>
        </w:rPr>
      </w:pPr>
    </w:p>
    <w:p>
      <w:pPr>
        <w:pStyle w:val="2"/>
        <w:keepNext w:val="0"/>
        <w:keepLines w:val="0"/>
        <w:pageBreakBefore w:val="0"/>
        <w:widowControl w:val="0"/>
        <w:kinsoku/>
        <w:wordWrap/>
        <w:overflowPunct w:val="0"/>
        <w:topLinePunct w:val="0"/>
        <w:autoSpaceDE/>
        <w:autoSpaceDN/>
        <w:bidi w:val="0"/>
        <w:adjustRightInd/>
        <w:snapToGrid/>
        <w:spacing w:after="0" w:line="240" w:lineRule="auto"/>
        <w:ind w:firstLine="0" w:firstLineChars="0"/>
        <w:jc w:val="both"/>
        <w:textAlignment w:val="auto"/>
        <w:rPr>
          <w:rFonts w:hint="default"/>
          <w:lang w:val="en-US" w:eastAsia="zh-CN"/>
        </w:rPr>
      </w:pP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both"/>
        <w:textAlignment w:val="auto"/>
        <w:rPr>
          <w:rFonts w:hint="default"/>
          <w:lang w:val="en-US" w:eastAsia="zh-CN"/>
        </w:rPr>
      </w:pPr>
    </w:p>
    <w:p>
      <w:pPr>
        <w:pStyle w:val="2"/>
        <w:keepNext w:val="0"/>
        <w:keepLines w:val="0"/>
        <w:pageBreakBefore w:val="0"/>
        <w:widowControl w:val="0"/>
        <w:kinsoku/>
        <w:wordWrap/>
        <w:overflowPunct w:val="0"/>
        <w:topLinePunct w:val="0"/>
        <w:autoSpaceDE/>
        <w:autoSpaceDN/>
        <w:bidi w:val="0"/>
        <w:adjustRightInd/>
        <w:snapToGrid/>
        <w:spacing w:after="0" w:line="240" w:lineRule="auto"/>
        <w:ind w:firstLine="0" w:firstLineChars="0"/>
        <w:jc w:val="both"/>
        <w:textAlignment w:val="auto"/>
        <w:rPr>
          <w:rFonts w:hint="default"/>
          <w:lang w:val="en-US" w:eastAsia="zh-CN"/>
        </w:rPr>
      </w:pP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both"/>
        <w:textAlignment w:val="auto"/>
        <w:rPr>
          <w:rFonts w:hint="default"/>
          <w:lang w:val="en-US" w:eastAsia="zh-CN"/>
        </w:rPr>
      </w:pPr>
    </w:p>
    <w:p>
      <w:pPr>
        <w:pStyle w:val="2"/>
        <w:keepNext w:val="0"/>
        <w:keepLines w:val="0"/>
        <w:pageBreakBefore w:val="0"/>
        <w:widowControl w:val="0"/>
        <w:kinsoku/>
        <w:wordWrap/>
        <w:overflowPunct w:val="0"/>
        <w:topLinePunct w:val="0"/>
        <w:autoSpaceDE/>
        <w:autoSpaceDN/>
        <w:bidi w:val="0"/>
        <w:adjustRightInd/>
        <w:snapToGrid/>
        <w:spacing w:after="0" w:line="240" w:lineRule="auto"/>
        <w:ind w:firstLine="0" w:firstLineChars="0"/>
        <w:jc w:val="both"/>
        <w:textAlignment w:val="auto"/>
        <w:rPr>
          <w:rFonts w:hint="default"/>
          <w:lang w:val="en-US" w:eastAsia="zh-CN"/>
        </w:rPr>
      </w:pP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both"/>
        <w:textAlignment w:val="auto"/>
        <w:rPr>
          <w:rFonts w:hint="default"/>
          <w:lang w:val="en-US" w:eastAsia="zh-CN"/>
        </w:rPr>
      </w:pPr>
    </w:p>
    <w:p>
      <w:pPr>
        <w:pStyle w:val="2"/>
        <w:keepNext w:val="0"/>
        <w:keepLines w:val="0"/>
        <w:pageBreakBefore w:val="0"/>
        <w:widowControl w:val="0"/>
        <w:kinsoku/>
        <w:wordWrap/>
        <w:overflowPunct w:val="0"/>
        <w:topLinePunct w:val="0"/>
        <w:autoSpaceDE/>
        <w:autoSpaceDN/>
        <w:bidi w:val="0"/>
        <w:adjustRightInd/>
        <w:snapToGrid/>
        <w:spacing w:after="0" w:line="240" w:lineRule="auto"/>
        <w:ind w:firstLine="0" w:firstLineChars="0"/>
        <w:jc w:val="both"/>
        <w:textAlignment w:val="auto"/>
        <w:rPr>
          <w:rFonts w:hint="default"/>
          <w:lang w:val="en-US" w:eastAsia="zh-CN"/>
        </w:rPr>
      </w:pP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both"/>
        <w:textAlignment w:val="auto"/>
        <w:rPr>
          <w:rFonts w:hint="default"/>
          <w:lang w:val="en-US" w:eastAsia="zh-CN"/>
        </w:rPr>
      </w:pPr>
    </w:p>
    <w:p>
      <w:pPr>
        <w:pStyle w:val="2"/>
        <w:keepNext w:val="0"/>
        <w:keepLines w:val="0"/>
        <w:pageBreakBefore w:val="0"/>
        <w:widowControl w:val="0"/>
        <w:kinsoku/>
        <w:wordWrap/>
        <w:overflowPunct w:val="0"/>
        <w:topLinePunct w:val="0"/>
        <w:autoSpaceDE/>
        <w:autoSpaceDN/>
        <w:bidi w:val="0"/>
        <w:adjustRightInd/>
        <w:snapToGrid/>
        <w:spacing w:after="0" w:line="240" w:lineRule="auto"/>
        <w:ind w:firstLine="0" w:firstLineChars="0"/>
        <w:jc w:val="both"/>
        <w:textAlignment w:val="auto"/>
        <w:rPr>
          <w:rFonts w:hint="default"/>
          <w:lang w:val="en-US" w:eastAsia="zh-CN"/>
        </w:rPr>
      </w:pP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both"/>
        <w:textAlignment w:val="auto"/>
        <w:rPr>
          <w:rFonts w:hint="default"/>
          <w:lang w:val="en-US" w:eastAsia="zh-CN"/>
        </w:rPr>
      </w:pPr>
    </w:p>
    <w:p>
      <w:pPr>
        <w:pStyle w:val="2"/>
        <w:keepNext w:val="0"/>
        <w:keepLines w:val="0"/>
        <w:pageBreakBefore w:val="0"/>
        <w:widowControl w:val="0"/>
        <w:kinsoku/>
        <w:wordWrap/>
        <w:overflowPunct w:val="0"/>
        <w:topLinePunct w:val="0"/>
        <w:autoSpaceDE/>
        <w:autoSpaceDN/>
        <w:bidi w:val="0"/>
        <w:adjustRightInd/>
        <w:snapToGrid/>
        <w:spacing w:after="0" w:line="240" w:lineRule="auto"/>
        <w:ind w:firstLine="0" w:firstLineChars="0"/>
        <w:jc w:val="both"/>
        <w:textAlignment w:val="auto"/>
        <w:rPr>
          <w:rFonts w:hint="default"/>
          <w:lang w:val="en-US" w:eastAsia="zh-CN"/>
        </w:rPr>
      </w:pP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both"/>
        <w:textAlignment w:val="auto"/>
        <w:rPr>
          <w:rFonts w:hint="default"/>
          <w:lang w:val="en-US" w:eastAsia="zh-CN"/>
        </w:rPr>
      </w:pPr>
    </w:p>
    <w:p>
      <w:pPr>
        <w:pStyle w:val="2"/>
        <w:keepNext w:val="0"/>
        <w:keepLines w:val="0"/>
        <w:pageBreakBefore w:val="0"/>
        <w:widowControl w:val="0"/>
        <w:kinsoku/>
        <w:wordWrap/>
        <w:overflowPunct w:val="0"/>
        <w:topLinePunct w:val="0"/>
        <w:autoSpaceDE/>
        <w:autoSpaceDN/>
        <w:bidi w:val="0"/>
        <w:adjustRightInd/>
        <w:snapToGrid/>
        <w:spacing w:after="0" w:line="240" w:lineRule="auto"/>
        <w:ind w:firstLine="0" w:firstLineChars="0"/>
        <w:jc w:val="both"/>
        <w:textAlignment w:val="auto"/>
        <w:rPr>
          <w:rFonts w:hint="default"/>
          <w:lang w:val="en-US" w:eastAsia="zh-CN"/>
        </w:rPr>
      </w:pPr>
    </w:p>
    <w:sectPr>
      <w:pgSz w:w="11906" w:h="16838"/>
      <w:pgMar w:top="1984" w:right="1531" w:bottom="1701" w:left="1531" w:header="851" w:footer="1304" w:gutter="0"/>
      <w:pgNumType w:fmt="decimal"/>
      <w:cols w:space="0" w:num="1"/>
      <w:rtlGutter w:val="0"/>
      <w:docGrid w:type="lines" w:linePitch="43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69724CF-2933-497F-AD7B-DCA83FEA4C89}"/>
  </w:font>
  <w:font w:name="黑体">
    <w:panose1 w:val="02010609060101010101"/>
    <w:charset w:val="86"/>
    <w:family w:val="auto"/>
    <w:pitch w:val="default"/>
    <w:sig w:usb0="800002BF" w:usb1="38CF7CFA" w:usb2="00000016" w:usb3="00000000" w:csb0="00040001" w:csb1="00000000"/>
    <w:embedRegular r:id="rId2" w:fontKey="{B765E96E-6CA1-419D-841A-9D0B56E7B30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62D0D266-6EBC-4F17-B844-74069B1A9A82}"/>
  </w:font>
  <w:font w:name="仿宋_GB2312">
    <w:panose1 w:val="02010609030101010101"/>
    <w:charset w:val="86"/>
    <w:family w:val="auto"/>
    <w:pitch w:val="default"/>
    <w:sig w:usb0="00000001" w:usb1="080E0000" w:usb2="00000000" w:usb3="00000000" w:csb0="00040000" w:csb1="00000000"/>
    <w:embedRegular r:id="rId4" w:fontKey="{F8CCB59E-4971-4E9E-BD3F-B2BC25B9A3D8}"/>
  </w:font>
  <w:font w:name="楷体_GB2312">
    <w:panose1 w:val="02010609030101010101"/>
    <w:charset w:val="86"/>
    <w:family w:val="auto"/>
    <w:pitch w:val="default"/>
    <w:sig w:usb0="00000001" w:usb1="080E0000" w:usb2="00000000" w:usb3="00000000" w:csb0="00040000" w:csb1="00000000"/>
    <w:embedRegular r:id="rId5" w:fontKey="{4A3898B7-F3EB-4207-9FDC-10E251456BE1}"/>
  </w:font>
  <w:font w:name="微软雅黑">
    <w:panose1 w:val="020B0503020204020204"/>
    <w:charset w:val="86"/>
    <w:family w:val="swiss"/>
    <w:pitch w:val="default"/>
    <w:sig w:usb0="80000287" w:usb1="280F3C52" w:usb2="00000016" w:usb3="00000000" w:csb0="0004001F" w:csb1="00000000"/>
    <w:embedRegular r:id="rId6" w:fontKey="{0A5634C4-7D16-44B8-B350-6B1D148014AF}"/>
  </w:font>
  <w:font w:name="方正小标宋_GBK">
    <w:panose1 w:val="03000509000000000000"/>
    <w:charset w:val="86"/>
    <w:family w:val="auto"/>
    <w:pitch w:val="default"/>
    <w:sig w:usb0="00000001" w:usb1="080E0000" w:usb2="00000000" w:usb3="00000000" w:csb0="00040000" w:csb1="00000000"/>
    <w:embedRegular r:id="rId7" w:fontKey="{33E482EE-F80A-4C20-ABF5-F26507C233D6}"/>
  </w:font>
  <w:font w:name="楷体">
    <w:panose1 w:val="02010609060101010101"/>
    <w:charset w:val="86"/>
    <w:family w:val="auto"/>
    <w:pitch w:val="default"/>
    <w:sig w:usb0="800002BF" w:usb1="38CF7CFA" w:usb2="00000016" w:usb3="00000000" w:csb0="00040001" w:csb1="00000000"/>
    <w:embedRegular r:id="rId8" w:fontKey="{9F43F638-DE62-4433-A775-B6651CD4B43F}"/>
  </w:font>
  <w:font w:name="仿宋">
    <w:panose1 w:val="02010609060101010101"/>
    <w:charset w:val="86"/>
    <w:family w:val="auto"/>
    <w:pitch w:val="default"/>
    <w:sig w:usb0="800002BF" w:usb1="38CF7CFA" w:usb2="00000016" w:usb3="00000000" w:csb0="00040001" w:csb1="00000000"/>
    <w:embedRegular r:id="rId9" w:fontKey="{0373C5D4-A480-4E2A-9AE2-9467E23D6E31}"/>
  </w:font>
  <w:font w:name="等线">
    <w:panose1 w:val="02010600030101010101"/>
    <w:charset w:val="86"/>
    <w:family w:val="auto"/>
    <w:pitch w:val="default"/>
    <w:sig w:usb0="A00002BF" w:usb1="38CF7CFA" w:usb2="00000016" w:usb3="00000000" w:csb0="0004000F" w:csb1="00000000"/>
    <w:embedRegular r:id="rId10" w:fontKey="{87D1CEE7-7BFF-4A7F-8706-B0173E9DCFE4}"/>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tabs>
        <w:tab w:val="center" w:pos="4150"/>
        <w:tab w:val="clear" w:pos="8306"/>
      </w:tabs>
      <w:kinsoku/>
      <w:wordWrap/>
      <w:overflowPunct w:val="0"/>
      <w:topLinePunct w:val="0"/>
      <w:autoSpaceDE/>
      <w:autoSpaceDN/>
      <w:bidi w:val="0"/>
      <w:adjustRightInd/>
      <w:snapToGrid/>
      <w:spacing w:line="240" w:lineRule="auto"/>
      <w:ind w:firstLine="0" w:firstLineChars="0"/>
      <w:textAlignment w:val="auto"/>
      <w:rPr>
        <w:rFonts w:hint="eastAsia" w:eastAsia="仿宋_GB2312"/>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5"/>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tabs>
        <w:tab w:val="center" w:pos="4150"/>
        <w:tab w:val="clear" w:pos="8306"/>
      </w:tabs>
      <w:kinsoku/>
      <w:wordWrap/>
      <w:overflowPunct w:val="0"/>
      <w:topLinePunct w:val="0"/>
      <w:autoSpaceDE/>
      <w:autoSpaceDN/>
      <w:bidi w:val="0"/>
      <w:adjustRightInd/>
      <w:snapToGrid/>
      <w:spacing w:line="240" w:lineRule="auto"/>
      <w:ind w:firstLine="0" w:firstLineChars="0"/>
      <w:textAlignment w:val="auto"/>
      <w:rPr>
        <w:rFonts w:hint="eastAsia" w:eastAsia="仿宋_GB2312"/>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pPr>
                          <w:r>
                            <w:t xml:space="preserve">— </w:t>
                          </w:r>
                          <w:r>
                            <w:fldChar w:fldCharType="begin"/>
                          </w:r>
                          <w:r>
                            <w:instrText xml:space="preserve"> PAGE  \* MERGEFORMAT </w:instrText>
                          </w:r>
                          <w:r>
                            <w:fldChar w:fldCharType="separate"/>
                          </w:r>
                          <w:r>
                            <w:t>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5"/>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pPr>
                    <w:r>
                      <w:t xml:space="preserve">— </w:t>
                    </w:r>
                    <w:r>
                      <w:fldChar w:fldCharType="begin"/>
                    </w:r>
                    <w:r>
                      <w:instrText xml:space="preserve"> PAGE  \* MERGEFORMAT </w:instrText>
                    </w:r>
                    <w:r>
                      <w:fldChar w:fldCharType="separate"/>
                    </w:r>
                    <w:r>
                      <w:t>6</w:t>
                    </w:r>
                    <w:r>
                      <w:fldChar w:fldCharType="end"/>
                    </w:r>
                    <w:r>
                      <w:t xml:space="preserve"> —</w:t>
                    </w:r>
                  </w:p>
                </w:txbxContent>
              </v:textbox>
            </v:shape>
          </w:pict>
        </mc:Fallback>
      </mc:AlternateContent>
    </w:r>
    <w:r>
      <w:rPr>
        <w:rFonts w:hint="eastAsia"/>
      </w:rPr>
      <w:tab/>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pPr>
                          <w:r>
                            <w:t xml:space="preserve">— </w:t>
                          </w:r>
                          <w:r>
                            <w:fldChar w:fldCharType="begin"/>
                          </w:r>
                          <w:r>
                            <w:instrText xml:space="preserve"> PAGE  \* MERGEFORMAT </w:instrText>
                          </w:r>
                          <w:r>
                            <w:fldChar w:fldCharType="separate"/>
                          </w:r>
                          <w:r>
                            <w:t>87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5"/>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pPr>
                    <w:r>
                      <w:t xml:space="preserve">— </w:t>
                    </w:r>
                    <w:r>
                      <w:fldChar w:fldCharType="begin"/>
                    </w:r>
                    <w:r>
                      <w:instrText xml:space="preserve"> PAGE  \* MERGEFORMAT </w:instrText>
                    </w:r>
                    <w:r>
                      <w:fldChar w:fldCharType="separate"/>
                    </w:r>
                    <w:r>
                      <w:t>87</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5"/>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tabs>
        <w:tab w:val="left" w:pos="3210"/>
        <w:tab w:val="clear" w:pos="4153"/>
      </w:tabs>
      <w:kinsoku/>
      <w:wordWrap/>
      <w:overflowPunct w:val="0"/>
      <w:topLinePunct w:val="0"/>
      <w:autoSpaceDE/>
      <w:autoSpaceDN/>
      <w:bidi w:val="0"/>
      <w:adjustRightInd/>
      <w:snapToGrid/>
      <w:spacing w:line="240" w:lineRule="auto"/>
      <w:ind w:firstLine="0" w:firstLineChars="0"/>
      <w:textAlignment w:val="auto"/>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5"/>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5"/>
                      <w:keepNext w:val="0"/>
                      <w:keepLines w:val="0"/>
                      <w:pageBreakBefore w:val="0"/>
                      <w:widowControl w:val="0"/>
                      <w:kinsoku/>
                      <w:wordWrap/>
                      <w:overflowPunct w:val="0"/>
                      <w:topLinePunct w:val="0"/>
                      <w:autoSpaceDE/>
                      <w:autoSpaceDN/>
                      <w:bidi w:val="0"/>
                      <w:adjustRightInd/>
                      <w:snapToGrid/>
                      <w:spacing w:line="240" w:lineRule="auto"/>
                      <w:ind w:firstLine="0" w:firstLineChars="0"/>
                      <w:textAlignment w:val="auto"/>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0">
    <w:p>
      <w:pPr>
        <w:spacing w:line="240" w:lineRule="auto"/>
        <w:ind w:firstLine="640"/>
      </w:pPr>
      <w:r>
        <w:separator/>
      </w:r>
    </w:p>
  </w:footnote>
  <w:footnote w:type="continuationSeparator" w:id="31">
    <w:p>
      <w:pPr>
        <w:spacing w:line="240" w:lineRule="auto"/>
        <w:ind w:firstLine="640"/>
      </w:pPr>
      <w:r>
        <w:continuationSeparator/>
      </w:r>
    </w:p>
  </w:footnote>
  <w:footnote w:id="0">
    <w:p>
      <w:pPr>
        <w:pStyle w:val="19"/>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jc w:val="both"/>
        <w:textAlignment w:val="auto"/>
        <w:rPr>
          <w:sz w:val="18"/>
          <w:szCs w:val="18"/>
        </w:rPr>
      </w:pPr>
      <w:r>
        <w:rPr>
          <w:rStyle w:val="26"/>
          <w:rFonts w:hint="eastAsia" w:eastAsia="宋体"/>
          <w:color w:val="auto"/>
        </w:rPr>
        <w:footnoteRef/>
      </w:r>
      <w:r>
        <w:rPr>
          <w:rStyle w:val="26"/>
          <w:rFonts w:hint="eastAsia" w:eastAsia="宋体"/>
          <w:color w:val="auto"/>
        </w:rPr>
        <w:t xml:space="preserve"> </w:t>
      </w:r>
      <w:r>
        <w:rPr>
          <w:rFonts w:hint="eastAsia" w:ascii="宋体" w:hAnsi="宋体" w:eastAsia="宋体" w:cs="宋体"/>
          <w:sz w:val="18"/>
          <w:szCs w:val="18"/>
          <w:lang w:eastAsia="zh-CN"/>
        </w:rPr>
        <w:t>“一城”即全国生态宜居明星城市，“两区”指全国资源枯竭型城市转型发展高质量示范区、全国农村一二三产业融合发展示范区，“三基地”即全省产业伙伴基地、全省生活供给基地、全省生态旅游基地。</w:t>
      </w:r>
    </w:p>
  </w:footnote>
  <w:footnote w:id="1">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300" w:lineRule="exact"/>
        <w:ind w:left="0" w:leftChars="0" w:right="0" w:firstLine="0" w:firstLineChars="0"/>
        <w:jc w:val="both"/>
        <w:textAlignment w:val="auto"/>
        <w:rPr>
          <w:rFonts w:hint="eastAsia" w:ascii="宋体" w:hAnsi="宋体" w:eastAsia="宋体" w:cs="宋体"/>
          <w:b w:val="0"/>
          <w:bCs/>
          <w:color w:val="000000" w:themeColor="text1"/>
          <w:kern w:val="2"/>
          <w:sz w:val="18"/>
          <w:szCs w:val="18"/>
          <w:lang w:val="en-US" w:eastAsia="zh-CN" w:bidi="ar-SA"/>
          <w14:textFill>
            <w14:solidFill>
              <w14:schemeClr w14:val="tx1"/>
            </w14:solidFill>
          </w14:textFill>
        </w:rPr>
      </w:pPr>
      <w:r>
        <w:rPr>
          <w:rFonts w:hint="eastAsia" w:ascii="宋体" w:hAnsi="宋体" w:eastAsia="宋体" w:cs="宋体"/>
          <w:b w:val="0"/>
          <w:bCs/>
          <w:color w:val="auto"/>
          <w:kern w:val="2"/>
          <w:sz w:val="18"/>
          <w:szCs w:val="18"/>
          <w:lang w:val="en-US" w:eastAsia="zh-CN" w:bidi="ar-SA"/>
        </w:rPr>
        <w:footnoteRef/>
      </w:r>
      <w:r>
        <w:rPr>
          <w:rFonts w:hint="eastAsia" w:ascii="宋体" w:hAnsi="宋体" w:eastAsia="宋体" w:cs="宋体"/>
          <w:b w:val="0"/>
          <w:bCs/>
          <w:color w:val="000000" w:themeColor="text1"/>
          <w:kern w:val="2"/>
          <w:sz w:val="18"/>
          <w:szCs w:val="18"/>
          <w:lang w:val="en-US" w:eastAsia="zh-CN" w:bidi="ar-SA"/>
          <w14:textFill>
            <w14:solidFill>
              <w14:schemeClr w14:val="tx1"/>
            </w14:solidFill>
          </w14:textFill>
        </w:rPr>
        <w:t>“十百千万”工程是指</w:t>
      </w:r>
      <w:r>
        <w:rPr>
          <w:rFonts w:hint="eastAsia" w:ascii="宋体" w:hAnsi="宋体" w:eastAsia="宋体" w:cs="宋体"/>
          <w:b w:val="0"/>
          <w:bCs/>
          <w:i w:val="0"/>
          <w:iCs w:val="0"/>
          <w:caps w:val="0"/>
          <w:color w:val="000000" w:themeColor="text1"/>
          <w:spacing w:val="8"/>
          <w:sz w:val="18"/>
          <w:szCs w:val="18"/>
          <w:shd w:val="clear" w:fill="FFFFFF"/>
          <w14:textFill>
            <w14:solidFill>
              <w14:schemeClr w14:val="tx1"/>
            </w14:solidFill>
          </w14:textFill>
        </w:rPr>
        <w:t>湖北实施培育壮大龙头企业“十百千万”工程</w:t>
      </w:r>
      <w:r>
        <w:rPr>
          <w:rFonts w:hint="eastAsia" w:ascii="宋体" w:hAnsi="宋体" w:eastAsia="宋体" w:cs="宋体"/>
          <w:b w:val="0"/>
          <w:bCs/>
          <w:i w:val="0"/>
          <w:iCs w:val="0"/>
          <w:caps w:val="0"/>
          <w:color w:val="000000" w:themeColor="text1"/>
          <w:spacing w:val="8"/>
          <w:sz w:val="18"/>
          <w:szCs w:val="18"/>
          <w:shd w:val="clear" w:fill="FFFFFF"/>
          <w:lang w:eastAsia="zh-CN"/>
          <w14:textFill>
            <w14:solidFill>
              <w14:schemeClr w14:val="tx1"/>
            </w14:solidFill>
          </w14:textFill>
        </w:rPr>
        <w:t>。</w:t>
      </w:r>
      <w:r>
        <w:rPr>
          <w:rFonts w:hint="eastAsia" w:ascii="宋体" w:hAnsi="宋体" w:eastAsia="宋体" w:cs="宋体"/>
          <w:b w:val="0"/>
          <w:bCs/>
          <w:i w:val="0"/>
          <w:iCs w:val="0"/>
          <w:caps w:val="0"/>
          <w:color w:val="000000" w:themeColor="text1"/>
          <w:spacing w:val="8"/>
          <w:sz w:val="18"/>
          <w:szCs w:val="18"/>
          <w:shd w:val="clear" w:fill="FFFFFF"/>
          <w14:textFill>
            <w14:solidFill>
              <w14:schemeClr w14:val="tx1"/>
            </w14:solidFill>
          </w14:textFill>
        </w:rPr>
        <w:t>围绕优质稻米、生猪、特色淡水产品（小龙虾）、蔬菜（食用菌、莲）、家禽及蛋制品、茶叶、现代种业、菜籽油、柑橘、道地药材等十大重点农业产业链</w:t>
      </w:r>
      <w:r>
        <w:rPr>
          <w:rFonts w:hint="eastAsia" w:ascii="宋体" w:hAnsi="宋体" w:eastAsia="宋体" w:cs="宋体"/>
          <w:b w:val="0"/>
          <w:bCs/>
          <w:i w:val="0"/>
          <w:iCs w:val="0"/>
          <w:caps w:val="0"/>
          <w:color w:val="000000" w:themeColor="text1"/>
          <w:spacing w:val="8"/>
          <w:sz w:val="18"/>
          <w:szCs w:val="18"/>
          <w:shd w:val="clear" w:fill="FFFFFF"/>
          <w:lang w:eastAsia="zh-CN"/>
          <w14:textFill>
            <w14:solidFill>
              <w14:schemeClr w14:val="tx1"/>
            </w14:solidFill>
          </w14:textFill>
        </w:rPr>
        <w:t>，</w:t>
      </w:r>
      <w:r>
        <w:rPr>
          <w:rFonts w:hint="eastAsia" w:ascii="宋体" w:hAnsi="宋体" w:eastAsia="宋体" w:cs="宋体"/>
          <w:b w:val="0"/>
          <w:bCs/>
          <w:color w:val="000000" w:themeColor="text1"/>
          <w:kern w:val="2"/>
          <w:sz w:val="18"/>
          <w:szCs w:val="18"/>
          <w:lang w:val="en-US" w:eastAsia="zh-CN" w:bidi="ar-SA"/>
          <w14:textFill>
            <w14:solidFill>
              <w14:schemeClr w14:val="tx1"/>
            </w14:solidFill>
          </w14:textFill>
        </w:rPr>
        <w:t>重点培育100家细分行业领军企业、1000家成长型龙头企业，带动近1000万农户增收。</w:t>
      </w:r>
    </w:p>
    <w:p>
      <w:pPr>
        <w:pStyle w:val="19"/>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Times New Roman" w:hAnsi="Times New Roman" w:eastAsia="仿宋_GB2312" w:cs="Times New Roman"/>
          <w:color w:val="auto"/>
          <w:kern w:val="2"/>
          <w:sz w:val="18"/>
          <w:szCs w:val="24"/>
          <w:lang w:val="en-US" w:eastAsia="zh-CN" w:bidi="ar-SA"/>
        </w:rPr>
      </w:pPr>
    </w:p>
  </w:footnote>
  <w:footnote w:id="2">
    <w:p>
      <w:pPr>
        <w:pStyle w:val="19"/>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jc w:val="both"/>
        <w:textAlignment w:val="auto"/>
      </w:pPr>
      <w:r>
        <w:rPr>
          <w:rStyle w:val="26"/>
          <w:rFonts w:hint="eastAsia" w:eastAsia="宋体"/>
          <w:color w:val="auto"/>
        </w:rPr>
        <w:footnoteRef/>
      </w:r>
      <w:r>
        <w:rPr>
          <w:rStyle w:val="26"/>
          <w:rFonts w:hint="eastAsia" w:eastAsia="宋体"/>
          <w:color w:val="auto"/>
        </w:rPr>
        <w:t xml:space="preserve"> </w:t>
      </w:r>
      <w:r>
        <w:rPr>
          <w:rFonts w:hint="eastAsia" w:ascii="宋体" w:hAnsi="宋体" w:eastAsia="宋体" w:cs="宋体"/>
          <w:color w:val="auto"/>
          <w:kern w:val="2"/>
          <w:sz w:val="18"/>
          <w:szCs w:val="24"/>
          <w:lang w:val="en-US" w:eastAsia="zh-CN" w:bidi="ar-SA"/>
        </w:rPr>
        <w:t>国家半夏野生资源保护基地、半夏原（良）种繁育基地、半夏标准化规范化种植示范基地、半夏精深加工基地、</w:t>
      </w:r>
      <w:r>
        <w:rPr>
          <w:rFonts w:hint="eastAsia" w:ascii="宋体" w:hAnsi="宋体" w:eastAsia="宋体" w:cs="宋体"/>
          <w:color w:val="auto"/>
          <w:kern w:val="2"/>
          <w:sz w:val="18"/>
          <w:szCs w:val="24"/>
          <w:lang w:val="zh-CN" w:eastAsia="zh-CN" w:bidi="ar-SA"/>
        </w:rPr>
        <w:t>中医药健康旅游示范基地</w:t>
      </w:r>
      <w:r>
        <w:rPr>
          <w:rFonts w:hint="eastAsia" w:ascii="宋体" w:hAnsi="宋体" w:eastAsia="宋体" w:cs="宋体"/>
          <w:color w:val="auto"/>
          <w:kern w:val="2"/>
          <w:sz w:val="18"/>
          <w:szCs w:val="24"/>
          <w:lang w:val="en-US" w:eastAsia="zh-CN" w:bidi="ar-SA"/>
        </w:rPr>
        <w:t>和半夏交易服务中心。</w:t>
      </w:r>
    </w:p>
  </w:footnote>
  <w:footnote w:id="3">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Times New Roman" w:hAnsi="Times New Roman" w:eastAsia="仿宋_GB2312" w:cs="Times New Roman"/>
          <w:color w:val="auto"/>
          <w:kern w:val="2"/>
          <w:sz w:val="18"/>
          <w:szCs w:val="24"/>
          <w:lang w:val="en-US" w:eastAsia="zh-CN" w:bidi="ar-SA"/>
        </w:rPr>
      </w:pPr>
      <w:r>
        <w:rPr>
          <w:rFonts w:hint="eastAsia" w:ascii="Times New Roman" w:hAnsi="Times New Roman" w:eastAsia="仿宋_GB2312" w:cs="Times New Roman"/>
          <w:color w:val="auto"/>
          <w:kern w:val="2"/>
          <w:sz w:val="18"/>
          <w:szCs w:val="24"/>
          <w:lang w:val="en-US" w:eastAsia="zh-CN" w:bidi="ar-SA"/>
        </w:rPr>
        <w:footnoteRef/>
      </w:r>
      <w:r>
        <w:rPr>
          <w:rFonts w:hint="eastAsia" w:ascii="宋体" w:hAnsi="宋体" w:eastAsia="宋体" w:cs="宋体"/>
          <w:color w:val="auto"/>
          <w:kern w:val="2"/>
          <w:sz w:val="18"/>
          <w:szCs w:val="24"/>
          <w:lang w:val="en-US" w:eastAsia="zh-CN" w:bidi="ar-SA"/>
        </w:rPr>
        <w:t xml:space="preserve"> “一区”指在虾稻共作区域及退耕还湖区发展优质水生蔬菜基地；“二滩”指在汉江滩和东荆河滩发展优质越冬蔬菜基地；“三湖”指在返湾湖、小苏湖、借粮湖发展优质水生蔬菜基地；“四路”指在318国道、襄岳公路、潜监公路、运拖公路沿线发展优质越冬露地蔬菜基地和设施保护栽培基地。</w:t>
      </w:r>
    </w:p>
    <w:p>
      <w:pPr>
        <w:pStyle w:val="19"/>
        <w:tabs>
          <w:tab w:val="left" w:pos="1457"/>
        </w:tabs>
        <w:snapToGrid w:val="0"/>
        <w:rPr>
          <w:rFonts w:hint="eastAsia" w:eastAsia="仿宋_GB2312"/>
          <w:lang w:eastAsia="zh-CN"/>
        </w:rPr>
      </w:pPr>
      <w:r>
        <w:rPr>
          <w:rFonts w:hint="eastAsia"/>
          <w:lang w:eastAsia="zh-CN"/>
        </w:rPr>
        <w:tab/>
      </w:r>
    </w:p>
  </w:footnote>
  <w:footnote w:id="4">
    <w:p>
      <w:pPr>
        <w:pStyle w:val="19"/>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Times New Roman" w:hAnsi="Times New Roman" w:eastAsia="仿宋_GB2312" w:cs="Times New Roman"/>
          <w:color w:val="auto"/>
          <w:kern w:val="2"/>
          <w:sz w:val="18"/>
          <w:szCs w:val="24"/>
          <w:lang w:val="en-US" w:eastAsia="zh-CN" w:bidi="ar-SA"/>
        </w:rPr>
      </w:pPr>
      <w:r>
        <w:rPr>
          <w:rFonts w:hint="eastAsia" w:ascii="Times New Roman" w:hAnsi="Times New Roman" w:eastAsia="仿宋_GB2312" w:cs="Times New Roman"/>
          <w:color w:val="auto"/>
          <w:kern w:val="2"/>
          <w:sz w:val="18"/>
          <w:szCs w:val="24"/>
          <w:lang w:val="en-US" w:eastAsia="zh-CN" w:bidi="ar-SA"/>
        </w:rPr>
        <w:footnoteRef/>
      </w:r>
      <w:r>
        <w:rPr>
          <w:rFonts w:hint="eastAsia" w:ascii="Times New Roman" w:hAnsi="Times New Roman" w:eastAsia="仿宋_GB2312" w:cs="Times New Roman"/>
          <w:color w:val="auto"/>
          <w:kern w:val="2"/>
          <w:sz w:val="18"/>
          <w:szCs w:val="24"/>
          <w:lang w:val="en-US" w:eastAsia="zh-CN" w:bidi="ar-SA"/>
        </w:rPr>
        <w:t xml:space="preserve"> </w:t>
      </w:r>
      <w:r>
        <w:rPr>
          <w:rFonts w:hint="eastAsia" w:ascii="宋体" w:hAnsi="宋体" w:eastAsia="宋体" w:cs="宋体"/>
          <w:color w:val="auto"/>
          <w:kern w:val="2"/>
          <w:sz w:val="18"/>
          <w:szCs w:val="24"/>
          <w:lang w:val="en-US" w:eastAsia="zh-CN" w:bidi="ar-SA"/>
        </w:rPr>
        <w:t xml:space="preserve"> “一带”即东荆河生态文化休闲带，贯穿潜江南北，“三核”即汉江黄金带、潜江不夜城、湖乡金三角，“一园”即潜江国家乡村公园，“多点”即特色乡村旅游景区。</w:t>
      </w:r>
    </w:p>
  </w:footnote>
  <w:footnote w:id="5">
    <w:p>
      <w:pPr>
        <w:pStyle w:val="19"/>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jc w:val="both"/>
        <w:textAlignment w:val="auto"/>
        <w:rPr>
          <w:rFonts w:hint="default" w:eastAsia="仿宋_GB2312"/>
          <w:lang w:val="en-US" w:eastAsia="zh-CN"/>
        </w:rPr>
      </w:pPr>
      <w:r>
        <w:rPr>
          <w:rStyle w:val="26"/>
          <w:rFonts w:hint="eastAsia" w:eastAsia="宋体"/>
          <w:color w:val="auto"/>
        </w:rPr>
        <w:footnoteRef/>
      </w:r>
      <w:r>
        <w:rPr>
          <w:rStyle w:val="26"/>
          <w:rFonts w:hint="eastAsia" w:eastAsia="宋体"/>
          <w:color w:val="auto"/>
        </w:rPr>
        <w:t xml:space="preserve"> </w:t>
      </w:r>
      <w:r>
        <w:rPr>
          <w:rFonts w:hint="eastAsia" w:ascii="宋体" w:hAnsi="宋体" w:eastAsia="宋体" w:cs="宋体"/>
          <w:lang w:eastAsia="zh-CN"/>
        </w:rPr>
        <w:t>“</w:t>
      </w:r>
      <w:r>
        <w:rPr>
          <w:rFonts w:hint="eastAsia" w:ascii="宋体" w:hAnsi="宋体" w:eastAsia="宋体" w:cs="宋体"/>
          <w:lang w:val="en-US" w:eastAsia="zh-CN"/>
        </w:rPr>
        <w:t>一区”是指东部现代服务业集聚区；“两带”是指沿城轨服务业发展带和西部水域生态旅游带；“四组团”是指广华周矶组团、文化旅游组团、先进制造服务组团、生态和科技组团。</w:t>
      </w:r>
    </w:p>
  </w:footnote>
  <w:footnote w:id="6">
    <w:p>
      <w:pPr>
        <w:pStyle w:val="19"/>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textAlignment w:val="auto"/>
      </w:pPr>
      <w:r>
        <w:rPr>
          <w:rStyle w:val="26"/>
          <w:rFonts w:hint="eastAsia" w:eastAsia="宋体"/>
          <w:color w:val="auto"/>
        </w:rPr>
        <w:footnoteRef/>
      </w:r>
      <w:r>
        <w:rPr>
          <w:rStyle w:val="26"/>
          <w:rFonts w:hint="eastAsia" w:eastAsia="宋体"/>
          <w:color w:val="auto"/>
        </w:rPr>
        <w:t xml:space="preserve"> </w:t>
      </w:r>
      <w:r>
        <w:rPr>
          <w:rFonts w:hint="eastAsia" w:ascii="宋体" w:hAnsi="宋体" w:eastAsia="宋体" w:cs="宋体"/>
          <w:sz w:val="18"/>
          <w:lang w:val="en-US" w:eastAsia="zh-CN"/>
        </w:rPr>
        <w:t>即创建国家旅游度假区、3A及以上旅游景区5个；创建省级旅游度假区、旅游名镇、旅游名村5个；创建市级农旅融合示范村10个。</w:t>
      </w:r>
    </w:p>
  </w:footnote>
  <w:footnote w:id="7">
    <w:p>
      <w:pPr>
        <w:pStyle w:val="19"/>
        <w:snapToGrid w:val="0"/>
        <w:spacing w:line="360" w:lineRule="auto"/>
        <w:ind w:left="0" w:leftChars="0" w:firstLine="0" w:firstLineChars="0"/>
        <w:jc w:val="both"/>
        <w:rPr>
          <w:rFonts w:hint="eastAsia" w:ascii="宋体" w:hAnsi="宋体" w:eastAsia="宋体" w:cs="宋体"/>
        </w:rPr>
      </w:pPr>
      <w:r>
        <w:rPr>
          <w:rFonts w:hint="eastAsia"/>
          <w:color w:val="auto"/>
          <w:lang w:val="en-US" w:eastAsia="zh-CN"/>
        </w:rPr>
        <w:footnoteRef/>
      </w:r>
      <w:r>
        <w:rPr>
          <w:rFonts w:hint="eastAsia"/>
          <w:color w:val="auto"/>
          <w:lang w:val="en-US" w:eastAsia="zh-CN"/>
        </w:rPr>
        <w:t xml:space="preserve"> </w:t>
      </w:r>
      <w:r>
        <w:rPr>
          <w:rFonts w:hint="eastAsia" w:ascii="宋体" w:hAnsi="宋体" w:eastAsia="宋体" w:cs="宋体"/>
          <w:color w:val="auto"/>
          <w:lang w:val="en-US" w:eastAsia="zh-CN"/>
        </w:rPr>
        <w:t>有管理制度、管理人员、生产记录、质量检测、包装标识以及质量追溯为重点的标准化管理模式。</w:t>
      </w:r>
    </w:p>
  </w:footnote>
  <w:footnote w:id="8">
    <w:p>
      <w:pPr>
        <w:pStyle w:val="19"/>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jc w:val="both"/>
        <w:textAlignment w:val="auto"/>
        <w:rPr>
          <w:rFonts w:hint="eastAsia"/>
          <w:color w:val="auto"/>
          <w:lang w:val="en-US" w:eastAsia="zh-CN"/>
        </w:rPr>
      </w:pPr>
      <w:r>
        <w:rPr>
          <w:rFonts w:hint="eastAsia"/>
          <w:color w:val="auto"/>
          <w:lang w:val="en-US" w:eastAsia="zh-CN"/>
        </w:rPr>
        <w:footnoteRef/>
      </w:r>
      <w:r>
        <w:rPr>
          <w:rFonts w:hint="eastAsia" w:ascii="宋体" w:hAnsi="宋体" w:eastAsia="宋体" w:cs="宋体"/>
          <w:color w:val="auto"/>
          <w:lang w:val="en-US" w:eastAsia="zh-CN"/>
        </w:rPr>
        <w:t xml:space="preserve"> 即华山公司通过把农民零散的土地以流转、租赁的方式集中起来，进行连片整治，再以倒包给农民的“一转一租一包”方式，建立政府、企业、农户、集体合作共赢的经营体系和“产城互动”的城镇化路径。</w:t>
      </w:r>
    </w:p>
  </w:footnote>
  <w:footnote w:id="9">
    <w:p>
      <w:pPr>
        <w:pStyle w:val="19"/>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jc w:val="both"/>
        <w:textAlignment w:val="auto"/>
        <w:rPr>
          <w:rFonts w:hint="eastAsia"/>
          <w:color w:val="auto"/>
          <w:lang w:val="en-US" w:eastAsia="zh-CN"/>
        </w:rPr>
      </w:pPr>
      <w:r>
        <w:rPr>
          <w:rFonts w:hint="eastAsia"/>
          <w:color w:val="auto"/>
          <w:lang w:val="en-US" w:eastAsia="zh-CN"/>
        </w:rPr>
        <w:footnoteRef/>
      </w:r>
      <w:r>
        <w:rPr>
          <w:rFonts w:hint="eastAsia"/>
          <w:color w:val="auto"/>
          <w:lang w:val="en-US" w:eastAsia="zh-CN"/>
        </w:rPr>
        <w:t xml:space="preserve"> </w:t>
      </w:r>
      <w:r>
        <w:rPr>
          <w:rFonts w:hint="eastAsia" w:ascii="宋体" w:hAnsi="宋体" w:eastAsia="宋体" w:cs="宋体"/>
          <w:color w:val="auto"/>
          <w:lang w:val="en-US" w:eastAsia="zh-CN"/>
        </w:rPr>
        <w:t>“两院”指湖北省小龙虾产业技术研究院、桂建芳院士专家工作站；“两中心”指湖北省小龙虾良种选育繁育中心、湖北省甲壳素工程技术研究中心。</w:t>
      </w:r>
    </w:p>
  </w:footnote>
  <w:footnote w:id="10">
    <w:p>
      <w:pPr>
        <w:pStyle w:val="19"/>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宋体" w:hAnsi="宋体" w:eastAsia="宋体" w:cs="宋体"/>
          <w:color w:val="auto"/>
          <w:lang w:val="en-US" w:eastAsia="zh-CN"/>
        </w:rPr>
      </w:pPr>
      <w:r>
        <w:rPr>
          <w:rFonts w:hint="eastAsia"/>
          <w:color w:val="auto"/>
          <w:lang w:val="en-US" w:eastAsia="zh-CN"/>
        </w:rPr>
        <w:footnoteRef/>
      </w:r>
      <w:r>
        <w:rPr>
          <w:rFonts w:hint="eastAsia"/>
          <w:color w:val="auto"/>
          <w:lang w:val="en-US" w:eastAsia="zh-CN"/>
        </w:rPr>
        <w:t xml:space="preserve"> </w:t>
      </w:r>
      <w:r>
        <w:rPr>
          <w:rFonts w:hint="eastAsia" w:ascii="宋体" w:hAnsi="宋体" w:eastAsia="宋体" w:cs="宋体"/>
          <w:color w:val="auto"/>
          <w:lang w:val="en-US" w:eastAsia="zh-CN"/>
        </w:rPr>
        <w:t>围绕水稻、园艺、油菜、渔业、畜牧等湖北五大优势产业和特色产业，由张启发、邓秀新、傅廷栋、桂建芳、陈焕春5位院士分别领衔，湖北涉农高校、科研单位牵头，组建15个科技服务团队，对接联系15个县市，重点开展15项科技服务行动。</w:t>
      </w:r>
    </w:p>
  </w:footnote>
  <w:footnote w:id="11">
    <w:p>
      <w:pPr>
        <w:pStyle w:val="19"/>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jc w:val="both"/>
        <w:textAlignment w:val="auto"/>
        <w:rPr>
          <w:rFonts w:hint="eastAsia"/>
          <w:color w:val="auto"/>
          <w:lang w:val="en-US" w:eastAsia="zh-CN"/>
        </w:rPr>
      </w:pPr>
      <w:r>
        <w:rPr>
          <w:rFonts w:hint="eastAsia"/>
          <w:color w:val="auto"/>
          <w:lang w:val="en-US" w:eastAsia="zh-CN"/>
        </w:rPr>
        <w:footnoteRef/>
      </w:r>
      <w:r>
        <w:rPr>
          <w:rFonts w:hint="eastAsia"/>
          <w:color w:val="auto"/>
          <w:lang w:val="en-US" w:eastAsia="zh-CN"/>
        </w:rPr>
        <w:t xml:space="preserve"> </w:t>
      </w:r>
      <w:r>
        <w:rPr>
          <w:rFonts w:hint="eastAsia" w:ascii="宋体" w:hAnsi="宋体" w:eastAsia="宋体" w:cs="宋体"/>
          <w:color w:val="auto"/>
          <w:lang w:val="en-US" w:eastAsia="zh-CN"/>
        </w:rPr>
        <w:t>“三项制度”即行政执法公示制度、执法全过程记录制度、重大执法决定法制审核制度。</w:t>
      </w:r>
    </w:p>
  </w:footnote>
  <w:footnote w:id="12">
    <w:p>
      <w:pPr>
        <w:pStyle w:val="19"/>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宋体" w:hAnsi="宋体" w:eastAsia="宋体" w:cs="宋体"/>
          <w:color w:val="auto"/>
          <w:lang w:val="en-US" w:eastAsia="zh-CN"/>
        </w:rPr>
      </w:pPr>
      <w:r>
        <w:rPr>
          <w:rFonts w:hint="eastAsia"/>
          <w:color w:val="auto"/>
          <w:lang w:val="en-US" w:eastAsia="zh-CN"/>
        </w:rPr>
        <w:footnoteRef/>
      </w:r>
      <w:r>
        <w:rPr>
          <w:rFonts w:hint="eastAsia"/>
          <w:color w:val="auto"/>
          <w:lang w:val="en-US" w:eastAsia="zh-CN"/>
        </w:rPr>
        <w:t xml:space="preserve"> </w:t>
      </w:r>
      <w:r>
        <w:rPr>
          <w:rFonts w:hint="eastAsia" w:ascii="宋体" w:hAnsi="宋体" w:eastAsia="宋体" w:cs="宋体"/>
          <w:lang w:eastAsia="zh-CN"/>
        </w:rPr>
        <w:t>“</w:t>
      </w:r>
      <w:r>
        <w:rPr>
          <w:rFonts w:hint="eastAsia" w:ascii="宋体" w:hAnsi="宋体" w:eastAsia="宋体" w:cs="宋体"/>
          <w:lang w:val="en-US" w:eastAsia="zh-CN"/>
        </w:rPr>
        <w:t>两项制度</w:t>
      </w:r>
      <w:r>
        <w:rPr>
          <w:rFonts w:hint="eastAsia" w:ascii="宋体" w:hAnsi="宋体" w:eastAsia="宋体" w:cs="宋体"/>
          <w:lang w:eastAsia="zh-CN"/>
        </w:rPr>
        <w:t>”</w:t>
      </w:r>
      <w:r>
        <w:rPr>
          <w:rFonts w:hint="eastAsia" w:ascii="宋体" w:hAnsi="宋体" w:eastAsia="宋体" w:cs="宋体"/>
          <w:lang w:val="en-US" w:eastAsia="zh-CN"/>
        </w:rPr>
        <w:t>即</w:t>
      </w:r>
      <w:r>
        <w:rPr>
          <w:rFonts w:hint="eastAsia" w:ascii="宋体" w:hAnsi="宋体" w:eastAsia="宋体" w:cs="宋体"/>
          <w:color w:val="auto"/>
          <w:lang w:val="en-US" w:eastAsia="zh-CN"/>
        </w:rPr>
        <w:t>非洲猪瘟自检制度和官方兽医派驻制度。</w:t>
      </w:r>
    </w:p>
  </w:footnote>
  <w:footnote w:id="13">
    <w:p>
      <w:pPr>
        <w:pStyle w:val="19"/>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宋体" w:hAnsi="宋体" w:eastAsia="宋体" w:cs="宋体"/>
        </w:rPr>
      </w:pPr>
      <w:r>
        <w:rPr>
          <w:rFonts w:hint="eastAsia"/>
          <w:color w:val="auto"/>
          <w:lang w:val="en-US" w:eastAsia="zh-CN"/>
        </w:rPr>
        <w:footnoteRef/>
      </w:r>
      <w:r>
        <w:rPr>
          <w:rFonts w:hint="eastAsia"/>
          <w:color w:val="auto"/>
          <w:lang w:val="en-US" w:eastAsia="zh-CN"/>
        </w:rPr>
        <w:t xml:space="preserve"> </w:t>
      </w:r>
      <w:r>
        <w:rPr>
          <w:rFonts w:hint="eastAsia" w:ascii="宋体" w:hAnsi="宋体" w:eastAsia="宋体" w:cs="宋体"/>
        </w:rPr>
        <w:t>两章两证，即：两章是动物产品上盖有动物产品检疫合格验讫印章和肉品品质检验验讫印章，两证是动物产品检疫合格证明和肉品品质检验合格证明。</w:t>
      </w:r>
    </w:p>
  </w:footnote>
  <w:footnote w:id="14">
    <w:p>
      <w:pPr>
        <w:pStyle w:val="19"/>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jc w:val="both"/>
        <w:textAlignment w:val="auto"/>
        <w:rPr>
          <w:rFonts w:hint="eastAsia" w:eastAsia="仿宋_GB2312"/>
          <w:lang w:val="en-US" w:eastAsia="zh-CN"/>
        </w:rPr>
      </w:pPr>
      <w:r>
        <w:rPr>
          <w:rStyle w:val="26"/>
          <w:rFonts w:hint="eastAsia" w:eastAsia="宋体"/>
          <w:color w:val="auto"/>
        </w:rPr>
        <w:footnoteRef/>
      </w:r>
      <w:r>
        <w:rPr>
          <w:rStyle w:val="26"/>
          <w:rFonts w:hint="eastAsia" w:eastAsia="宋体"/>
          <w:color w:val="auto"/>
        </w:rPr>
        <w:t xml:space="preserve"> </w:t>
      </w:r>
      <w:r>
        <w:rPr>
          <w:rFonts w:hint="eastAsia" w:ascii="宋体" w:hAnsi="宋体" w:eastAsia="宋体" w:cs="宋体"/>
          <w:color w:val="auto"/>
          <w:lang w:val="en-US" w:eastAsia="zh-CN"/>
        </w:rPr>
        <w:t>沿潜监线（240国道）、襄岳线（234国道）、318国道、运拖路（322省道）、枣石高速、沪渝高速和沪蓉高铁沿线打造“三纵三横”美丽乡村示范带。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NotTrackMoves/>
  <w:documentProtection w:enforcement="0"/>
  <w:defaultTabStop w:val="420"/>
  <w:drawingGridVerticalSpacing w:val="219"/>
  <w:displayHorizontalDrawingGridEvery w:val="1"/>
  <w:displayVerticalDrawingGridEvery w:val="2"/>
  <w:noPunctuationKerning w:val="1"/>
  <w:characterSpacingControl w:val="compressPunctuation"/>
  <w:hdrShapeDefaults>
    <o:shapelayout v:ext="edit">
      <o:idmap v:ext="edit" data="1"/>
    </o:shapelayout>
  </w:hdrShapeDefaults>
  <w:footnotePr>
    <w:footnote w:id="30"/>
    <w:footnote w:id="3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iMWQ5ODM5ZDI0MWEwODRhNDMyMmJhNDc4YTEzYzQifQ=="/>
  </w:docVars>
  <w:rsids>
    <w:rsidRoot w:val="2CEF16F6"/>
    <w:rsid w:val="0004449B"/>
    <w:rsid w:val="0005614F"/>
    <w:rsid w:val="00061734"/>
    <w:rsid w:val="000655B9"/>
    <w:rsid w:val="00065ADA"/>
    <w:rsid w:val="000843E0"/>
    <w:rsid w:val="00092121"/>
    <w:rsid w:val="000A0AD8"/>
    <w:rsid w:val="000B164C"/>
    <w:rsid w:val="000C1DAA"/>
    <w:rsid w:val="000E5737"/>
    <w:rsid w:val="000E6E65"/>
    <w:rsid w:val="000F4183"/>
    <w:rsid w:val="001413EF"/>
    <w:rsid w:val="00156665"/>
    <w:rsid w:val="00193E3B"/>
    <w:rsid w:val="001A3841"/>
    <w:rsid w:val="001A4D32"/>
    <w:rsid w:val="001A76A7"/>
    <w:rsid w:val="001B0AA3"/>
    <w:rsid w:val="001B17A4"/>
    <w:rsid w:val="001D3AC4"/>
    <w:rsid w:val="002034E8"/>
    <w:rsid w:val="00242D59"/>
    <w:rsid w:val="002D0081"/>
    <w:rsid w:val="002D64D8"/>
    <w:rsid w:val="002E6315"/>
    <w:rsid w:val="002F7219"/>
    <w:rsid w:val="003114AE"/>
    <w:rsid w:val="0031212D"/>
    <w:rsid w:val="003310F1"/>
    <w:rsid w:val="00335D04"/>
    <w:rsid w:val="00335F24"/>
    <w:rsid w:val="003A3648"/>
    <w:rsid w:val="003A6D19"/>
    <w:rsid w:val="003D751D"/>
    <w:rsid w:val="003E559F"/>
    <w:rsid w:val="003F7309"/>
    <w:rsid w:val="0041028D"/>
    <w:rsid w:val="0041592B"/>
    <w:rsid w:val="00415961"/>
    <w:rsid w:val="00432BA8"/>
    <w:rsid w:val="004601DF"/>
    <w:rsid w:val="00482CF3"/>
    <w:rsid w:val="004964A6"/>
    <w:rsid w:val="004B3489"/>
    <w:rsid w:val="004D3BA6"/>
    <w:rsid w:val="004E7709"/>
    <w:rsid w:val="00536A6C"/>
    <w:rsid w:val="005467E3"/>
    <w:rsid w:val="00555EE2"/>
    <w:rsid w:val="0057305A"/>
    <w:rsid w:val="00580481"/>
    <w:rsid w:val="00590B68"/>
    <w:rsid w:val="005A4A07"/>
    <w:rsid w:val="005C24A5"/>
    <w:rsid w:val="005F1262"/>
    <w:rsid w:val="005F518F"/>
    <w:rsid w:val="006038ED"/>
    <w:rsid w:val="00623346"/>
    <w:rsid w:val="00653407"/>
    <w:rsid w:val="006655C4"/>
    <w:rsid w:val="00670792"/>
    <w:rsid w:val="00674F51"/>
    <w:rsid w:val="00680061"/>
    <w:rsid w:val="00684F64"/>
    <w:rsid w:val="00704D42"/>
    <w:rsid w:val="0072148B"/>
    <w:rsid w:val="00757A13"/>
    <w:rsid w:val="00761765"/>
    <w:rsid w:val="007837AA"/>
    <w:rsid w:val="00787069"/>
    <w:rsid w:val="007C40FC"/>
    <w:rsid w:val="00807E26"/>
    <w:rsid w:val="00811A47"/>
    <w:rsid w:val="008222D9"/>
    <w:rsid w:val="00837D34"/>
    <w:rsid w:val="008513B4"/>
    <w:rsid w:val="00852626"/>
    <w:rsid w:val="008616CB"/>
    <w:rsid w:val="00862AC5"/>
    <w:rsid w:val="00863A23"/>
    <w:rsid w:val="0087631B"/>
    <w:rsid w:val="00887BCF"/>
    <w:rsid w:val="00891579"/>
    <w:rsid w:val="008E073A"/>
    <w:rsid w:val="00926BF6"/>
    <w:rsid w:val="00966B78"/>
    <w:rsid w:val="009A1F65"/>
    <w:rsid w:val="009B5321"/>
    <w:rsid w:val="009E651E"/>
    <w:rsid w:val="009F59EE"/>
    <w:rsid w:val="00A03C2D"/>
    <w:rsid w:val="00A32EA2"/>
    <w:rsid w:val="00A72491"/>
    <w:rsid w:val="00A957E6"/>
    <w:rsid w:val="00A95BB3"/>
    <w:rsid w:val="00AB1603"/>
    <w:rsid w:val="00AC19ED"/>
    <w:rsid w:val="00AC24B8"/>
    <w:rsid w:val="00AC76A6"/>
    <w:rsid w:val="00AD400E"/>
    <w:rsid w:val="00AF6037"/>
    <w:rsid w:val="00B076B0"/>
    <w:rsid w:val="00B10448"/>
    <w:rsid w:val="00B157F7"/>
    <w:rsid w:val="00B73923"/>
    <w:rsid w:val="00B77197"/>
    <w:rsid w:val="00BA5FBE"/>
    <w:rsid w:val="00BD447E"/>
    <w:rsid w:val="00C1356B"/>
    <w:rsid w:val="00C519D3"/>
    <w:rsid w:val="00C91E04"/>
    <w:rsid w:val="00CA0CC6"/>
    <w:rsid w:val="00CA5520"/>
    <w:rsid w:val="00CD322E"/>
    <w:rsid w:val="00CF2CF6"/>
    <w:rsid w:val="00D056BE"/>
    <w:rsid w:val="00D404EE"/>
    <w:rsid w:val="00D6247B"/>
    <w:rsid w:val="00D91CE6"/>
    <w:rsid w:val="00DC26A0"/>
    <w:rsid w:val="00DE11BC"/>
    <w:rsid w:val="00DE18CE"/>
    <w:rsid w:val="00E07A9A"/>
    <w:rsid w:val="00E36005"/>
    <w:rsid w:val="00E43EFA"/>
    <w:rsid w:val="00ED53B7"/>
    <w:rsid w:val="00ED5D5C"/>
    <w:rsid w:val="00F1041F"/>
    <w:rsid w:val="00F356CA"/>
    <w:rsid w:val="00F50346"/>
    <w:rsid w:val="00F527FE"/>
    <w:rsid w:val="00F77049"/>
    <w:rsid w:val="00FA3790"/>
    <w:rsid w:val="00FC0387"/>
    <w:rsid w:val="00FC2735"/>
    <w:rsid w:val="00FD32DA"/>
    <w:rsid w:val="00FE107E"/>
    <w:rsid w:val="00FF69B2"/>
    <w:rsid w:val="0104473A"/>
    <w:rsid w:val="01122176"/>
    <w:rsid w:val="011E6D84"/>
    <w:rsid w:val="012E5D2D"/>
    <w:rsid w:val="01307905"/>
    <w:rsid w:val="01324B8A"/>
    <w:rsid w:val="0137423B"/>
    <w:rsid w:val="01381BDB"/>
    <w:rsid w:val="01424372"/>
    <w:rsid w:val="014948A3"/>
    <w:rsid w:val="014B2EE0"/>
    <w:rsid w:val="014D4A35"/>
    <w:rsid w:val="01514AB9"/>
    <w:rsid w:val="015341BD"/>
    <w:rsid w:val="015D0D5E"/>
    <w:rsid w:val="01665487"/>
    <w:rsid w:val="01677F05"/>
    <w:rsid w:val="01694F8F"/>
    <w:rsid w:val="016D46B7"/>
    <w:rsid w:val="0171342A"/>
    <w:rsid w:val="0172602C"/>
    <w:rsid w:val="01760EA4"/>
    <w:rsid w:val="018A48FF"/>
    <w:rsid w:val="018C0538"/>
    <w:rsid w:val="018F43D1"/>
    <w:rsid w:val="018F4EEF"/>
    <w:rsid w:val="01914919"/>
    <w:rsid w:val="01940C63"/>
    <w:rsid w:val="01953997"/>
    <w:rsid w:val="019A27DC"/>
    <w:rsid w:val="019A4541"/>
    <w:rsid w:val="019B00B9"/>
    <w:rsid w:val="019D001D"/>
    <w:rsid w:val="01AF50FE"/>
    <w:rsid w:val="01B25933"/>
    <w:rsid w:val="01B52795"/>
    <w:rsid w:val="01B84E40"/>
    <w:rsid w:val="01B942EB"/>
    <w:rsid w:val="01C060C7"/>
    <w:rsid w:val="01C216A2"/>
    <w:rsid w:val="01C92489"/>
    <w:rsid w:val="01CE5696"/>
    <w:rsid w:val="01D14FEC"/>
    <w:rsid w:val="01D173F5"/>
    <w:rsid w:val="01D66E44"/>
    <w:rsid w:val="01DB293B"/>
    <w:rsid w:val="01E17910"/>
    <w:rsid w:val="01EC6091"/>
    <w:rsid w:val="020003C7"/>
    <w:rsid w:val="02123BB1"/>
    <w:rsid w:val="02177791"/>
    <w:rsid w:val="02192AD0"/>
    <w:rsid w:val="021E6B31"/>
    <w:rsid w:val="021F1874"/>
    <w:rsid w:val="02223A9A"/>
    <w:rsid w:val="0229450D"/>
    <w:rsid w:val="022A136A"/>
    <w:rsid w:val="022B037F"/>
    <w:rsid w:val="022B6014"/>
    <w:rsid w:val="02360FC8"/>
    <w:rsid w:val="023A53D6"/>
    <w:rsid w:val="023B4F80"/>
    <w:rsid w:val="023F55B1"/>
    <w:rsid w:val="02540F15"/>
    <w:rsid w:val="025C6F30"/>
    <w:rsid w:val="02635FE6"/>
    <w:rsid w:val="02683A22"/>
    <w:rsid w:val="026F42CA"/>
    <w:rsid w:val="0275632B"/>
    <w:rsid w:val="02765E86"/>
    <w:rsid w:val="027D5B5A"/>
    <w:rsid w:val="02867E01"/>
    <w:rsid w:val="028816BB"/>
    <w:rsid w:val="028B4364"/>
    <w:rsid w:val="029877ED"/>
    <w:rsid w:val="02A0521A"/>
    <w:rsid w:val="02AA7684"/>
    <w:rsid w:val="02AB1D36"/>
    <w:rsid w:val="02AD1C79"/>
    <w:rsid w:val="02AE15F1"/>
    <w:rsid w:val="02B106CD"/>
    <w:rsid w:val="02B74F66"/>
    <w:rsid w:val="02BA3577"/>
    <w:rsid w:val="02C86DFD"/>
    <w:rsid w:val="02CC576D"/>
    <w:rsid w:val="02CF4776"/>
    <w:rsid w:val="02CF65B9"/>
    <w:rsid w:val="02D412A4"/>
    <w:rsid w:val="02E00F11"/>
    <w:rsid w:val="02E05E42"/>
    <w:rsid w:val="02E14DFF"/>
    <w:rsid w:val="02EC26CB"/>
    <w:rsid w:val="02EC3647"/>
    <w:rsid w:val="02F86A81"/>
    <w:rsid w:val="03001303"/>
    <w:rsid w:val="0305336D"/>
    <w:rsid w:val="03066E53"/>
    <w:rsid w:val="030F63BC"/>
    <w:rsid w:val="031579A9"/>
    <w:rsid w:val="03176191"/>
    <w:rsid w:val="032322D8"/>
    <w:rsid w:val="032A6A7D"/>
    <w:rsid w:val="03377E9B"/>
    <w:rsid w:val="03432DD2"/>
    <w:rsid w:val="03542116"/>
    <w:rsid w:val="035526EA"/>
    <w:rsid w:val="035C4D6B"/>
    <w:rsid w:val="03620F67"/>
    <w:rsid w:val="03693FC9"/>
    <w:rsid w:val="036A12F8"/>
    <w:rsid w:val="036D0E6A"/>
    <w:rsid w:val="03726365"/>
    <w:rsid w:val="03790ACC"/>
    <w:rsid w:val="037A01A3"/>
    <w:rsid w:val="037F4A50"/>
    <w:rsid w:val="03875789"/>
    <w:rsid w:val="0389216C"/>
    <w:rsid w:val="039506E1"/>
    <w:rsid w:val="03BB3A06"/>
    <w:rsid w:val="03BF337A"/>
    <w:rsid w:val="03C077E7"/>
    <w:rsid w:val="03C144C7"/>
    <w:rsid w:val="03C74647"/>
    <w:rsid w:val="03D00076"/>
    <w:rsid w:val="03D118A3"/>
    <w:rsid w:val="03D17012"/>
    <w:rsid w:val="03D71C87"/>
    <w:rsid w:val="03F6455B"/>
    <w:rsid w:val="03FB0ABA"/>
    <w:rsid w:val="0406442A"/>
    <w:rsid w:val="040C5480"/>
    <w:rsid w:val="040C7859"/>
    <w:rsid w:val="040F2503"/>
    <w:rsid w:val="041C20EB"/>
    <w:rsid w:val="041D3CFD"/>
    <w:rsid w:val="041D48F3"/>
    <w:rsid w:val="042527E9"/>
    <w:rsid w:val="042D5572"/>
    <w:rsid w:val="042E7D8E"/>
    <w:rsid w:val="04320B64"/>
    <w:rsid w:val="043511A6"/>
    <w:rsid w:val="043668C2"/>
    <w:rsid w:val="043F7BDA"/>
    <w:rsid w:val="0444126A"/>
    <w:rsid w:val="04442BBE"/>
    <w:rsid w:val="0446430A"/>
    <w:rsid w:val="044B5F40"/>
    <w:rsid w:val="045455A1"/>
    <w:rsid w:val="045E2933"/>
    <w:rsid w:val="046C2246"/>
    <w:rsid w:val="047411EB"/>
    <w:rsid w:val="04774AA9"/>
    <w:rsid w:val="048171A0"/>
    <w:rsid w:val="048348C8"/>
    <w:rsid w:val="048E4BAB"/>
    <w:rsid w:val="048F37E3"/>
    <w:rsid w:val="049700F8"/>
    <w:rsid w:val="0499127B"/>
    <w:rsid w:val="049B55CA"/>
    <w:rsid w:val="049E7B96"/>
    <w:rsid w:val="04A212C4"/>
    <w:rsid w:val="04A234FC"/>
    <w:rsid w:val="04A324D6"/>
    <w:rsid w:val="04B22FFF"/>
    <w:rsid w:val="04C40E8C"/>
    <w:rsid w:val="04CD496B"/>
    <w:rsid w:val="04D91A1F"/>
    <w:rsid w:val="04DF1A36"/>
    <w:rsid w:val="04E06571"/>
    <w:rsid w:val="04E27EC8"/>
    <w:rsid w:val="04E85767"/>
    <w:rsid w:val="04EA4E4A"/>
    <w:rsid w:val="04ED7AA8"/>
    <w:rsid w:val="04F72400"/>
    <w:rsid w:val="04F74653"/>
    <w:rsid w:val="04FC16E7"/>
    <w:rsid w:val="04FC4CC1"/>
    <w:rsid w:val="04FE01B7"/>
    <w:rsid w:val="05041C3B"/>
    <w:rsid w:val="05190307"/>
    <w:rsid w:val="051923AA"/>
    <w:rsid w:val="05254FFF"/>
    <w:rsid w:val="052744F8"/>
    <w:rsid w:val="052A3DD5"/>
    <w:rsid w:val="052E110A"/>
    <w:rsid w:val="053121FA"/>
    <w:rsid w:val="05322FD5"/>
    <w:rsid w:val="05396884"/>
    <w:rsid w:val="053F25A9"/>
    <w:rsid w:val="053F7087"/>
    <w:rsid w:val="05436A7A"/>
    <w:rsid w:val="05542A2D"/>
    <w:rsid w:val="0556465F"/>
    <w:rsid w:val="0560051C"/>
    <w:rsid w:val="05625220"/>
    <w:rsid w:val="05666807"/>
    <w:rsid w:val="05705682"/>
    <w:rsid w:val="057327EF"/>
    <w:rsid w:val="05752349"/>
    <w:rsid w:val="057C4B30"/>
    <w:rsid w:val="057C7C83"/>
    <w:rsid w:val="057E1553"/>
    <w:rsid w:val="057F394B"/>
    <w:rsid w:val="05805A77"/>
    <w:rsid w:val="05852FCF"/>
    <w:rsid w:val="05880F6C"/>
    <w:rsid w:val="058A15C0"/>
    <w:rsid w:val="058D56A5"/>
    <w:rsid w:val="059002C6"/>
    <w:rsid w:val="05955AF0"/>
    <w:rsid w:val="059912A0"/>
    <w:rsid w:val="05A54901"/>
    <w:rsid w:val="05B73209"/>
    <w:rsid w:val="05B91012"/>
    <w:rsid w:val="05C24905"/>
    <w:rsid w:val="05C3354E"/>
    <w:rsid w:val="05CA2962"/>
    <w:rsid w:val="05D601BD"/>
    <w:rsid w:val="05DB2DC9"/>
    <w:rsid w:val="05DB6018"/>
    <w:rsid w:val="05DD1391"/>
    <w:rsid w:val="05DF35F7"/>
    <w:rsid w:val="05E219D0"/>
    <w:rsid w:val="05E47FE3"/>
    <w:rsid w:val="05E579EF"/>
    <w:rsid w:val="05E7350B"/>
    <w:rsid w:val="05EB73CD"/>
    <w:rsid w:val="05EC2F1C"/>
    <w:rsid w:val="05EF2DBA"/>
    <w:rsid w:val="05F428AD"/>
    <w:rsid w:val="05F52587"/>
    <w:rsid w:val="05F65ABD"/>
    <w:rsid w:val="05F716A1"/>
    <w:rsid w:val="05F96407"/>
    <w:rsid w:val="0602010D"/>
    <w:rsid w:val="060632E6"/>
    <w:rsid w:val="060732F5"/>
    <w:rsid w:val="06192FFB"/>
    <w:rsid w:val="0634492B"/>
    <w:rsid w:val="063964A7"/>
    <w:rsid w:val="063A43D6"/>
    <w:rsid w:val="063C1EF9"/>
    <w:rsid w:val="063C55A2"/>
    <w:rsid w:val="064156A5"/>
    <w:rsid w:val="06452586"/>
    <w:rsid w:val="06477A64"/>
    <w:rsid w:val="06515EDC"/>
    <w:rsid w:val="065534D6"/>
    <w:rsid w:val="065B0173"/>
    <w:rsid w:val="06651D9B"/>
    <w:rsid w:val="06651F68"/>
    <w:rsid w:val="066541AB"/>
    <w:rsid w:val="06717B9D"/>
    <w:rsid w:val="067A00D6"/>
    <w:rsid w:val="067D50AD"/>
    <w:rsid w:val="0681726F"/>
    <w:rsid w:val="0686649A"/>
    <w:rsid w:val="068B089A"/>
    <w:rsid w:val="06942E6D"/>
    <w:rsid w:val="069C4ACF"/>
    <w:rsid w:val="06A35E62"/>
    <w:rsid w:val="06A94586"/>
    <w:rsid w:val="06AB7749"/>
    <w:rsid w:val="06B80937"/>
    <w:rsid w:val="06B85B63"/>
    <w:rsid w:val="06B967EF"/>
    <w:rsid w:val="06BC52C2"/>
    <w:rsid w:val="06C03BF1"/>
    <w:rsid w:val="06D3325C"/>
    <w:rsid w:val="06E20067"/>
    <w:rsid w:val="06EC08AF"/>
    <w:rsid w:val="06F568AF"/>
    <w:rsid w:val="06FA3FD9"/>
    <w:rsid w:val="06FD4CE4"/>
    <w:rsid w:val="06FE5EA6"/>
    <w:rsid w:val="07021151"/>
    <w:rsid w:val="07046875"/>
    <w:rsid w:val="070F310D"/>
    <w:rsid w:val="071271D5"/>
    <w:rsid w:val="07164883"/>
    <w:rsid w:val="07182C82"/>
    <w:rsid w:val="071901B1"/>
    <w:rsid w:val="07311ECA"/>
    <w:rsid w:val="07354D22"/>
    <w:rsid w:val="0739514D"/>
    <w:rsid w:val="073D46C7"/>
    <w:rsid w:val="074567E0"/>
    <w:rsid w:val="0749767A"/>
    <w:rsid w:val="074C72AE"/>
    <w:rsid w:val="074F25C4"/>
    <w:rsid w:val="075712C7"/>
    <w:rsid w:val="07677F4D"/>
    <w:rsid w:val="0769754A"/>
    <w:rsid w:val="076F421E"/>
    <w:rsid w:val="07710FD1"/>
    <w:rsid w:val="07731948"/>
    <w:rsid w:val="0782535E"/>
    <w:rsid w:val="078E6904"/>
    <w:rsid w:val="079C2716"/>
    <w:rsid w:val="079D7B06"/>
    <w:rsid w:val="07A553F2"/>
    <w:rsid w:val="07AF3B89"/>
    <w:rsid w:val="07B17F25"/>
    <w:rsid w:val="07B212EC"/>
    <w:rsid w:val="07B63A5D"/>
    <w:rsid w:val="07C63CD8"/>
    <w:rsid w:val="07DF2E50"/>
    <w:rsid w:val="07E8754E"/>
    <w:rsid w:val="07EA064B"/>
    <w:rsid w:val="07F27F18"/>
    <w:rsid w:val="07F72912"/>
    <w:rsid w:val="07F97B6A"/>
    <w:rsid w:val="08025171"/>
    <w:rsid w:val="0807071D"/>
    <w:rsid w:val="080F5921"/>
    <w:rsid w:val="08137F80"/>
    <w:rsid w:val="081841B1"/>
    <w:rsid w:val="081A04BE"/>
    <w:rsid w:val="081D62A1"/>
    <w:rsid w:val="081F2BC7"/>
    <w:rsid w:val="081F7200"/>
    <w:rsid w:val="082048F3"/>
    <w:rsid w:val="082158F1"/>
    <w:rsid w:val="08262B15"/>
    <w:rsid w:val="08267140"/>
    <w:rsid w:val="0827138F"/>
    <w:rsid w:val="082C604B"/>
    <w:rsid w:val="082D314F"/>
    <w:rsid w:val="082E52E4"/>
    <w:rsid w:val="083269CD"/>
    <w:rsid w:val="08384903"/>
    <w:rsid w:val="08451922"/>
    <w:rsid w:val="08472317"/>
    <w:rsid w:val="08483562"/>
    <w:rsid w:val="084C26BD"/>
    <w:rsid w:val="084D6DC8"/>
    <w:rsid w:val="08512042"/>
    <w:rsid w:val="08595C30"/>
    <w:rsid w:val="085D6834"/>
    <w:rsid w:val="085D6E3F"/>
    <w:rsid w:val="086646DC"/>
    <w:rsid w:val="08675315"/>
    <w:rsid w:val="086D15D5"/>
    <w:rsid w:val="08750ED9"/>
    <w:rsid w:val="087A7850"/>
    <w:rsid w:val="087F5BAA"/>
    <w:rsid w:val="08822E83"/>
    <w:rsid w:val="0891512C"/>
    <w:rsid w:val="089458C5"/>
    <w:rsid w:val="08A316FC"/>
    <w:rsid w:val="08A46739"/>
    <w:rsid w:val="08A82618"/>
    <w:rsid w:val="08B44F60"/>
    <w:rsid w:val="08BA2094"/>
    <w:rsid w:val="08BB171C"/>
    <w:rsid w:val="08BD7D4D"/>
    <w:rsid w:val="08C15EB2"/>
    <w:rsid w:val="08C32EE6"/>
    <w:rsid w:val="08C50509"/>
    <w:rsid w:val="08C540DB"/>
    <w:rsid w:val="08C9611A"/>
    <w:rsid w:val="08CD45C1"/>
    <w:rsid w:val="08D5227E"/>
    <w:rsid w:val="08D83B4F"/>
    <w:rsid w:val="08E521A2"/>
    <w:rsid w:val="08E53E93"/>
    <w:rsid w:val="08EA107E"/>
    <w:rsid w:val="08F467B4"/>
    <w:rsid w:val="08F740B9"/>
    <w:rsid w:val="08F82807"/>
    <w:rsid w:val="09055D13"/>
    <w:rsid w:val="090C5ACC"/>
    <w:rsid w:val="090D70B0"/>
    <w:rsid w:val="091762C7"/>
    <w:rsid w:val="091B6462"/>
    <w:rsid w:val="092368F5"/>
    <w:rsid w:val="092A0474"/>
    <w:rsid w:val="092A6025"/>
    <w:rsid w:val="092C47FD"/>
    <w:rsid w:val="09393B00"/>
    <w:rsid w:val="093C4B6E"/>
    <w:rsid w:val="093D4530"/>
    <w:rsid w:val="093D6E79"/>
    <w:rsid w:val="09431451"/>
    <w:rsid w:val="094C65FF"/>
    <w:rsid w:val="09540E16"/>
    <w:rsid w:val="09583E3B"/>
    <w:rsid w:val="095A30F0"/>
    <w:rsid w:val="095F7530"/>
    <w:rsid w:val="09611412"/>
    <w:rsid w:val="09660AE0"/>
    <w:rsid w:val="096740F5"/>
    <w:rsid w:val="09675467"/>
    <w:rsid w:val="096D74DF"/>
    <w:rsid w:val="09717264"/>
    <w:rsid w:val="097544ED"/>
    <w:rsid w:val="09787D84"/>
    <w:rsid w:val="097D573D"/>
    <w:rsid w:val="09800DDD"/>
    <w:rsid w:val="09847F10"/>
    <w:rsid w:val="09851577"/>
    <w:rsid w:val="098632BE"/>
    <w:rsid w:val="098F0A30"/>
    <w:rsid w:val="09925067"/>
    <w:rsid w:val="09931646"/>
    <w:rsid w:val="09932F78"/>
    <w:rsid w:val="099370F8"/>
    <w:rsid w:val="09972867"/>
    <w:rsid w:val="099E6F9E"/>
    <w:rsid w:val="09A06CB1"/>
    <w:rsid w:val="09A415C8"/>
    <w:rsid w:val="09AB5C2C"/>
    <w:rsid w:val="09B45E6E"/>
    <w:rsid w:val="09BD087F"/>
    <w:rsid w:val="09C47F27"/>
    <w:rsid w:val="09CD4001"/>
    <w:rsid w:val="09D36638"/>
    <w:rsid w:val="09D943AC"/>
    <w:rsid w:val="09DE60D7"/>
    <w:rsid w:val="09E02A72"/>
    <w:rsid w:val="09E45E50"/>
    <w:rsid w:val="09E769BF"/>
    <w:rsid w:val="09EC417B"/>
    <w:rsid w:val="09F240C8"/>
    <w:rsid w:val="09FB1DDF"/>
    <w:rsid w:val="09FC1299"/>
    <w:rsid w:val="09FC6A24"/>
    <w:rsid w:val="09FE6D79"/>
    <w:rsid w:val="09FF03C6"/>
    <w:rsid w:val="0A0C4D3F"/>
    <w:rsid w:val="0A0D00C8"/>
    <w:rsid w:val="0A0D356A"/>
    <w:rsid w:val="0A0F079A"/>
    <w:rsid w:val="0A101D3B"/>
    <w:rsid w:val="0A204CD5"/>
    <w:rsid w:val="0A27062F"/>
    <w:rsid w:val="0A306C24"/>
    <w:rsid w:val="0A356462"/>
    <w:rsid w:val="0A3A0A5A"/>
    <w:rsid w:val="0A41782C"/>
    <w:rsid w:val="0A4C6B9D"/>
    <w:rsid w:val="0A4F7DD8"/>
    <w:rsid w:val="0A507A27"/>
    <w:rsid w:val="0A5233DD"/>
    <w:rsid w:val="0A563DF1"/>
    <w:rsid w:val="0A5F1E69"/>
    <w:rsid w:val="0A60541F"/>
    <w:rsid w:val="0A63087D"/>
    <w:rsid w:val="0A6C7BBD"/>
    <w:rsid w:val="0A701AF8"/>
    <w:rsid w:val="0A734929"/>
    <w:rsid w:val="0A795D71"/>
    <w:rsid w:val="0A8E18A2"/>
    <w:rsid w:val="0AA552A8"/>
    <w:rsid w:val="0AA64D28"/>
    <w:rsid w:val="0AA80859"/>
    <w:rsid w:val="0AAB0B11"/>
    <w:rsid w:val="0AAC5E02"/>
    <w:rsid w:val="0AB04220"/>
    <w:rsid w:val="0ABD1C8C"/>
    <w:rsid w:val="0AC437C2"/>
    <w:rsid w:val="0AC606AE"/>
    <w:rsid w:val="0ACD1596"/>
    <w:rsid w:val="0AD73F30"/>
    <w:rsid w:val="0ADA150C"/>
    <w:rsid w:val="0ADF29E8"/>
    <w:rsid w:val="0AE36BBA"/>
    <w:rsid w:val="0AEA6766"/>
    <w:rsid w:val="0AFE4777"/>
    <w:rsid w:val="0AFF0B8B"/>
    <w:rsid w:val="0B012FD6"/>
    <w:rsid w:val="0B061FB7"/>
    <w:rsid w:val="0B170F83"/>
    <w:rsid w:val="0B173772"/>
    <w:rsid w:val="0B1F4335"/>
    <w:rsid w:val="0B2604EA"/>
    <w:rsid w:val="0B2B2F2D"/>
    <w:rsid w:val="0B2C2192"/>
    <w:rsid w:val="0B2C4577"/>
    <w:rsid w:val="0B2C6B6A"/>
    <w:rsid w:val="0B2E53FB"/>
    <w:rsid w:val="0B336DF1"/>
    <w:rsid w:val="0B375B07"/>
    <w:rsid w:val="0B3C5918"/>
    <w:rsid w:val="0B4141F4"/>
    <w:rsid w:val="0B4355C2"/>
    <w:rsid w:val="0B4B081E"/>
    <w:rsid w:val="0B6975C8"/>
    <w:rsid w:val="0B6B3A34"/>
    <w:rsid w:val="0B6D152B"/>
    <w:rsid w:val="0B6D3003"/>
    <w:rsid w:val="0B6E1640"/>
    <w:rsid w:val="0B721AFB"/>
    <w:rsid w:val="0B74116E"/>
    <w:rsid w:val="0B75598C"/>
    <w:rsid w:val="0B806D89"/>
    <w:rsid w:val="0B8D495E"/>
    <w:rsid w:val="0B950884"/>
    <w:rsid w:val="0B981E04"/>
    <w:rsid w:val="0B9D729E"/>
    <w:rsid w:val="0BA306FF"/>
    <w:rsid w:val="0BA573C3"/>
    <w:rsid w:val="0BA6258D"/>
    <w:rsid w:val="0BAA045B"/>
    <w:rsid w:val="0BAB74C2"/>
    <w:rsid w:val="0BB4429C"/>
    <w:rsid w:val="0BC3253D"/>
    <w:rsid w:val="0BC751CB"/>
    <w:rsid w:val="0BD46524"/>
    <w:rsid w:val="0BD5265A"/>
    <w:rsid w:val="0BD537E2"/>
    <w:rsid w:val="0BDE6869"/>
    <w:rsid w:val="0BE15BDE"/>
    <w:rsid w:val="0BEC0B5C"/>
    <w:rsid w:val="0BF40CD4"/>
    <w:rsid w:val="0BF41B72"/>
    <w:rsid w:val="0BF85CAB"/>
    <w:rsid w:val="0C031C41"/>
    <w:rsid w:val="0C1038C0"/>
    <w:rsid w:val="0C110249"/>
    <w:rsid w:val="0C1703AF"/>
    <w:rsid w:val="0C1C03B3"/>
    <w:rsid w:val="0C212A63"/>
    <w:rsid w:val="0C2360CB"/>
    <w:rsid w:val="0C266078"/>
    <w:rsid w:val="0C2C7FE2"/>
    <w:rsid w:val="0C3158B6"/>
    <w:rsid w:val="0C335960"/>
    <w:rsid w:val="0C387648"/>
    <w:rsid w:val="0C3A6B4D"/>
    <w:rsid w:val="0C452176"/>
    <w:rsid w:val="0C486B17"/>
    <w:rsid w:val="0C500A96"/>
    <w:rsid w:val="0C5619A6"/>
    <w:rsid w:val="0C565F2D"/>
    <w:rsid w:val="0C5819C3"/>
    <w:rsid w:val="0C581D9D"/>
    <w:rsid w:val="0C5A6492"/>
    <w:rsid w:val="0C604C04"/>
    <w:rsid w:val="0C691095"/>
    <w:rsid w:val="0C694C44"/>
    <w:rsid w:val="0C7A045F"/>
    <w:rsid w:val="0C7A31AF"/>
    <w:rsid w:val="0C7B272A"/>
    <w:rsid w:val="0C7F1737"/>
    <w:rsid w:val="0C7F645B"/>
    <w:rsid w:val="0C8B7CFB"/>
    <w:rsid w:val="0C8F6B0F"/>
    <w:rsid w:val="0CB64AA7"/>
    <w:rsid w:val="0CB77A1C"/>
    <w:rsid w:val="0CB81CC4"/>
    <w:rsid w:val="0CD62AC5"/>
    <w:rsid w:val="0CD8280E"/>
    <w:rsid w:val="0CDD46B7"/>
    <w:rsid w:val="0CE349D5"/>
    <w:rsid w:val="0CE4165E"/>
    <w:rsid w:val="0CE94B8E"/>
    <w:rsid w:val="0CE94FAD"/>
    <w:rsid w:val="0CFF3D7D"/>
    <w:rsid w:val="0D097549"/>
    <w:rsid w:val="0D1C3807"/>
    <w:rsid w:val="0D204CB8"/>
    <w:rsid w:val="0D234367"/>
    <w:rsid w:val="0D290558"/>
    <w:rsid w:val="0D2E3BCF"/>
    <w:rsid w:val="0D333F27"/>
    <w:rsid w:val="0D346E3D"/>
    <w:rsid w:val="0D437FAF"/>
    <w:rsid w:val="0D59474B"/>
    <w:rsid w:val="0D5E4B8E"/>
    <w:rsid w:val="0D601187"/>
    <w:rsid w:val="0D6B18B0"/>
    <w:rsid w:val="0D6D5ADA"/>
    <w:rsid w:val="0D6E62FA"/>
    <w:rsid w:val="0D6F2E06"/>
    <w:rsid w:val="0D747B9F"/>
    <w:rsid w:val="0D787C52"/>
    <w:rsid w:val="0D7A04E6"/>
    <w:rsid w:val="0D7A41C3"/>
    <w:rsid w:val="0D7C315C"/>
    <w:rsid w:val="0D812F19"/>
    <w:rsid w:val="0D8164B9"/>
    <w:rsid w:val="0D8C7766"/>
    <w:rsid w:val="0D8D0A53"/>
    <w:rsid w:val="0D8D2ACF"/>
    <w:rsid w:val="0D923C97"/>
    <w:rsid w:val="0D9A69DC"/>
    <w:rsid w:val="0D9D7150"/>
    <w:rsid w:val="0DA12C88"/>
    <w:rsid w:val="0DA41B5C"/>
    <w:rsid w:val="0DA92597"/>
    <w:rsid w:val="0DB42D25"/>
    <w:rsid w:val="0DB60CDA"/>
    <w:rsid w:val="0DBB6E9D"/>
    <w:rsid w:val="0DC45249"/>
    <w:rsid w:val="0DC9369F"/>
    <w:rsid w:val="0DD2106D"/>
    <w:rsid w:val="0DD315CF"/>
    <w:rsid w:val="0DD36B5B"/>
    <w:rsid w:val="0DD71782"/>
    <w:rsid w:val="0DE7023C"/>
    <w:rsid w:val="0DEC2703"/>
    <w:rsid w:val="0DF54B89"/>
    <w:rsid w:val="0DFB4960"/>
    <w:rsid w:val="0E044715"/>
    <w:rsid w:val="0E0A1797"/>
    <w:rsid w:val="0E0D54DD"/>
    <w:rsid w:val="0E0F1C3C"/>
    <w:rsid w:val="0E16770F"/>
    <w:rsid w:val="0E173F42"/>
    <w:rsid w:val="0E1769BE"/>
    <w:rsid w:val="0E22138F"/>
    <w:rsid w:val="0E252E91"/>
    <w:rsid w:val="0E3108ED"/>
    <w:rsid w:val="0E386B09"/>
    <w:rsid w:val="0E38756D"/>
    <w:rsid w:val="0E39695A"/>
    <w:rsid w:val="0E3E26B1"/>
    <w:rsid w:val="0E4B6C6F"/>
    <w:rsid w:val="0E4C5745"/>
    <w:rsid w:val="0E4E65BA"/>
    <w:rsid w:val="0E663D4B"/>
    <w:rsid w:val="0E664E2B"/>
    <w:rsid w:val="0E6B42F5"/>
    <w:rsid w:val="0E6E7BB3"/>
    <w:rsid w:val="0E7B5E11"/>
    <w:rsid w:val="0E7C2795"/>
    <w:rsid w:val="0E863933"/>
    <w:rsid w:val="0E88090F"/>
    <w:rsid w:val="0E8E6BAD"/>
    <w:rsid w:val="0E9D18DA"/>
    <w:rsid w:val="0EA267CB"/>
    <w:rsid w:val="0EA34899"/>
    <w:rsid w:val="0EBC09A7"/>
    <w:rsid w:val="0EC227F0"/>
    <w:rsid w:val="0EC6256E"/>
    <w:rsid w:val="0EC955B2"/>
    <w:rsid w:val="0ECE32C8"/>
    <w:rsid w:val="0ED53712"/>
    <w:rsid w:val="0ED72EAF"/>
    <w:rsid w:val="0ED7623F"/>
    <w:rsid w:val="0EDB7C79"/>
    <w:rsid w:val="0EDC1600"/>
    <w:rsid w:val="0EDD10FF"/>
    <w:rsid w:val="0EE31905"/>
    <w:rsid w:val="0EEA219A"/>
    <w:rsid w:val="0EF14F4E"/>
    <w:rsid w:val="0EF63F0E"/>
    <w:rsid w:val="0EF94BBF"/>
    <w:rsid w:val="0F014753"/>
    <w:rsid w:val="0F0152D7"/>
    <w:rsid w:val="0F060A97"/>
    <w:rsid w:val="0F097E6F"/>
    <w:rsid w:val="0F123603"/>
    <w:rsid w:val="0F12413D"/>
    <w:rsid w:val="0F17721E"/>
    <w:rsid w:val="0F1B11E8"/>
    <w:rsid w:val="0F1E43FD"/>
    <w:rsid w:val="0F1F0F22"/>
    <w:rsid w:val="0F20485B"/>
    <w:rsid w:val="0F2205D2"/>
    <w:rsid w:val="0F241A47"/>
    <w:rsid w:val="0F271F78"/>
    <w:rsid w:val="0F276834"/>
    <w:rsid w:val="0F287E56"/>
    <w:rsid w:val="0F3329AB"/>
    <w:rsid w:val="0F3C0D39"/>
    <w:rsid w:val="0F3D0872"/>
    <w:rsid w:val="0F3E7568"/>
    <w:rsid w:val="0F4A1018"/>
    <w:rsid w:val="0F4C67A7"/>
    <w:rsid w:val="0F541E87"/>
    <w:rsid w:val="0F5B294F"/>
    <w:rsid w:val="0F763B93"/>
    <w:rsid w:val="0F831FB5"/>
    <w:rsid w:val="0F8A679B"/>
    <w:rsid w:val="0F8F4839"/>
    <w:rsid w:val="0F911848"/>
    <w:rsid w:val="0F994511"/>
    <w:rsid w:val="0F9A1524"/>
    <w:rsid w:val="0F9C1EA3"/>
    <w:rsid w:val="0FA00BE6"/>
    <w:rsid w:val="0FA636D0"/>
    <w:rsid w:val="0FAD17A2"/>
    <w:rsid w:val="0FBA5B46"/>
    <w:rsid w:val="0FCC0494"/>
    <w:rsid w:val="0FCD7EA6"/>
    <w:rsid w:val="0FCE673A"/>
    <w:rsid w:val="0FD03EFE"/>
    <w:rsid w:val="0FD56A7C"/>
    <w:rsid w:val="0FD622A9"/>
    <w:rsid w:val="0FF359CE"/>
    <w:rsid w:val="0FF73E7B"/>
    <w:rsid w:val="0FF85802"/>
    <w:rsid w:val="10034C3E"/>
    <w:rsid w:val="100A65DC"/>
    <w:rsid w:val="100B6F8D"/>
    <w:rsid w:val="100F1B62"/>
    <w:rsid w:val="101140FF"/>
    <w:rsid w:val="10151BA1"/>
    <w:rsid w:val="101C2494"/>
    <w:rsid w:val="102D040E"/>
    <w:rsid w:val="102D7B05"/>
    <w:rsid w:val="10324F43"/>
    <w:rsid w:val="103567D5"/>
    <w:rsid w:val="10363B10"/>
    <w:rsid w:val="103C3D2E"/>
    <w:rsid w:val="103D1FEC"/>
    <w:rsid w:val="10401320"/>
    <w:rsid w:val="10500615"/>
    <w:rsid w:val="10503C16"/>
    <w:rsid w:val="10547BB3"/>
    <w:rsid w:val="105F4B0D"/>
    <w:rsid w:val="105F5C62"/>
    <w:rsid w:val="10610AB2"/>
    <w:rsid w:val="10630B4F"/>
    <w:rsid w:val="106963C2"/>
    <w:rsid w:val="106B3C64"/>
    <w:rsid w:val="107C2EF4"/>
    <w:rsid w:val="107D3683"/>
    <w:rsid w:val="107D6477"/>
    <w:rsid w:val="10827AAA"/>
    <w:rsid w:val="1085460B"/>
    <w:rsid w:val="10876A87"/>
    <w:rsid w:val="108B0D62"/>
    <w:rsid w:val="1091187B"/>
    <w:rsid w:val="10984443"/>
    <w:rsid w:val="109B491A"/>
    <w:rsid w:val="10A00F29"/>
    <w:rsid w:val="10A15058"/>
    <w:rsid w:val="10A333B7"/>
    <w:rsid w:val="10AA1529"/>
    <w:rsid w:val="10B2445A"/>
    <w:rsid w:val="10BB788B"/>
    <w:rsid w:val="10C71266"/>
    <w:rsid w:val="10C767E8"/>
    <w:rsid w:val="10D029FC"/>
    <w:rsid w:val="10DB5C99"/>
    <w:rsid w:val="10DE2F57"/>
    <w:rsid w:val="10DE58EF"/>
    <w:rsid w:val="10EC0414"/>
    <w:rsid w:val="10F53187"/>
    <w:rsid w:val="10F5711B"/>
    <w:rsid w:val="10F57E21"/>
    <w:rsid w:val="10F8283C"/>
    <w:rsid w:val="10F91B4D"/>
    <w:rsid w:val="10FE29DE"/>
    <w:rsid w:val="1106451F"/>
    <w:rsid w:val="110D2577"/>
    <w:rsid w:val="111175D2"/>
    <w:rsid w:val="111F3758"/>
    <w:rsid w:val="11215257"/>
    <w:rsid w:val="11300A75"/>
    <w:rsid w:val="11331317"/>
    <w:rsid w:val="113B6956"/>
    <w:rsid w:val="113D02B0"/>
    <w:rsid w:val="113D5D92"/>
    <w:rsid w:val="11442050"/>
    <w:rsid w:val="114A2A0D"/>
    <w:rsid w:val="11507224"/>
    <w:rsid w:val="115339EA"/>
    <w:rsid w:val="1157158D"/>
    <w:rsid w:val="115E7509"/>
    <w:rsid w:val="115F343B"/>
    <w:rsid w:val="11610082"/>
    <w:rsid w:val="11673057"/>
    <w:rsid w:val="11686D5C"/>
    <w:rsid w:val="116B509E"/>
    <w:rsid w:val="116D088F"/>
    <w:rsid w:val="116D1489"/>
    <w:rsid w:val="117241B0"/>
    <w:rsid w:val="117532EB"/>
    <w:rsid w:val="11772002"/>
    <w:rsid w:val="1179229C"/>
    <w:rsid w:val="117A679F"/>
    <w:rsid w:val="117C194C"/>
    <w:rsid w:val="117C7C3D"/>
    <w:rsid w:val="117F7AE1"/>
    <w:rsid w:val="11820702"/>
    <w:rsid w:val="11883815"/>
    <w:rsid w:val="11895213"/>
    <w:rsid w:val="118C621B"/>
    <w:rsid w:val="118E2920"/>
    <w:rsid w:val="11974E5F"/>
    <w:rsid w:val="119E7E24"/>
    <w:rsid w:val="11A865E5"/>
    <w:rsid w:val="11B141E6"/>
    <w:rsid w:val="11B5388C"/>
    <w:rsid w:val="11B57142"/>
    <w:rsid w:val="11B67A67"/>
    <w:rsid w:val="11BE61EA"/>
    <w:rsid w:val="11C056F3"/>
    <w:rsid w:val="11D22BCD"/>
    <w:rsid w:val="11D96FF3"/>
    <w:rsid w:val="11DE159F"/>
    <w:rsid w:val="11E92D98"/>
    <w:rsid w:val="11E97419"/>
    <w:rsid w:val="11EB0631"/>
    <w:rsid w:val="11FA5946"/>
    <w:rsid w:val="12002D73"/>
    <w:rsid w:val="12026F6F"/>
    <w:rsid w:val="121C1815"/>
    <w:rsid w:val="121F2960"/>
    <w:rsid w:val="122C239B"/>
    <w:rsid w:val="122E09C8"/>
    <w:rsid w:val="123124B3"/>
    <w:rsid w:val="1234326F"/>
    <w:rsid w:val="12343AD0"/>
    <w:rsid w:val="1235524F"/>
    <w:rsid w:val="12365B6F"/>
    <w:rsid w:val="12370E5B"/>
    <w:rsid w:val="123A4EE1"/>
    <w:rsid w:val="12464846"/>
    <w:rsid w:val="12473ABB"/>
    <w:rsid w:val="12475700"/>
    <w:rsid w:val="12477BEA"/>
    <w:rsid w:val="12535F78"/>
    <w:rsid w:val="1265649A"/>
    <w:rsid w:val="128B4FFF"/>
    <w:rsid w:val="12943281"/>
    <w:rsid w:val="129868AF"/>
    <w:rsid w:val="129868F2"/>
    <w:rsid w:val="129876C8"/>
    <w:rsid w:val="12A539B0"/>
    <w:rsid w:val="12A54A5D"/>
    <w:rsid w:val="12AA11D1"/>
    <w:rsid w:val="12AC4002"/>
    <w:rsid w:val="12B26DA8"/>
    <w:rsid w:val="12B31426"/>
    <w:rsid w:val="12B32F38"/>
    <w:rsid w:val="12B345F1"/>
    <w:rsid w:val="12B41200"/>
    <w:rsid w:val="12B90675"/>
    <w:rsid w:val="12C607FF"/>
    <w:rsid w:val="12C6725C"/>
    <w:rsid w:val="12C82FB9"/>
    <w:rsid w:val="12DE3013"/>
    <w:rsid w:val="12E03786"/>
    <w:rsid w:val="12E60D13"/>
    <w:rsid w:val="12E96E35"/>
    <w:rsid w:val="12EA4914"/>
    <w:rsid w:val="12F55384"/>
    <w:rsid w:val="12F95CCF"/>
    <w:rsid w:val="1300133C"/>
    <w:rsid w:val="13096C5F"/>
    <w:rsid w:val="130D2015"/>
    <w:rsid w:val="130E4435"/>
    <w:rsid w:val="130F32CD"/>
    <w:rsid w:val="13101647"/>
    <w:rsid w:val="13133624"/>
    <w:rsid w:val="131500AB"/>
    <w:rsid w:val="131A3BA0"/>
    <w:rsid w:val="131E45E2"/>
    <w:rsid w:val="132C4A21"/>
    <w:rsid w:val="13332196"/>
    <w:rsid w:val="133759EE"/>
    <w:rsid w:val="133E3BB1"/>
    <w:rsid w:val="133F508A"/>
    <w:rsid w:val="134C66C5"/>
    <w:rsid w:val="1351449F"/>
    <w:rsid w:val="13576027"/>
    <w:rsid w:val="135D412A"/>
    <w:rsid w:val="135D53D5"/>
    <w:rsid w:val="135F0FB2"/>
    <w:rsid w:val="1369586B"/>
    <w:rsid w:val="136D7A27"/>
    <w:rsid w:val="136E7808"/>
    <w:rsid w:val="13755BC1"/>
    <w:rsid w:val="13762440"/>
    <w:rsid w:val="137940B0"/>
    <w:rsid w:val="137B50FF"/>
    <w:rsid w:val="137C579E"/>
    <w:rsid w:val="137E329E"/>
    <w:rsid w:val="137F1E35"/>
    <w:rsid w:val="138A36B1"/>
    <w:rsid w:val="138D43FD"/>
    <w:rsid w:val="138E31B3"/>
    <w:rsid w:val="139A070C"/>
    <w:rsid w:val="13A23202"/>
    <w:rsid w:val="13A606BC"/>
    <w:rsid w:val="13AA64B9"/>
    <w:rsid w:val="13AB2920"/>
    <w:rsid w:val="13B52F3B"/>
    <w:rsid w:val="13B73C6F"/>
    <w:rsid w:val="13B92863"/>
    <w:rsid w:val="13BC54ED"/>
    <w:rsid w:val="13C037E9"/>
    <w:rsid w:val="13C84474"/>
    <w:rsid w:val="13CD7024"/>
    <w:rsid w:val="13D51286"/>
    <w:rsid w:val="13D54FAE"/>
    <w:rsid w:val="13D724E8"/>
    <w:rsid w:val="13DE209C"/>
    <w:rsid w:val="13E21FB4"/>
    <w:rsid w:val="13ED100B"/>
    <w:rsid w:val="13ED1BFC"/>
    <w:rsid w:val="13F94F09"/>
    <w:rsid w:val="140552A0"/>
    <w:rsid w:val="14095425"/>
    <w:rsid w:val="141226C0"/>
    <w:rsid w:val="14197537"/>
    <w:rsid w:val="141C07C3"/>
    <w:rsid w:val="141E293C"/>
    <w:rsid w:val="141F7812"/>
    <w:rsid w:val="142076F6"/>
    <w:rsid w:val="142341E3"/>
    <w:rsid w:val="14247000"/>
    <w:rsid w:val="14260584"/>
    <w:rsid w:val="142F63E4"/>
    <w:rsid w:val="1438159A"/>
    <w:rsid w:val="14452D97"/>
    <w:rsid w:val="14465CD9"/>
    <w:rsid w:val="14515401"/>
    <w:rsid w:val="145717E9"/>
    <w:rsid w:val="145E0436"/>
    <w:rsid w:val="1464451D"/>
    <w:rsid w:val="14653186"/>
    <w:rsid w:val="146B6A32"/>
    <w:rsid w:val="14712755"/>
    <w:rsid w:val="14734F5A"/>
    <w:rsid w:val="1476685C"/>
    <w:rsid w:val="14780B0B"/>
    <w:rsid w:val="14793216"/>
    <w:rsid w:val="147C4BAE"/>
    <w:rsid w:val="147C7080"/>
    <w:rsid w:val="147F415C"/>
    <w:rsid w:val="148B5FA6"/>
    <w:rsid w:val="148D15E9"/>
    <w:rsid w:val="1496453C"/>
    <w:rsid w:val="14990DD9"/>
    <w:rsid w:val="149B0905"/>
    <w:rsid w:val="149F1EE9"/>
    <w:rsid w:val="149F74DD"/>
    <w:rsid w:val="14A07487"/>
    <w:rsid w:val="14A1516F"/>
    <w:rsid w:val="14AC5433"/>
    <w:rsid w:val="14AF079A"/>
    <w:rsid w:val="14B16837"/>
    <w:rsid w:val="14B40A7C"/>
    <w:rsid w:val="14B43A95"/>
    <w:rsid w:val="14BD650D"/>
    <w:rsid w:val="14BE0322"/>
    <w:rsid w:val="14C22EDB"/>
    <w:rsid w:val="14C413D4"/>
    <w:rsid w:val="14C568C9"/>
    <w:rsid w:val="14D34566"/>
    <w:rsid w:val="14DC5B9B"/>
    <w:rsid w:val="14DD7A26"/>
    <w:rsid w:val="14E21733"/>
    <w:rsid w:val="14E64A92"/>
    <w:rsid w:val="14E730EE"/>
    <w:rsid w:val="14EF6FD7"/>
    <w:rsid w:val="14F1597F"/>
    <w:rsid w:val="14FA20C1"/>
    <w:rsid w:val="14FF3D03"/>
    <w:rsid w:val="150179E9"/>
    <w:rsid w:val="15057B61"/>
    <w:rsid w:val="150708B8"/>
    <w:rsid w:val="150C52AA"/>
    <w:rsid w:val="15117ABB"/>
    <w:rsid w:val="151901CA"/>
    <w:rsid w:val="1532013C"/>
    <w:rsid w:val="15341A61"/>
    <w:rsid w:val="153742A7"/>
    <w:rsid w:val="15377241"/>
    <w:rsid w:val="153C66D7"/>
    <w:rsid w:val="153E45AB"/>
    <w:rsid w:val="15412BD5"/>
    <w:rsid w:val="1548581D"/>
    <w:rsid w:val="15536043"/>
    <w:rsid w:val="15542FB3"/>
    <w:rsid w:val="156235B8"/>
    <w:rsid w:val="15761678"/>
    <w:rsid w:val="15775649"/>
    <w:rsid w:val="157A075A"/>
    <w:rsid w:val="157D5A71"/>
    <w:rsid w:val="1580144A"/>
    <w:rsid w:val="15826AA9"/>
    <w:rsid w:val="15913844"/>
    <w:rsid w:val="159502B1"/>
    <w:rsid w:val="15A074FD"/>
    <w:rsid w:val="15A15574"/>
    <w:rsid w:val="15A76C48"/>
    <w:rsid w:val="15B26C36"/>
    <w:rsid w:val="15B51569"/>
    <w:rsid w:val="15B70BFC"/>
    <w:rsid w:val="15BC6CC1"/>
    <w:rsid w:val="15BE198D"/>
    <w:rsid w:val="15C62ED7"/>
    <w:rsid w:val="15CB01EF"/>
    <w:rsid w:val="15D14F92"/>
    <w:rsid w:val="15D27456"/>
    <w:rsid w:val="15D8381C"/>
    <w:rsid w:val="15EC4727"/>
    <w:rsid w:val="15EC7ACB"/>
    <w:rsid w:val="15ED68E1"/>
    <w:rsid w:val="16011937"/>
    <w:rsid w:val="16095194"/>
    <w:rsid w:val="160B4B69"/>
    <w:rsid w:val="160B51AE"/>
    <w:rsid w:val="160F5A2E"/>
    <w:rsid w:val="161E5ADA"/>
    <w:rsid w:val="16235F2F"/>
    <w:rsid w:val="162F406F"/>
    <w:rsid w:val="16326ECB"/>
    <w:rsid w:val="163535EE"/>
    <w:rsid w:val="163A30A4"/>
    <w:rsid w:val="163A408D"/>
    <w:rsid w:val="16421C2C"/>
    <w:rsid w:val="164577FA"/>
    <w:rsid w:val="16614367"/>
    <w:rsid w:val="166B0629"/>
    <w:rsid w:val="166D6D0E"/>
    <w:rsid w:val="166E3FC0"/>
    <w:rsid w:val="166F6DA3"/>
    <w:rsid w:val="167C64F4"/>
    <w:rsid w:val="167E4522"/>
    <w:rsid w:val="168865A0"/>
    <w:rsid w:val="168C4FC6"/>
    <w:rsid w:val="168F0F48"/>
    <w:rsid w:val="169C1A35"/>
    <w:rsid w:val="169C597B"/>
    <w:rsid w:val="16A65CB3"/>
    <w:rsid w:val="16AA0468"/>
    <w:rsid w:val="16AA08FF"/>
    <w:rsid w:val="16AE5E8A"/>
    <w:rsid w:val="16BB073F"/>
    <w:rsid w:val="16C73E00"/>
    <w:rsid w:val="16C81F3F"/>
    <w:rsid w:val="16C93C4A"/>
    <w:rsid w:val="16C97BC2"/>
    <w:rsid w:val="16CB63A8"/>
    <w:rsid w:val="16CB7D2F"/>
    <w:rsid w:val="16D14F28"/>
    <w:rsid w:val="16F30BAC"/>
    <w:rsid w:val="16F42B10"/>
    <w:rsid w:val="16F6107F"/>
    <w:rsid w:val="16F92A42"/>
    <w:rsid w:val="170151E2"/>
    <w:rsid w:val="170157DC"/>
    <w:rsid w:val="1703660F"/>
    <w:rsid w:val="1705483A"/>
    <w:rsid w:val="17077828"/>
    <w:rsid w:val="17107941"/>
    <w:rsid w:val="17112CDB"/>
    <w:rsid w:val="171B0311"/>
    <w:rsid w:val="171B5C88"/>
    <w:rsid w:val="17256E82"/>
    <w:rsid w:val="17380CDB"/>
    <w:rsid w:val="173852FE"/>
    <w:rsid w:val="173C1B7E"/>
    <w:rsid w:val="175132EA"/>
    <w:rsid w:val="175B582A"/>
    <w:rsid w:val="175B73C5"/>
    <w:rsid w:val="17601EF3"/>
    <w:rsid w:val="1763532E"/>
    <w:rsid w:val="176D6040"/>
    <w:rsid w:val="17794656"/>
    <w:rsid w:val="177C0B77"/>
    <w:rsid w:val="17854B54"/>
    <w:rsid w:val="178F352D"/>
    <w:rsid w:val="17923363"/>
    <w:rsid w:val="17950371"/>
    <w:rsid w:val="17987561"/>
    <w:rsid w:val="179A7C49"/>
    <w:rsid w:val="17A5345D"/>
    <w:rsid w:val="17AB7DC6"/>
    <w:rsid w:val="17C7238D"/>
    <w:rsid w:val="17D3079C"/>
    <w:rsid w:val="17DE2F7F"/>
    <w:rsid w:val="17E0666F"/>
    <w:rsid w:val="17E437EC"/>
    <w:rsid w:val="17E84F99"/>
    <w:rsid w:val="17E906D0"/>
    <w:rsid w:val="17F56C79"/>
    <w:rsid w:val="17F945CD"/>
    <w:rsid w:val="17FF79BA"/>
    <w:rsid w:val="180B6885"/>
    <w:rsid w:val="18206161"/>
    <w:rsid w:val="1828008C"/>
    <w:rsid w:val="182C7BBF"/>
    <w:rsid w:val="182F36C6"/>
    <w:rsid w:val="1837542D"/>
    <w:rsid w:val="184402DC"/>
    <w:rsid w:val="18485309"/>
    <w:rsid w:val="184F348F"/>
    <w:rsid w:val="18583D43"/>
    <w:rsid w:val="187E32E2"/>
    <w:rsid w:val="189D1A2D"/>
    <w:rsid w:val="18A1541C"/>
    <w:rsid w:val="18A41354"/>
    <w:rsid w:val="18AB64EC"/>
    <w:rsid w:val="18AD4A21"/>
    <w:rsid w:val="18B02306"/>
    <w:rsid w:val="18B27FA6"/>
    <w:rsid w:val="18C47A33"/>
    <w:rsid w:val="18C9463C"/>
    <w:rsid w:val="18CB136A"/>
    <w:rsid w:val="18CD6F8E"/>
    <w:rsid w:val="18D3483E"/>
    <w:rsid w:val="18DC5A4F"/>
    <w:rsid w:val="18DF6822"/>
    <w:rsid w:val="18E1370B"/>
    <w:rsid w:val="18EF78A5"/>
    <w:rsid w:val="18F33530"/>
    <w:rsid w:val="18F71296"/>
    <w:rsid w:val="18FA4E4C"/>
    <w:rsid w:val="190A0FE9"/>
    <w:rsid w:val="191217EB"/>
    <w:rsid w:val="191936B1"/>
    <w:rsid w:val="191C2141"/>
    <w:rsid w:val="19217DAC"/>
    <w:rsid w:val="1925305D"/>
    <w:rsid w:val="192A46FC"/>
    <w:rsid w:val="193154AC"/>
    <w:rsid w:val="19380D3F"/>
    <w:rsid w:val="194B41E0"/>
    <w:rsid w:val="19527B02"/>
    <w:rsid w:val="19527DFB"/>
    <w:rsid w:val="196F4446"/>
    <w:rsid w:val="1970360C"/>
    <w:rsid w:val="197076D7"/>
    <w:rsid w:val="19801F81"/>
    <w:rsid w:val="19853937"/>
    <w:rsid w:val="198C6A1A"/>
    <w:rsid w:val="198C7A60"/>
    <w:rsid w:val="19A10D5A"/>
    <w:rsid w:val="19A7675B"/>
    <w:rsid w:val="19A92CEA"/>
    <w:rsid w:val="19B37DBC"/>
    <w:rsid w:val="19B73CBC"/>
    <w:rsid w:val="19B90918"/>
    <w:rsid w:val="19B96484"/>
    <w:rsid w:val="19BA2B15"/>
    <w:rsid w:val="19CD477D"/>
    <w:rsid w:val="19CF0733"/>
    <w:rsid w:val="19D658C7"/>
    <w:rsid w:val="19DB561B"/>
    <w:rsid w:val="19DF2754"/>
    <w:rsid w:val="19DF33D2"/>
    <w:rsid w:val="19E84542"/>
    <w:rsid w:val="19EB31B9"/>
    <w:rsid w:val="19EE2FE7"/>
    <w:rsid w:val="1A086CDE"/>
    <w:rsid w:val="1A0A5AD3"/>
    <w:rsid w:val="1A0D2939"/>
    <w:rsid w:val="1A1125F6"/>
    <w:rsid w:val="1A1326D0"/>
    <w:rsid w:val="1A145660"/>
    <w:rsid w:val="1A1B327D"/>
    <w:rsid w:val="1A2D7D5A"/>
    <w:rsid w:val="1A3375A7"/>
    <w:rsid w:val="1A3849F9"/>
    <w:rsid w:val="1A440A37"/>
    <w:rsid w:val="1A444958"/>
    <w:rsid w:val="1A565808"/>
    <w:rsid w:val="1A6971FE"/>
    <w:rsid w:val="1A97422C"/>
    <w:rsid w:val="1A9D016D"/>
    <w:rsid w:val="1AAA41EF"/>
    <w:rsid w:val="1AB5041B"/>
    <w:rsid w:val="1ABF7269"/>
    <w:rsid w:val="1AC8152B"/>
    <w:rsid w:val="1ACA406A"/>
    <w:rsid w:val="1ACD3155"/>
    <w:rsid w:val="1ADE6EB5"/>
    <w:rsid w:val="1AF71380"/>
    <w:rsid w:val="1AF73023"/>
    <w:rsid w:val="1AF747A6"/>
    <w:rsid w:val="1B011761"/>
    <w:rsid w:val="1B10771A"/>
    <w:rsid w:val="1B160D6F"/>
    <w:rsid w:val="1B1A7F4F"/>
    <w:rsid w:val="1B252A65"/>
    <w:rsid w:val="1B2A559B"/>
    <w:rsid w:val="1B2B7EED"/>
    <w:rsid w:val="1B2E1CB9"/>
    <w:rsid w:val="1B396767"/>
    <w:rsid w:val="1B3C29EE"/>
    <w:rsid w:val="1B3C614C"/>
    <w:rsid w:val="1B3F35DF"/>
    <w:rsid w:val="1B40613A"/>
    <w:rsid w:val="1B43489C"/>
    <w:rsid w:val="1B494CFB"/>
    <w:rsid w:val="1B4D65CC"/>
    <w:rsid w:val="1B4E53E3"/>
    <w:rsid w:val="1B587828"/>
    <w:rsid w:val="1B6072C5"/>
    <w:rsid w:val="1B621545"/>
    <w:rsid w:val="1B623047"/>
    <w:rsid w:val="1B6D7F22"/>
    <w:rsid w:val="1B712B42"/>
    <w:rsid w:val="1B7569D0"/>
    <w:rsid w:val="1B7934D4"/>
    <w:rsid w:val="1B79465F"/>
    <w:rsid w:val="1B7D3720"/>
    <w:rsid w:val="1B810E8F"/>
    <w:rsid w:val="1B826C19"/>
    <w:rsid w:val="1B861C1F"/>
    <w:rsid w:val="1B9E1559"/>
    <w:rsid w:val="1B9F6079"/>
    <w:rsid w:val="1BA16083"/>
    <w:rsid w:val="1BA568AA"/>
    <w:rsid w:val="1BA65406"/>
    <w:rsid w:val="1BA83A0C"/>
    <w:rsid w:val="1BAE2DCB"/>
    <w:rsid w:val="1BB134DB"/>
    <w:rsid w:val="1BB8175B"/>
    <w:rsid w:val="1BBE5846"/>
    <w:rsid w:val="1BBF4522"/>
    <w:rsid w:val="1BBF7016"/>
    <w:rsid w:val="1BCB0725"/>
    <w:rsid w:val="1BD15F36"/>
    <w:rsid w:val="1BD33D53"/>
    <w:rsid w:val="1BD93A8F"/>
    <w:rsid w:val="1BDF795F"/>
    <w:rsid w:val="1BE37DE0"/>
    <w:rsid w:val="1BEF096F"/>
    <w:rsid w:val="1BF14832"/>
    <w:rsid w:val="1BFA09A0"/>
    <w:rsid w:val="1BFB3C86"/>
    <w:rsid w:val="1BFD2EDC"/>
    <w:rsid w:val="1C0267D0"/>
    <w:rsid w:val="1C076463"/>
    <w:rsid w:val="1C0942C6"/>
    <w:rsid w:val="1C0B1035"/>
    <w:rsid w:val="1C0B744B"/>
    <w:rsid w:val="1C0D0059"/>
    <w:rsid w:val="1C171715"/>
    <w:rsid w:val="1C270E67"/>
    <w:rsid w:val="1C2A1952"/>
    <w:rsid w:val="1C330981"/>
    <w:rsid w:val="1C3667BE"/>
    <w:rsid w:val="1C383DC8"/>
    <w:rsid w:val="1C387EFC"/>
    <w:rsid w:val="1C441C18"/>
    <w:rsid w:val="1C4A2870"/>
    <w:rsid w:val="1C4C5F6E"/>
    <w:rsid w:val="1C53080A"/>
    <w:rsid w:val="1C603FD4"/>
    <w:rsid w:val="1C6518CB"/>
    <w:rsid w:val="1C6C01EF"/>
    <w:rsid w:val="1C744AB2"/>
    <w:rsid w:val="1C75400A"/>
    <w:rsid w:val="1C760529"/>
    <w:rsid w:val="1C846FFC"/>
    <w:rsid w:val="1C98750E"/>
    <w:rsid w:val="1C995F53"/>
    <w:rsid w:val="1C9C7678"/>
    <w:rsid w:val="1CA6196E"/>
    <w:rsid w:val="1CAB3415"/>
    <w:rsid w:val="1CAF6DE4"/>
    <w:rsid w:val="1CB544CA"/>
    <w:rsid w:val="1CB774B1"/>
    <w:rsid w:val="1CB81262"/>
    <w:rsid w:val="1CC32FA2"/>
    <w:rsid w:val="1CCD2E9E"/>
    <w:rsid w:val="1CDC1293"/>
    <w:rsid w:val="1CDC6726"/>
    <w:rsid w:val="1CDF1C71"/>
    <w:rsid w:val="1CE04F38"/>
    <w:rsid w:val="1CE46256"/>
    <w:rsid w:val="1CE92EA0"/>
    <w:rsid w:val="1CE946AB"/>
    <w:rsid w:val="1CF37676"/>
    <w:rsid w:val="1CF72F36"/>
    <w:rsid w:val="1CFE74B4"/>
    <w:rsid w:val="1D0214E9"/>
    <w:rsid w:val="1D065C8D"/>
    <w:rsid w:val="1D073CA1"/>
    <w:rsid w:val="1D0B173A"/>
    <w:rsid w:val="1D157A2C"/>
    <w:rsid w:val="1D1E666A"/>
    <w:rsid w:val="1D2102B6"/>
    <w:rsid w:val="1D213EF2"/>
    <w:rsid w:val="1D284FD1"/>
    <w:rsid w:val="1D367763"/>
    <w:rsid w:val="1D375B31"/>
    <w:rsid w:val="1D3A117A"/>
    <w:rsid w:val="1D3B2DC6"/>
    <w:rsid w:val="1D4032A7"/>
    <w:rsid w:val="1D416250"/>
    <w:rsid w:val="1D44603C"/>
    <w:rsid w:val="1D494067"/>
    <w:rsid w:val="1D4C1F1E"/>
    <w:rsid w:val="1D505BA0"/>
    <w:rsid w:val="1D593A2D"/>
    <w:rsid w:val="1D5D4D2A"/>
    <w:rsid w:val="1D5D63A3"/>
    <w:rsid w:val="1D6E04E0"/>
    <w:rsid w:val="1D7514C8"/>
    <w:rsid w:val="1D760AB5"/>
    <w:rsid w:val="1D771D35"/>
    <w:rsid w:val="1D7F0570"/>
    <w:rsid w:val="1D7F51BE"/>
    <w:rsid w:val="1D8772C3"/>
    <w:rsid w:val="1D8B36AD"/>
    <w:rsid w:val="1D8D476A"/>
    <w:rsid w:val="1D8E0403"/>
    <w:rsid w:val="1D970EF2"/>
    <w:rsid w:val="1D9803EF"/>
    <w:rsid w:val="1D986290"/>
    <w:rsid w:val="1D9B4D67"/>
    <w:rsid w:val="1DA13859"/>
    <w:rsid w:val="1DA50022"/>
    <w:rsid w:val="1DAB683F"/>
    <w:rsid w:val="1DBB0E66"/>
    <w:rsid w:val="1DBF63EE"/>
    <w:rsid w:val="1DC204B1"/>
    <w:rsid w:val="1DC408A7"/>
    <w:rsid w:val="1DD5065B"/>
    <w:rsid w:val="1DD92A72"/>
    <w:rsid w:val="1DDD03B3"/>
    <w:rsid w:val="1DE3086F"/>
    <w:rsid w:val="1DE62334"/>
    <w:rsid w:val="1DE85B52"/>
    <w:rsid w:val="1DE97FDE"/>
    <w:rsid w:val="1DF16634"/>
    <w:rsid w:val="1DF3134A"/>
    <w:rsid w:val="1DF43C6D"/>
    <w:rsid w:val="1DF43E0A"/>
    <w:rsid w:val="1DF72DAD"/>
    <w:rsid w:val="1DF82575"/>
    <w:rsid w:val="1E0F6BDD"/>
    <w:rsid w:val="1E15469C"/>
    <w:rsid w:val="1E182E21"/>
    <w:rsid w:val="1E1E0653"/>
    <w:rsid w:val="1E1E229F"/>
    <w:rsid w:val="1E234F6B"/>
    <w:rsid w:val="1E250AF3"/>
    <w:rsid w:val="1E2C33AF"/>
    <w:rsid w:val="1E2D6E9F"/>
    <w:rsid w:val="1E2E0D98"/>
    <w:rsid w:val="1E310FE1"/>
    <w:rsid w:val="1E3241B4"/>
    <w:rsid w:val="1E3E3F81"/>
    <w:rsid w:val="1E41361D"/>
    <w:rsid w:val="1E416C7C"/>
    <w:rsid w:val="1E4333C9"/>
    <w:rsid w:val="1E48310D"/>
    <w:rsid w:val="1E4D2650"/>
    <w:rsid w:val="1E5526D3"/>
    <w:rsid w:val="1E5957E2"/>
    <w:rsid w:val="1E5C37EB"/>
    <w:rsid w:val="1E5C7344"/>
    <w:rsid w:val="1E673945"/>
    <w:rsid w:val="1E734EC0"/>
    <w:rsid w:val="1E766C8A"/>
    <w:rsid w:val="1E8229CC"/>
    <w:rsid w:val="1E845AEE"/>
    <w:rsid w:val="1E8C2DF8"/>
    <w:rsid w:val="1E8D3AA3"/>
    <w:rsid w:val="1E9A4A71"/>
    <w:rsid w:val="1EA654D9"/>
    <w:rsid w:val="1EA66F80"/>
    <w:rsid w:val="1EAC367E"/>
    <w:rsid w:val="1EAD1777"/>
    <w:rsid w:val="1EB27682"/>
    <w:rsid w:val="1EBC3B30"/>
    <w:rsid w:val="1EBC50C4"/>
    <w:rsid w:val="1EBC5DC2"/>
    <w:rsid w:val="1EC300D5"/>
    <w:rsid w:val="1EC4663E"/>
    <w:rsid w:val="1ED0600D"/>
    <w:rsid w:val="1ED4271C"/>
    <w:rsid w:val="1ED474EF"/>
    <w:rsid w:val="1ED63961"/>
    <w:rsid w:val="1ED87DAA"/>
    <w:rsid w:val="1EDC5075"/>
    <w:rsid w:val="1EE3271C"/>
    <w:rsid w:val="1EE93D40"/>
    <w:rsid w:val="1EFE236F"/>
    <w:rsid w:val="1F1A5BE9"/>
    <w:rsid w:val="1F1D25A3"/>
    <w:rsid w:val="1F3A0621"/>
    <w:rsid w:val="1F3F0D5B"/>
    <w:rsid w:val="1F48723F"/>
    <w:rsid w:val="1F4A59B7"/>
    <w:rsid w:val="1F4B4D09"/>
    <w:rsid w:val="1F4D063B"/>
    <w:rsid w:val="1F573185"/>
    <w:rsid w:val="1F5D4B84"/>
    <w:rsid w:val="1F65428F"/>
    <w:rsid w:val="1F664979"/>
    <w:rsid w:val="1F6A2E43"/>
    <w:rsid w:val="1F6F1A63"/>
    <w:rsid w:val="1F710534"/>
    <w:rsid w:val="1F7342B1"/>
    <w:rsid w:val="1F7A43D6"/>
    <w:rsid w:val="1F7F0599"/>
    <w:rsid w:val="1F852C5A"/>
    <w:rsid w:val="1F8C3FB1"/>
    <w:rsid w:val="1F946D03"/>
    <w:rsid w:val="1F9B16D6"/>
    <w:rsid w:val="1FA11DE9"/>
    <w:rsid w:val="1FA91BE4"/>
    <w:rsid w:val="1FAB2240"/>
    <w:rsid w:val="1FB0587D"/>
    <w:rsid w:val="1FB723A5"/>
    <w:rsid w:val="1FBF5DF1"/>
    <w:rsid w:val="1FC251FC"/>
    <w:rsid w:val="1FC276A6"/>
    <w:rsid w:val="1FC65DEA"/>
    <w:rsid w:val="1FCB214F"/>
    <w:rsid w:val="1FCC1045"/>
    <w:rsid w:val="1FD77A1A"/>
    <w:rsid w:val="1FD8743A"/>
    <w:rsid w:val="1FE86C84"/>
    <w:rsid w:val="1FEA25A1"/>
    <w:rsid w:val="1FEF78D9"/>
    <w:rsid w:val="1FF07F7C"/>
    <w:rsid w:val="1FF10496"/>
    <w:rsid w:val="1FFC08AF"/>
    <w:rsid w:val="2002429D"/>
    <w:rsid w:val="201C4AB3"/>
    <w:rsid w:val="20272F75"/>
    <w:rsid w:val="20280F48"/>
    <w:rsid w:val="20281294"/>
    <w:rsid w:val="202C24B1"/>
    <w:rsid w:val="20396850"/>
    <w:rsid w:val="203C327A"/>
    <w:rsid w:val="20466E41"/>
    <w:rsid w:val="20487A67"/>
    <w:rsid w:val="2049081D"/>
    <w:rsid w:val="205C261A"/>
    <w:rsid w:val="20613C03"/>
    <w:rsid w:val="206674AB"/>
    <w:rsid w:val="2069457D"/>
    <w:rsid w:val="206A0EBB"/>
    <w:rsid w:val="206D2118"/>
    <w:rsid w:val="20704BB1"/>
    <w:rsid w:val="207517E9"/>
    <w:rsid w:val="207F20CE"/>
    <w:rsid w:val="20846A18"/>
    <w:rsid w:val="2085793D"/>
    <w:rsid w:val="20884E90"/>
    <w:rsid w:val="20885868"/>
    <w:rsid w:val="209D55F9"/>
    <w:rsid w:val="20A00D8C"/>
    <w:rsid w:val="20A11BCA"/>
    <w:rsid w:val="20AC3A44"/>
    <w:rsid w:val="20AC6391"/>
    <w:rsid w:val="20B0239B"/>
    <w:rsid w:val="20B51AEC"/>
    <w:rsid w:val="20B571A7"/>
    <w:rsid w:val="20B74BFA"/>
    <w:rsid w:val="20B817D7"/>
    <w:rsid w:val="20B82AD0"/>
    <w:rsid w:val="20BB0BCC"/>
    <w:rsid w:val="20BD309F"/>
    <w:rsid w:val="20C07C54"/>
    <w:rsid w:val="20C76E01"/>
    <w:rsid w:val="20DB410A"/>
    <w:rsid w:val="20DC5F5F"/>
    <w:rsid w:val="20E5534B"/>
    <w:rsid w:val="20E66AF3"/>
    <w:rsid w:val="20F15CB1"/>
    <w:rsid w:val="20F35AAC"/>
    <w:rsid w:val="21080BCA"/>
    <w:rsid w:val="21087F3F"/>
    <w:rsid w:val="210A396A"/>
    <w:rsid w:val="210B007F"/>
    <w:rsid w:val="210F41A2"/>
    <w:rsid w:val="21102898"/>
    <w:rsid w:val="21174C2A"/>
    <w:rsid w:val="211877A7"/>
    <w:rsid w:val="212F71F5"/>
    <w:rsid w:val="21302287"/>
    <w:rsid w:val="21405F28"/>
    <w:rsid w:val="214F3728"/>
    <w:rsid w:val="21513290"/>
    <w:rsid w:val="21514149"/>
    <w:rsid w:val="21525294"/>
    <w:rsid w:val="2156641B"/>
    <w:rsid w:val="21612C2B"/>
    <w:rsid w:val="21617DD7"/>
    <w:rsid w:val="216C3D0C"/>
    <w:rsid w:val="217364BA"/>
    <w:rsid w:val="21752E2C"/>
    <w:rsid w:val="21782B6C"/>
    <w:rsid w:val="21894977"/>
    <w:rsid w:val="218A4835"/>
    <w:rsid w:val="219924D0"/>
    <w:rsid w:val="219F51CB"/>
    <w:rsid w:val="21A1641F"/>
    <w:rsid w:val="21A31964"/>
    <w:rsid w:val="21AC18D5"/>
    <w:rsid w:val="21B07AD9"/>
    <w:rsid w:val="21BD186D"/>
    <w:rsid w:val="21C53190"/>
    <w:rsid w:val="21CA6E29"/>
    <w:rsid w:val="21CD0053"/>
    <w:rsid w:val="21CD44E1"/>
    <w:rsid w:val="21D427C0"/>
    <w:rsid w:val="21D42D8A"/>
    <w:rsid w:val="21D45872"/>
    <w:rsid w:val="21D500C7"/>
    <w:rsid w:val="21DF4D6E"/>
    <w:rsid w:val="21E15A7B"/>
    <w:rsid w:val="220467D0"/>
    <w:rsid w:val="22052F62"/>
    <w:rsid w:val="22063D36"/>
    <w:rsid w:val="22063F3B"/>
    <w:rsid w:val="220D2631"/>
    <w:rsid w:val="220D3673"/>
    <w:rsid w:val="22203EA9"/>
    <w:rsid w:val="222341A1"/>
    <w:rsid w:val="22244067"/>
    <w:rsid w:val="22285B24"/>
    <w:rsid w:val="222D1CB0"/>
    <w:rsid w:val="22340A23"/>
    <w:rsid w:val="22346396"/>
    <w:rsid w:val="22353405"/>
    <w:rsid w:val="223E23CC"/>
    <w:rsid w:val="22471729"/>
    <w:rsid w:val="224D0CE6"/>
    <w:rsid w:val="225A719E"/>
    <w:rsid w:val="225D1D8D"/>
    <w:rsid w:val="225F2FA0"/>
    <w:rsid w:val="22653B03"/>
    <w:rsid w:val="226F1B65"/>
    <w:rsid w:val="22706D1E"/>
    <w:rsid w:val="22721AF6"/>
    <w:rsid w:val="22735AC6"/>
    <w:rsid w:val="2274391E"/>
    <w:rsid w:val="227735D7"/>
    <w:rsid w:val="227A64AB"/>
    <w:rsid w:val="228F29C1"/>
    <w:rsid w:val="22945A62"/>
    <w:rsid w:val="229B6F6C"/>
    <w:rsid w:val="22A16C28"/>
    <w:rsid w:val="22A842A8"/>
    <w:rsid w:val="22AF7F93"/>
    <w:rsid w:val="22B026D2"/>
    <w:rsid w:val="22B57A02"/>
    <w:rsid w:val="22BF4608"/>
    <w:rsid w:val="22C642D1"/>
    <w:rsid w:val="22C8457F"/>
    <w:rsid w:val="22C84EC3"/>
    <w:rsid w:val="22C975DC"/>
    <w:rsid w:val="22CF31E9"/>
    <w:rsid w:val="22CF4CF8"/>
    <w:rsid w:val="22DB51EE"/>
    <w:rsid w:val="22E47B3B"/>
    <w:rsid w:val="22EF38A5"/>
    <w:rsid w:val="22F4251D"/>
    <w:rsid w:val="22F97ECA"/>
    <w:rsid w:val="22FA3534"/>
    <w:rsid w:val="22FC4345"/>
    <w:rsid w:val="22FE68A7"/>
    <w:rsid w:val="230136D0"/>
    <w:rsid w:val="230368F1"/>
    <w:rsid w:val="23062664"/>
    <w:rsid w:val="230646B1"/>
    <w:rsid w:val="2310279A"/>
    <w:rsid w:val="2314657D"/>
    <w:rsid w:val="231975EA"/>
    <w:rsid w:val="23337547"/>
    <w:rsid w:val="23371DD2"/>
    <w:rsid w:val="233B5AD4"/>
    <w:rsid w:val="233F670B"/>
    <w:rsid w:val="23432280"/>
    <w:rsid w:val="23467CEE"/>
    <w:rsid w:val="234B3069"/>
    <w:rsid w:val="235551E5"/>
    <w:rsid w:val="23563C77"/>
    <w:rsid w:val="235813CC"/>
    <w:rsid w:val="235D5428"/>
    <w:rsid w:val="236022B0"/>
    <w:rsid w:val="2361522D"/>
    <w:rsid w:val="236A08E3"/>
    <w:rsid w:val="236F2D3B"/>
    <w:rsid w:val="236F5752"/>
    <w:rsid w:val="237134CD"/>
    <w:rsid w:val="237457AD"/>
    <w:rsid w:val="237E1805"/>
    <w:rsid w:val="238215A0"/>
    <w:rsid w:val="238D5251"/>
    <w:rsid w:val="23956DF4"/>
    <w:rsid w:val="23971A58"/>
    <w:rsid w:val="23A34D3E"/>
    <w:rsid w:val="23AB13E5"/>
    <w:rsid w:val="23AC354B"/>
    <w:rsid w:val="23B117CD"/>
    <w:rsid w:val="23B22A41"/>
    <w:rsid w:val="23B8268D"/>
    <w:rsid w:val="23C352F9"/>
    <w:rsid w:val="23C43CAC"/>
    <w:rsid w:val="23C63116"/>
    <w:rsid w:val="23CC0680"/>
    <w:rsid w:val="23D8330F"/>
    <w:rsid w:val="23DE0C75"/>
    <w:rsid w:val="23E249E8"/>
    <w:rsid w:val="23E26545"/>
    <w:rsid w:val="23E432B6"/>
    <w:rsid w:val="23E73F7F"/>
    <w:rsid w:val="240C4C98"/>
    <w:rsid w:val="240D3E57"/>
    <w:rsid w:val="240E1724"/>
    <w:rsid w:val="241D7491"/>
    <w:rsid w:val="242C754B"/>
    <w:rsid w:val="243F04A9"/>
    <w:rsid w:val="24461CFE"/>
    <w:rsid w:val="24501AAD"/>
    <w:rsid w:val="24581365"/>
    <w:rsid w:val="245F0512"/>
    <w:rsid w:val="24665A40"/>
    <w:rsid w:val="24691B85"/>
    <w:rsid w:val="246B3D91"/>
    <w:rsid w:val="246B4659"/>
    <w:rsid w:val="246F214D"/>
    <w:rsid w:val="247B1DBE"/>
    <w:rsid w:val="247B2799"/>
    <w:rsid w:val="24837C0C"/>
    <w:rsid w:val="2494318B"/>
    <w:rsid w:val="24956C00"/>
    <w:rsid w:val="24AB2AFB"/>
    <w:rsid w:val="24AC44BB"/>
    <w:rsid w:val="24AD2650"/>
    <w:rsid w:val="24AD5638"/>
    <w:rsid w:val="24B036EA"/>
    <w:rsid w:val="24BA311C"/>
    <w:rsid w:val="24C04BAC"/>
    <w:rsid w:val="24C76A28"/>
    <w:rsid w:val="24CE6C08"/>
    <w:rsid w:val="24D16B28"/>
    <w:rsid w:val="24DF2360"/>
    <w:rsid w:val="24FB182B"/>
    <w:rsid w:val="24FD5756"/>
    <w:rsid w:val="24FF1172"/>
    <w:rsid w:val="25013EB0"/>
    <w:rsid w:val="250266B3"/>
    <w:rsid w:val="25084399"/>
    <w:rsid w:val="251044A3"/>
    <w:rsid w:val="251676EB"/>
    <w:rsid w:val="251B7495"/>
    <w:rsid w:val="25212892"/>
    <w:rsid w:val="25233158"/>
    <w:rsid w:val="25234151"/>
    <w:rsid w:val="25265323"/>
    <w:rsid w:val="25271BB1"/>
    <w:rsid w:val="25381C92"/>
    <w:rsid w:val="253A642B"/>
    <w:rsid w:val="25497A04"/>
    <w:rsid w:val="25543946"/>
    <w:rsid w:val="255837B4"/>
    <w:rsid w:val="25622ED1"/>
    <w:rsid w:val="25686831"/>
    <w:rsid w:val="2579505A"/>
    <w:rsid w:val="257A4E1B"/>
    <w:rsid w:val="258019DC"/>
    <w:rsid w:val="25833080"/>
    <w:rsid w:val="259044BD"/>
    <w:rsid w:val="25947DD6"/>
    <w:rsid w:val="25A06989"/>
    <w:rsid w:val="25A977D5"/>
    <w:rsid w:val="25BD1A38"/>
    <w:rsid w:val="25BE69A6"/>
    <w:rsid w:val="25C63B10"/>
    <w:rsid w:val="25CB5FB7"/>
    <w:rsid w:val="25D06FC5"/>
    <w:rsid w:val="25D54CBD"/>
    <w:rsid w:val="25DF6AB4"/>
    <w:rsid w:val="25EB3D01"/>
    <w:rsid w:val="25F43288"/>
    <w:rsid w:val="25F5100A"/>
    <w:rsid w:val="25F573C6"/>
    <w:rsid w:val="25F641BE"/>
    <w:rsid w:val="26064B7D"/>
    <w:rsid w:val="260826BB"/>
    <w:rsid w:val="26086AE1"/>
    <w:rsid w:val="26104F9E"/>
    <w:rsid w:val="26230201"/>
    <w:rsid w:val="26237675"/>
    <w:rsid w:val="262C695B"/>
    <w:rsid w:val="2639646B"/>
    <w:rsid w:val="263D0C34"/>
    <w:rsid w:val="26467850"/>
    <w:rsid w:val="26497F8A"/>
    <w:rsid w:val="264B1CBA"/>
    <w:rsid w:val="264C6A21"/>
    <w:rsid w:val="264E5FEE"/>
    <w:rsid w:val="265073CC"/>
    <w:rsid w:val="26516474"/>
    <w:rsid w:val="265463D3"/>
    <w:rsid w:val="2660736A"/>
    <w:rsid w:val="266318A4"/>
    <w:rsid w:val="26682407"/>
    <w:rsid w:val="266B322D"/>
    <w:rsid w:val="267365DE"/>
    <w:rsid w:val="26751B42"/>
    <w:rsid w:val="26774E94"/>
    <w:rsid w:val="26775B6F"/>
    <w:rsid w:val="267C4E98"/>
    <w:rsid w:val="268B1BF5"/>
    <w:rsid w:val="26952A92"/>
    <w:rsid w:val="26991377"/>
    <w:rsid w:val="269F17CC"/>
    <w:rsid w:val="269F392E"/>
    <w:rsid w:val="26A17E75"/>
    <w:rsid w:val="26A23733"/>
    <w:rsid w:val="26A2581A"/>
    <w:rsid w:val="26A70655"/>
    <w:rsid w:val="26B02BC2"/>
    <w:rsid w:val="26B2197D"/>
    <w:rsid w:val="26B457FC"/>
    <w:rsid w:val="26B85DE2"/>
    <w:rsid w:val="26BA0C2C"/>
    <w:rsid w:val="26C11ABF"/>
    <w:rsid w:val="26C220D9"/>
    <w:rsid w:val="26C47299"/>
    <w:rsid w:val="26C80D08"/>
    <w:rsid w:val="26D74474"/>
    <w:rsid w:val="26D84AC7"/>
    <w:rsid w:val="26D9455A"/>
    <w:rsid w:val="26E86813"/>
    <w:rsid w:val="26ED4046"/>
    <w:rsid w:val="26EE04D9"/>
    <w:rsid w:val="26EF79D8"/>
    <w:rsid w:val="26F06B4E"/>
    <w:rsid w:val="26F36033"/>
    <w:rsid w:val="26F4011F"/>
    <w:rsid w:val="26FD3AB6"/>
    <w:rsid w:val="26FE725B"/>
    <w:rsid w:val="27021DB8"/>
    <w:rsid w:val="27032220"/>
    <w:rsid w:val="27085185"/>
    <w:rsid w:val="270C0B17"/>
    <w:rsid w:val="2710518A"/>
    <w:rsid w:val="271400D1"/>
    <w:rsid w:val="27251DC4"/>
    <w:rsid w:val="272B380A"/>
    <w:rsid w:val="27352A76"/>
    <w:rsid w:val="27576827"/>
    <w:rsid w:val="27586B64"/>
    <w:rsid w:val="275B3F50"/>
    <w:rsid w:val="276172CB"/>
    <w:rsid w:val="276378AB"/>
    <w:rsid w:val="276469D9"/>
    <w:rsid w:val="27684F17"/>
    <w:rsid w:val="276E5584"/>
    <w:rsid w:val="27700B73"/>
    <w:rsid w:val="277843C3"/>
    <w:rsid w:val="277B25D3"/>
    <w:rsid w:val="277C6DEE"/>
    <w:rsid w:val="278133DD"/>
    <w:rsid w:val="27867459"/>
    <w:rsid w:val="27903839"/>
    <w:rsid w:val="27905544"/>
    <w:rsid w:val="2793137F"/>
    <w:rsid w:val="279B5C2D"/>
    <w:rsid w:val="27AD4B5B"/>
    <w:rsid w:val="27AE5E78"/>
    <w:rsid w:val="27B24E38"/>
    <w:rsid w:val="27B34FA7"/>
    <w:rsid w:val="27B94F07"/>
    <w:rsid w:val="27B957AA"/>
    <w:rsid w:val="27C83F41"/>
    <w:rsid w:val="27CB51C7"/>
    <w:rsid w:val="27CF3CB9"/>
    <w:rsid w:val="27D24B49"/>
    <w:rsid w:val="27D56CB9"/>
    <w:rsid w:val="27D7575B"/>
    <w:rsid w:val="27D774E6"/>
    <w:rsid w:val="27DF3DCC"/>
    <w:rsid w:val="27E45B9E"/>
    <w:rsid w:val="27E57242"/>
    <w:rsid w:val="27EB0B66"/>
    <w:rsid w:val="27FE202B"/>
    <w:rsid w:val="280A7D36"/>
    <w:rsid w:val="280B4867"/>
    <w:rsid w:val="280C49F1"/>
    <w:rsid w:val="281473D5"/>
    <w:rsid w:val="28152ED7"/>
    <w:rsid w:val="28154A36"/>
    <w:rsid w:val="281C4E2F"/>
    <w:rsid w:val="281D70AF"/>
    <w:rsid w:val="281F2FBD"/>
    <w:rsid w:val="2829594E"/>
    <w:rsid w:val="283100CE"/>
    <w:rsid w:val="283665A5"/>
    <w:rsid w:val="283E4F02"/>
    <w:rsid w:val="284459A9"/>
    <w:rsid w:val="28456008"/>
    <w:rsid w:val="2850018F"/>
    <w:rsid w:val="28575EEA"/>
    <w:rsid w:val="285840C5"/>
    <w:rsid w:val="285B2BD5"/>
    <w:rsid w:val="285D50A6"/>
    <w:rsid w:val="28627F40"/>
    <w:rsid w:val="286C4682"/>
    <w:rsid w:val="286D2A6D"/>
    <w:rsid w:val="286E7A4E"/>
    <w:rsid w:val="28773CAC"/>
    <w:rsid w:val="287E78F7"/>
    <w:rsid w:val="288233DB"/>
    <w:rsid w:val="288665A6"/>
    <w:rsid w:val="28890622"/>
    <w:rsid w:val="28891227"/>
    <w:rsid w:val="2897543A"/>
    <w:rsid w:val="28A2056D"/>
    <w:rsid w:val="28A9091A"/>
    <w:rsid w:val="28AB7314"/>
    <w:rsid w:val="28AE2F50"/>
    <w:rsid w:val="28AE36EA"/>
    <w:rsid w:val="28AE3DCF"/>
    <w:rsid w:val="28BB46FB"/>
    <w:rsid w:val="28CC3963"/>
    <w:rsid w:val="28CE19F6"/>
    <w:rsid w:val="28D94E4A"/>
    <w:rsid w:val="28DD0874"/>
    <w:rsid w:val="28DE426F"/>
    <w:rsid w:val="28E571D1"/>
    <w:rsid w:val="28E65610"/>
    <w:rsid w:val="28EC4067"/>
    <w:rsid w:val="29033E34"/>
    <w:rsid w:val="290B4A8A"/>
    <w:rsid w:val="290E7758"/>
    <w:rsid w:val="290F7D4A"/>
    <w:rsid w:val="29126D82"/>
    <w:rsid w:val="29171353"/>
    <w:rsid w:val="29196C6C"/>
    <w:rsid w:val="292350A5"/>
    <w:rsid w:val="29241180"/>
    <w:rsid w:val="29262879"/>
    <w:rsid w:val="29272A74"/>
    <w:rsid w:val="29291AB9"/>
    <w:rsid w:val="292934DB"/>
    <w:rsid w:val="292D3E2E"/>
    <w:rsid w:val="293A3C50"/>
    <w:rsid w:val="293A5112"/>
    <w:rsid w:val="293F2E42"/>
    <w:rsid w:val="29467FCE"/>
    <w:rsid w:val="2949789C"/>
    <w:rsid w:val="29533978"/>
    <w:rsid w:val="295968B3"/>
    <w:rsid w:val="295A0CD6"/>
    <w:rsid w:val="295B25E9"/>
    <w:rsid w:val="29707F25"/>
    <w:rsid w:val="2971482B"/>
    <w:rsid w:val="297D6F30"/>
    <w:rsid w:val="298442ED"/>
    <w:rsid w:val="2989581C"/>
    <w:rsid w:val="2990176B"/>
    <w:rsid w:val="299036CA"/>
    <w:rsid w:val="29A27D13"/>
    <w:rsid w:val="29A93354"/>
    <w:rsid w:val="29AF5984"/>
    <w:rsid w:val="29B075DA"/>
    <w:rsid w:val="29B32929"/>
    <w:rsid w:val="29B340B7"/>
    <w:rsid w:val="29B37FDF"/>
    <w:rsid w:val="29B42BD1"/>
    <w:rsid w:val="29B640D4"/>
    <w:rsid w:val="29B8185B"/>
    <w:rsid w:val="29B81B71"/>
    <w:rsid w:val="29BB0F0D"/>
    <w:rsid w:val="29CB41E1"/>
    <w:rsid w:val="29CC1ED2"/>
    <w:rsid w:val="29D24581"/>
    <w:rsid w:val="29E2436E"/>
    <w:rsid w:val="29F736E5"/>
    <w:rsid w:val="29FC56FC"/>
    <w:rsid w:val="29FD43CF"/>
    <w:rsid w:val="2A021EA4"/>
    <w:rsid w:val="2A054761"/>
    <w:rsid w:val="2A0A213C"/>
    <w:rsid w:val="2A0B3506"/>
    <w:rsid w:val="2A0F329D"/>
    <w:rsid w:val="2A1D0079"/>
    <w:rsid w:val="2A202A30"/>
    <w:rsid w:val="2A202AD4"/>
    <w:rsid w:val="2A2707DF"/>
    <w:rsid w:val="2A3E42E4"/>
    <w:rsid w:val="2A4E3182"/>
    <w:rsid w:val="2A5A6621"/>
    <w:rsid w:val="2A6D23BC"/>
    <w:rsid w:val="2A7E61F5"/>
    <w:rsid w:val="2A8102F8"/>
    <w:rsid w:val="2A9C7A6B"/>
    <w:rsid w:val="2A9E53EA"/>
    <w:rsid w:val="2AA3268A"/>
    <w:rsid w:val="2AAA7897"/>
    <w:rsid w:val="2AAE6382"/>
    <w:rsid w:val="2AB237A7"/>
    <w:rsid w:val="2ABA49F6"/>
    <w:rsid w:val="2ABB5F93"/>
    <w:rsid w:val="2AC26541"/>
    <w:rsid w:val="2ADE1D87"/>
    <w:rsid w:val="2AE51183"/>
    <w:rsid w:val="2AEE0E88"/>
    <w:rsid w:val="2AF20F58"/>
    <w:rsid w:val="2AF84A20"/>
    <w:rsid w:val="2AF9601B"/>
    <w:rsid w:val="2B0A71E1"/>
    <w:rsid w:val="2B123B87"/>
    <w:rsid w:val="2B147D0B"/>
    <w:rsid w:val="2B1825C3"/>
    <w:rsid w:val="2B1A722A"/>
    <w:rsid w:val="2B210A5F"/>
    <w:rsid w:val="2B2241B7"/>
    <w:rsid w:val="2B240065"/>
    <w:rsid w:val="2B2823E2"/>
    <w:rsid w:val="2B2A4E02"/>
    <w:rsid w:val="2B2F4CC3"/>
    <w:rsid w:val="2B3A3527"/>
    <w:rsid w:val="2B3B3782"/>
    <w:rsid w:val="2B43251F"/>
    <w:rsid w:val="2B472F84"/>
    <w:rsid w:val="2B4E3E1B"/>
    <w:rsid w:val="2B4F3A38"/>
    <w:rsid w:val="2B5661C2"/>
    <w:rsid w:val="2B661A26"/>
    <w:rsid w:val="2B6A168D"/>
    <w:rsid w:val="2B6F7418"/>
    <w:rsid w:val="2B7B2F49"/>
    <w:rsid w:val="2B8B06FD"/>
    <w:rsid w:val="2B933750"/>
    <w:rsid w:val="2B9669AC"/>
    <w:rsid w:val="2B994663"/>
    <w:rsid w:val="2BA11820"/>
    <w:rsid w:val="2BA935AA"/>
    <w:rsid w:val="2BAE34A4"/>
    <w:rsid w:val="2BB13A34"/>
    <w:rsid w:val="2BB3038C"/>
    <w:rsid w:val="2BB94D55"/>
    <w:rsid w:val="2BBE74B6"/>
    <w:rsid w:val="2BC32929"/>
    <w:rsid w:val="2BCA241B"/>
    <w:rsid w:val="2BCF4F9A"/>
    <w:rsid w:val="2BD96C9B"/>
    <w:rsid w:val="2BE310FD"/>
    <w:rsid w:val="2BE6008E"/>
    <w:rsid w:val="2BE70BCC"/>
    <w:rsid w:val="2BEA713B"/>
    <w:rsid w:val="2BEB1967"/>
    <w:rsid w:val="2BF02827"/>
    <w:rsid w:val="2BF63A39"/>
    <w:rsid w:val="2BFF2267"/>
    <w:rsid w:val="2BFF2F3A"/>
    <w:rsid w:val="2C03110D"/>
    <w:rsid w:val="2C067F2F"/>
    <w:rsid w:val="2C0A1712"/>
    <w:rsid w:val="2C0D3CC2"/>
    <w:rsid w:val="2C0E65E1"/>
    <w:rsid w:val="2C133754"/>
    <w:rsid w:val="2C1E4624"/>
    <w:rsid w:val="2C20573A"/>
    <w:rsid w:val="2C250ACA"/>
    <w:rsid w:val="2C2A563F"/>
    <w:rsid w:val="2C39035B"/>
    <w:rsid w:val="2C3D119E"/>
    <w:rsid w:val="2C3D1F1C"/>
    <w:rsid w:val="2C4256BF"/>
    <w:rsid w:val="2C43397F"/>
    <w:rsid w:val="2C491C3D"/>
    <w:rsid w:val="2C4B3AFE"/>
    <w:rsid w:val="2C500E33"/>
    <w:rsid w:val="2C5D4B6E"/>
    <w:rsid w:val="2C602750"/>
    <w:rsid w:val="2C6156DA"/>
    <w:rsid w:val="2C665873"/>
    <w:rsid w:val="2C673C1B"/>
    <w:rsid w:val="2C6B5920"/>
    <w:rsid w:val="2C6D647A"/>
    <w:rsid w:val="2C72172B"/>
    <w:rsid w:val="2C787DBD"/>
    <w:rsid w:val="2C7D44A5"/>
    <w:rsid w:val="2C7F124B"/>
    <w:rsid w:val="2C805491"/>
    <w:rsid w:val="2C833AFA"/>
    <w:rsid w:val="2C872BA8"/>
    <w:rsid w:val="2C895BCF"/>
    <w:rsid w:val="2C8C00BE"/>
    <w:rsid w:val="2C91041D"/>
    <w:rsid w:val="2C937D9D"/>
    <w:rsid w:val="2C986F2E"/>
    <w:rsid w:val="2CAC125B"/>
    <w:rsid w:val="2CB73FD3"/>
    <w:rsid w:val="2CC569A5"/>
    <w:rsid w:val="2CD85C8B"/>
    <w:rsid w:val="2CD90A1F"/>
    <w:rsid w:val="2CE64B83"/>
    <w:rsid w:val="2CE776FF"/>
    <w:rsid w:val="2CEF16F6"/>
    <w:rsid w:val="2CEF706F"/>
    <w:rsid w:val="2CF21024"/>
    <w:rsid w:val="2CF512D3"/>
    <w:rsid w:val="2CFC6FC6"/>
    <w:rsid w:val="2D0535A8"/>
    <w:rsid w:val="2D0C21FA"/>
    <w:rsid w:val="2D0E188F"/>
    <w:rsid w:val="2D0E467D"/>
    <w:rsid w:val="2D1375D5"/>
    <w:rsid w:val="2D155333"/>
    <w:rsid w:val="2D1E5DB0"/>
    <w:rsid w:val="2D234B5E"/>
    <w:rsid w:val="2D267B04"/>
    <w:rsid w:val="2D2F31AC"/>
    <w:rsid w:val="2D354692"/>
    <w:rsid w:val="2D491677"/>
    <w:rsid w:val="2D4F5F6C"/>
    <w:rsid w:val="2D502F98"/>
    <w:rsid w:val="2D52368E"/>
    <w:rsid w:val="2D57419C"/>
    <w:rsid w:val="2D5D729C"/>
    <w:rsid w:val="2D5E2995"/>
    <w:rsid w:val="2D5F0A84"/>
    <w:rsid w:val="2D6167D9"/>
    <w:rsid w:val="2D626BD2"/>
    <w:rsid w:val="2D656C74"/>
    <w:rsid w:val="2D6D467F"/>
    <w:rsid w:val="2D6F5140"/>
    <w:rsid w:val="2D71560A"/>
    <w:rsid w:val="2D734570"/>
    <w:rsid w:val="2D754B1F"/>
    <w:rsid w:val="2D760526"/>
    <w:rsid w:val="2D765D9F"/>
    <w:rsid w:val="2D783369"/>
    <w:rsid w:val="2D7A20A9"/>
    <w:rsid w:val="2D7F5A4D"/>
    <w:rsid w:val="2D805725"/>
    <w:rsid w:val="2D8C6D4F"/>
    <w:rsid w:val="2D904DC4"/>
    <w:rsid w:val="2D9124F5"/>
    <w:rsid w:val="2D963BF8"/>
    <w:rsid w:val="2D995ACA"/>
    <w:rsid w:val="2DA139C2"/>
    <w:rsid w:val="2DAE2EAA"/>
    <w:rsid w:val="2DAF0B35"/>
    <w:rsid w:val="2DB76904"/>
    <w:rsid w:val="2DB950AA"/>
    <w:rsid w:val="2DC72112"/>
    <w:rsid w:val="2DC95CDA"/>
    <w:rsid w:val="2DCA3452"/>
    <w:rsid w:val="2DCC3CCC"/>
    <w:rsid w:val="2DD10A4F"/>
    <w:rsid w:val="2DD77AAB"/>
    <w:rsid w:val="2DDA0EA5"/>
    <w:rsid w:val="2DE80787"/>
    <w:rsid w:val="2DE840F5"/>
    <w:rsid w:val="2DEF1CAE"/>
    <w:rsid w:val="2DF377AD"/>
    <w:rsid w:val="2DF44C88"/>
    <w:rsid w:val="2DF56E2C"/>
    <w:rsid w:val="2DF645B8"/>
    <w:rsid w:val="2DFB257E"/>
    <w:rsid w:val="2E060548"/>
    <w:rsid w:val="2E0D179E"/>
    <w:rsid w:val="2E161FB1"/>
    <w:rsid w:val="2E1930F9"/>
    <w:rsid w:val="2E1B0F95"/>
    <w:rsid w:val="2E20600E"/>
    <w:rsid w:val="2E2269E3"/>
    <w:rsid w:val="2E266D09"/>
    <w:rsid w:val="2E2C0607"/>
    <w:rsid w:val="2E2C35C6"/>
    <w:rsid w:val="2E2C4F31"/>
    <w:rsid w:val="2E336667"/>
    <w:rsid w:val="2E3966FE"/>
    <w:rsid w:val="2E3A0F12"/>
    <w:rsid w:val="2E4238EA"/>
    <w:rsid w:val="2E5A4B84"/>
    <w:rsid w:val="2E5E1EAF"/>
    <w:rsid w:val="2E5F0924"/>
    <w:rsid w:val="2E6C151B"/>
    <w:rsid w:val="2E6E5F75"/>
    <w:rsid w:val="2E88236A"/>
    <w:rsid w:val="2E93014F"/>
    <w:rsid w:val="2EB21EDE"/>
    <w:rsid w:val="2EB6413B"/>
    <w:rsid w:val="2EB64367"/>
    <w:rsid w:val="2EB9613F"/>
    <w:rsid w:val="2EC92D78"/>
    <w:rsid w:val="2ECA6D54"/>
    <w:rsid w:val="2ECB5EBE"/>
    <w:rsid w:val="2ECE1DD7"/>
    <w:rsid w:val="2ECE5998"/>
    <w:rsid w:val="2ED303D6"/>
    <w:rsid w:val="2ED85965"/>
    <w:rsid w:val="2EDA77B8"/>
    <w:rsid w:val="2EDF2964"/>
    <w:rsid w:val="2EE51B5E"/>
    <w:rsid w:val="2EE52BC7"/>
    <w:rsid w:val="2EE84298"/>
    <w:rsid w:val="2EE94DAE"/>
    <w:rsid w:val="2EF15EE0"/>
    <w:rsid w:val="2EF91E7F"/>
    <w:rsid w:val="2EFE600F"/>
    <w:rsid w:val="2F032260"/>
    <w:rsid w:val="2F0A62BF"/>
    <w:rsid w:val="2F135004"/>
    <w:rsid w:val="2F17377E"/>
    <w:rsid w:val="2F202F10"/>
    <w:rsid w:val="2F2A3807"/>
    <w:rsid w:val="2F2B5748"/>
    <w:rsid w:val="2F2C78E9"/>
    <w:rsid w:val="2F2F3C40"/>
    <w:rsid w:val="2F306D0E"/>
    <w:rsid w:val="2F3A08D3"/>
    <w:rsid w:val="2F3E6D64"/>
    <w:rsid w:val="2F4C4937"/>
    <w:rsid w:val="2F504834"/>
    <w:rsid w:val="2F5267BA"/>
    <w:rsid w:val="2F5301E2"/>
    <w:rsid w:val="2F5A1A42"/>
    <w:rsid w:val="2F5D7125"/>
    <w:rsid w:val="2F6E49A2"/>
    <w:rsid w:val="2F6E52E7"/>
    <w:rsid w:val="2F756306"/>
    <w:rsid w:val="2F800931"/>
    <w:rsid w:val="2F84739F"/>
    <w:rsid w:val="2F891205"/>
    <w:rsid w:val="2F9308B1"/>
    <w:rsid w:val="2F9E68B9"/>
    <w:rsid w:val="2FA361B5"/>
    <w:rsid w:val="2FAC14C9"/>
    <w:rsid w:val="2FAC4705"/>
    <w:rsid w:val="2FB42536"/>
    <w:rsid w:val="2FB436A0"/>
    <w:rsid w:val="2FBE6F29"/>
    <w:rsid w:val="2FD2529B"/>
    <w:rsid w:val="2FD27C91"/>
    <w:rsid w:val="2FD819EE"/>
    <w:rsid w:val="2FDA5340"/>
    <w:rsid w:val="2FDF63F8"/>
    <w:rsid w:val="2FE20892"/>
    <w:rsid w:val="2FF25CFE"/>
    <w:rsid w:val="2FF679CC"/>
    <w:rsid w:val="2FFA1E7F"/>
    <w:rsid w:val="2FFE1B22"/>
    <w:rsid w:val="2FFF450E"/>
    <w:rsid w:val="3001169C"/>
    <w:rsid w:val="30133D25"/>
    <w:rsid w:val="301D2C96"/>
    <w:rsid w:val="30281E71"/>
    <w:rsid w:val="3028525B"/>
    <w:rsid w:val="302A41F7"/>
    <w:rsid w:val="302B022D"/>
    <w:rsid w:val="3030384D"/>
    <w:rsid w:val="303C7019"/>
    <w:rsid w:val="303E317D"/>
    <w:rsid w:val="30515474"/>
    <w:rsid w:val="30550305"/>
    <w:rsid w:val="3068549F"/>
    <w:rsid w:val="307777A8"/>
    <w:rsid w:val="307F32E1"/>
    <w:rsid w:val="307F5E34"/>
    <w:rsid w:val="30804C88"/>
    <w:rsid w:val="308A7E1F"/>
    <w:rsid w:val="30953A14"/>
    <w:rsid w:val="309D3ED0"/>
    <w:rsid w:val="309F3519"/>
    <w:rsid w:val="30A93E30"/>
    <w:rsid w:val="30AC255A"/>
    <w:rsid w:val="30B30E20"/>
    <w:rsid w:val="30BF5465"/>
    <w:rsid w:val="30C052DA"/>
    <w:rsid w:val="30C369ED"/>
    <w:rsid w:val="30C4483E"/>
    <w:rsid w:val="30CE59BD"/>
    <w:rsid w:val="30E10BF2"/>
    <w:rsid w:val="30EC3C09"/>
    <w:rsid w:val="3100300F"/>
    <w:rsid w:val="31171D3E"/>
    <w:rsid w:val="3121546C"/>
    <w:rsid w:val="31294918"/>
    <w:rsid w:val="31297225"/>
    <w:rsid w:val="31527864"/>
    <w:rsid w:val="315560BA"/>
    <w:rsid w:val="315B35AA"/>
    <w:rsid w:val="315D6A57"/>
    <w:rsid w:val="31641CD7"/>
    <w:rsid w:val="316815EC"/>
    <w:rsid w:val="316E31E7"/>
    <w:rsid w:val="317502A5"/>
    <w:rsid w:val="31803B6C"/>
    <w:rsid w:val="31823F08"/>
    <w:rsid w:val="31826E89"/>
    <w:rsid w:val="318768AD"/>
    <w:rsid w:val="318D288D"/>
    <w:rsid w:val="31976825"/>
    <w:rsid w:val="319A462B"/>
    <w:rsid w:val="31A55A11"/>
    <w:rsid w:val="31A57861"/>
    <w:rsid w:val="31B70CCD"/>
    <w:rsid w:val="31BA647E"/>
    <w:rsid w:val="31C223FD"/>
    <w:rsid w:val="31D05524"/>
    <w:rsid w:val="31D652E6"/>
    <w:rsid w:val="31D80B69"/>
    <w:rsid w:val="31D8211A"/>
    <w:rsid w:val="31D92692"/>
    <w:rsid w:val="31DD745C"/>
    <w:rsid w:val="31DE74EF"/>
    <w:rsid w:val="31E32931"/>
    <w:rsid w:val="31E55FD1"/>
    <w:rsid w:val="31ED1A57"/>
    <w:rsid w:val="31F27201"/>
    <w:rsid w:val="31F274A4"/>
    <w:rsid w:val="31F709CB"/>
    <w:rsid w:val="31F81CA2"/>
    <w:rsid w:val="32036499"/>
    <w:rsid w:val="32066CFF"/>
    <w:rsid w:val="321F7161"/>
    <w:rsid w:val="322F3343"/>
    <w:rsid w:val="32357B02"/>
    <w:rsid w:val="32364F9E"/>
    <w:rsid w:val="32376691"/>
    <w:rsid w:val="32402E31"/>
    <w:rsid w:val="32446A04"/>
    <w:rsid w:val="324711A7"/>
    <w:rsid w:val="324F4242"/>
    <w:rsid w:val="32596AA0"/>
    <w:rsid w:val="325F02FA"/>
    <w:rsid w:val="325F33C0"/>
    <w:rsid w:val="32616061"/>
    <w:rsid w:val="32660BA3"/>
    <w:rsid w:val="326F000C"/>
    <w:rsid w:val="32735C40"/>
    <w:rsid w:val="327B262D"/>
    <w:rsid w:val="328422C8"/>
    <w:rsid w:val="329A0D6E"/>
    <w:rsid w:val="32B13042"/>
    <w:rsid w:val="32B13507"/>
    <w:rsid w:val="32B9685E"/>
    <w:rsid w:val="32BD4DE7"/>
    <w:rsid w:val="32BE555B"/>
    <w:rsid w:val="32C07361"/>
    <w:rsid w:val="32C35599"/>
    <w:rsid w:val="32CF7586"/>
    <w:rsid w:val="32DB5773"/>
    <w:rsid w:val="32F01A77"/>
    <w:rsid w:val="32F5110A"/>
    <w:rsid w:val="32F61530"/>
    <w:rsid w:val="32F84870"/>
    <w:rsid w:val="32FE2D1D"/>
    <w:rsid w:val="32FF4142"/>
    <w:rsid w:val="33003B78"/>
    <w:rsid w:val="33085759"/>
    <w:rsid w:val="330A5636"/>
    <w:rsid w:val="33194914"/>
    <w:rsid w:val="331C6217"/>
    <w:rsid w:val="332224E1"/>
    <w:rsid w:val="33235368"/>
    <w:rsid w:val="332363F7"/>
    <w:rsid w:val="33241994"/>
    <w:rsid w:val="332F04B2"/>
    <w:rsid w:val="33392B21"/>
    <w:rsid w:val="333E028B"/>
    <w:rsid w:val="333E2F70"/>
    <w:rsid w:val="333F2054"/>
    <w:rsid w:val="33495B98"/>
    <w:rsid w:val="334C7A96"/>
    <w:rsid w:val="334F39A0"/>
    <w:rsid w:val="33504332"/>
    <w:rsid w:val="335A5C3F"/>
    <w:rsid w:val="335C069E"/>
    <w:rsid w:val="336368E6"/>
    <w:rsid w:val="336C47D1"/>
    <w:rsid w:val="338511B4"/>
    <w:rsid w:val="33894C47"/>
    <w:rsid w:val="33A90607"/>
    <w:rsid w:val="33AE57D1"/>
    <w:rsid w:val="33B02C7B"/>
    <w:rsid w:val="33B60AA6"/>
    <w:rsid w:val="33B6460B"/>
    <w:rsid w:val="33BA6FC5"/>
    <w:rsid w:val="33BC39D9"/>
    <w:rsid w:val="33C50843"/>
    <w:rsid w:val="33DE2242"/>
    <w:rsid w:val="33E02715"/>
    <w:rsid w:val="33E635EB"/>
    <w:rsid w:val="33E6476D"/>
    <w:rsid w:val="33E950DA"/>
    <w:rsid w:val="33EB640E"/>
    <w:rsid w:val="33F076FB"/>
    <w:rsid w:val="33FD1F37"/>
    <w:rsid w:val="34062B89"/>
    <w:rsid w:val="34157F5A"/>
    <w:rsid w:val="34170777"/>
    <w:rsid w:val="341D57AB"/>
    <w:rsid w:val="341E390C"/>
    <w:rsid w:val="342F2F6C"/>
    <w:rsid w:val="34314F86"/>
    <w:rsid w:val="34347B53"/>
    <w:rsid w:val="34375E9F"/>
    <w:rsid w:val="343C1CA8"/>
    <w:rsid w:val="344415E9"/>
    <w:rsid w:val="3455742F"/>
    <w:rsid w:val="34580843"/>
    <w:rsid w:val="345C14FB"/>
    <w:rsid w:val="346067AF"/>
    <w:rsid w:val="34637C6C"/>
    <w:rsid w:val="347C50BB"/>
    <w:rsid w:val="347D1634"/>
    <w:rsid w:val="348D7AB7"/>
    <w:rsid w:val="34967137"/>
    <w:rsid w:val="349C7095"/>
    <w:rsid w:val="34A21CF7"/>
    <w:rsid w:val="34AF2D83"/>
    <w:rsid w:val="34B14143"/>
    <w:rsid w:val="34C325D6"/>
    <w:rsid w:val="34CB667F"/>
    <w:rsid w:val="34D01FF7"/>
    <w:rsid w:val="34D419F6"/>
    <w:rsid w:val="34D5789B"/>
    <w:rsid w:val="34D64267"/>
    <w:rsid w:val="34D73D6A"/>
    <w:rsid w:val="34E33BB1"/>
    <w:rsid w:val="34E76BB1"/>
    <w:rsid w:val="34EB3258"/>
    <w:rsid w:val="34EC3F01"/>
    <w:rsid w:val="34F724FC"/>
    <w:rsid w:val="34FE287B"/>
    <w:rsid w:val="35041DA7"/>
    <w:rsid w:val="350B16D3"/>
    <w:rsid w:val="350C7E01"/>
    <w:rsid w:val="350F03CE"/>
    <w:rsid w:val="35173A37"/>
    <w:rsid w:val="35181CF1"/>
    <w:rsid w:val="351905C9"/>
    <w:rsid w:val="351B48A6"/>
    <w:rsid w:val="35210ECF"/>
    <w:rsid w:val="35213901"/>
    <w:rsid w:val="3523017D"/>
    <w:rsid w:val="35263262"/>
    <w:rsid w:val="352634FD"/>
    <w:rsid w:val="35277315"/>
    <w:rsid w:val="352D7482"/>
    <w:rsid w:val="35305591"/>
    <w:rsid w:val="3534358A"/>
    <w:rsid w:val="353451C6"/>
    <w:rsid w:val="35352AA4"/>
    <w:rsid w:val="35471FB3"/>
    <w:rsid w:val="354A2FD1"/>
    <w:rsid w:val="354F599B"/>
    <w:rsid w:val="35562F6E"/>
    <w:rsid w:val="356D57A0"/>
    <w:rsid w:val="356F3496"/>
    <w:rsid w:val="357153A9"/>
    <w:rsid w:val="35766AF8"/>
    <w:rsid w:val="35771E9D"/>
    <w:rsid w:val="357A0F3B"/>
    <w:rsid w:val="35806D2D"/>
    <w:rsid w:val="35822914"/>
    <w:rsid w:val="35832074"/>
    <w:rsid w:val="3589282C"/>
    <w:rsid w:val="358D6FAD"/>
    <w:rsid w:val="35A05B6D"/>
    <w:rsid w:val="35A10CDE"/>
    <w:rsid w:val="35AF2637"/>
    <w:rsid w:val="35B22357"/>
    <w:rsid w:val="35B85243"/>
    <w:rsid w:val="35BB3B3F"/>
    <w:rsid w:val="35BD2B54"/>
    <w:rsid w:val="35BF14C3"/>
    <w:rsid w:val="35C90971"/>
    <w:rsid w:val="35CD4545"/>
    <w:rsid w:val="35CD6561"/>
    <w:rsid w:val="35DF30BC"/>
    <w:rsid w:val="35EF1CD5"/>
    <w:rsid w:val="35F715B6"/>
    <w:rsid w:val="35FA33C4"/>
    <w:rsid w:val="35FE17D8"/>
    <w:rsid w:val="360A4107"/>
    <w:rsid w:val="3610510B"/>
    <w:rsid w:val="361B7B54"/>
    <w:rsid w:val="36223AF6"/>
    <w:rsid w:val="362A74A0"/>
    <w:rsid w:val="362F41B0"/>
    <w:rsid w:val="363766B7"/>
    <w:rsid w:val="36387971"/>
    <w:rsid w:val="363B79B6"/>
    <w:rsid w:val="363C2207"/>
    <w:rsid w:val="363E163B"/>
    <w:rsid w:val="3643519B"/>
    <w:rsid w:val="36453D49"/>
    <w:rsid w:val="364544FB"/>
    <w:rsid w:val="364863C9"/>
    <w:rsid w:val="36491627"/>
    <w:rsid w:val="36497414"/>
    <w:rsid w:val="36507FEC"/>
    <w:rsid w:val="36587594"/>
    <w:rsid w:val="36626103"/>
    <w:rsid w:val="36664C63"/>
    <w:rsid w:val="366928F0"/>
    <w:rsid w:val="36730A7D"/>
    <w:rsid w:val="36750B09"/>
    <w:rsid w:val="36832431"/>
    <w:rsid w:val="36892204"/>
    <w:rsid w:val="3689696F"/>
    <w:rsid w:val="36942F79"/>
    <w:rsid w:val="36960474"/>
    <w:rsid w:val="36997359"/>
    <w:rsid w:val="36A05164"/>
    <w:rsid w:val="36A10DC9"/>
    <w:rsid w:val="36A94EF0"/>
    <w:rsid w:val="36A97F3B"/>
    <w:rsid w:val="36B248E5"/>
    <w:rsid w:val="36BB6D02"/>
    <w:rsid w:val="36C80515"/>
    <w:rsid w:val="36CC3EE6"/>
    <w:rsid w:val="36CF25DB"/>
    <w:rsid w:val="36D012F4"/>
    <w:rsid w:val="36EA18B9"/>
    <w:rsid w:val="36F80360"/>
    <w:rsid w:val="37074F82"/>
    <w:rsid w:val="370D6141"/>
    <w:rsid w:val="37141AD1"/>
    <w:rsid w:val="37152096"/>
    <w:rsid w:val="371817AD"/>
    <w:rsid w:val="371973F0"/>
    <w:rsid w:val="371D33CC"/>
    <w:rsid w:val="372018AE"/>
    <w:rsid w:val="3722129D"/>
    <w:rsid w:val="3726243E"/>
    <w:rsid w:val="372651CB"/>
    <w:rsid w:val="37270853"/>
    <w:rsid w:val="372B3ED6"/>
    <w:rsid w:val="3735293B"/>
    <w:rsid w:val="373C44F4"/>
    <w:rsid w:val="373D0EA8"/>
    <w:rsid w:val="373F6C28"/>
    <w:rsid w:val="374C08BA"/>
    <w:rsid w:val="374D4567"/>
    <w:rsid w:val="37523B7A"/>
    <w:rsid w:val="37550124"/>
    <w:rsid w:val="376043EB"/>
    <w:rsid w:val="37676E92"/>
    <w:rsid w:val="376B6341"/>
    <w:rsid w:val="37725264"/>
    <w:rsid w:val="3787229D"/>
    <w:rsid w:val="378D11AD"/>
    <w:rsid w:val="37A43B39"/>
    <w:rsid w:val="37A86AE0"/>
    <w:rsid w:val="37AA217A"/>
    <w:rsid w:val="37AD32E4"/>
    <w:rsid w:val="37B058FF"/>
    <w:rsid w:val="37B072A7"/>
    <w:rsid w:val="37B34745"/>
    <w:rsid w:val="37B54247"/>
    <w:rsid w:val="37B57B3C"/>
    <w:rsid w:val="37C468A8"/>
    <w:rsid w:val="37C86A6D"/>
    <w:rsid w:val="37D11A4C"/>
    <w:rsid w:val="37D12EFF"/>
    <w:rsid w:val="37D47835"/>
    <w:rsid w:val="37DD0E3C"/>
    <w:rsid w:val="37E63F13"/>
    <w:rsid w:val="37E73D75"/>
    <w:rsid w:val="37EC0C1C"/>
    <w:rsid w:val="37EE2147"/>
    <w:rsid w:val="37F214F9"/>
    <w:rsid w:val="37F24ADB"/>
    <w:rsid w:val="37FD4ABB"/>
    <w:rsid w:val="37FF37AD"/>
    <w:rsid w:val="38041C5F"/>
    <w:rsid w:val="38185D56"/>
    <w:rsid w:val="381E78B1"/>
    <w:rsid w:val="38230593"/>
    <w:rsid w:val="38240FCB"/>
    <w:rsid w:val="38245CB9"/>
    <w:rsid w:val="38273D1B"/>
    <w:rsid w:val="38284D98"/>
    <w:rsid w:val="383A5B84"/>
    <w:rsid w:val="383F2830"/>
    <w:rsid w:val="38487F23"/>
    <w:rsid w:val="38543B45"/>
    <w:rsid w:val="38581A5A"/>
    <w:rsid w:val="386C0B88"/>
    <w:rsid w:val="386C2E1A"/>
    <w:rsid w:val="386E4BB5"/>
    <w:rsid w:val="386F21ED"/>
    <w:rsid w:val="386F2E19"/>
    <w:rsid w:val="386F3923"/>
    <w:rsid w:val="38774A2E"/>
    <w:rsid w:val="38811833"/>
    <w:rsid w:val="388314EB"/>
    <w:rsid w:val="38875F08"/>
    <w:rsid w:val="388F6688"/>
    <w:rsid w:val="38924144"/>
    <w:rsid w:val="389356FD"/>
    <w:rsid w:val="389C40B4"/>
    <w:rsid w:val="38A97298"/>
    <w:rsid w:val="38AF5BE3"/>
    <w:rsid w:val="38B52A0C"/>
    <w:rsid w:val="38B81592"/>
    <w:rsid w:val="38B940A1"/>
    <w:rsid w:val="38BA6219"/>
    <w:rsid w:val="38BD6DDB"/>
    <w:rsid w:val="38C56D06"/>
    <w:rsid w:val="38C81ECB"/>
    <w:rsid w:val="38D159B2"/>
    <w:rsid w:val="38D46B4A"/>
    <w:rsid w:val="39036E25"/>
    <w:rsid w:val="39065A95"/>
    <w:rsid w:val="390A1721"/>
    <w:rsid w:val="390C2643"/>
    <w:rsid w:val="390C3BF9"/>
    <w:rsid w:val="39110328"/>
    <w:rsid w:val="391363FA"/>
    <w:rsid w:val="391A0EDA"/>
    <w:rsid w:val="391C473E"/>
    <w:rsid w:val="391E49A2"/>
    <w:rsid w:val="39267FB5"/>
    <w:rsid w:val="392F3AD6"/>
    <w:rsid w:val="3935304E"/>
    <w:rsid w:val="393A2572"/>
    <w:rsid w:val="393D4551"/>
    <w:rsid w:val="393E450F"/>
    <w:rsid w:val="39485282"/>
    <w:rsid w:val="394B43ED"/>
    <w:rsid w:val="394D39FF"/>
    <w:rsid w:val="395F051D"/>
    <w:rsid w:val="396945F2"/>
    <w:rsid w:val="396A0EF4"/>
    <w:rsid w:val="397D7C68"/>
    <w:rsid w:val="397E367E"/>
    <w:rsid w:val="397F1034"/>
    <w:rsid w:val="39807EED"/>
    <w:rsid w:val="39827E8C"/>
    <w:rsid w:val="398345D6"/>
    <w:rsid w:val="39895DC5"/>
    <w:rsid w:val="398A26DD"/>
    <w:rsid w:val="398B5B7C"/>
    <w:rsid w:val="398C0A59"/>
    <w:rsid w:val="398C4C07"/>
    <w:rsid w:val="398C4EAE"/>
    <w:rsid w:val="398F170D"/>
    <w:rsid w:val="39911485"/>
    <w:rsid w:val="399B1741"/>
    <w:rsid w:val="399C251F"/>
    <w:rsid w:val="39A80BC9"/>
    <w:rsid w:val="39AE18D5"/>
    <w:rsid w:val="39B3329A"/>
    <w:rsid w:val="39B61C02"/>
    <w:rsid w:val="39BD5961"/>
    <w:rsid w:val="39C66B84"/>
    <w:rsid w:val="39CD5100"/>
    <w:rsid w:val="39D51D2A"/>
    <w:rsid w:val="39D77F3E"/>
    <w:rsid w:val="39DB59AE"/>
    <w:rsid w:val="39E1172F"/>
    <w:rsid w:val="39ED28AD"/>
    <w:rsid w:val="39EF2B13"/>
    <w:rsid w:val="39F30458"/>
    <w:rsid w:val="39F67DAF"/>
    <w:rsid w:val="39FA2D44"/>
    <w:rsid w:val="3A072716"/>
    <w:rsid w:val="3A0C64AB"/>
    <w:rsid w:val="3A102FE5"/>
    <w:rsid w:val="3A130794"/>
    <w:rsid w:val="3A151FB1"/>
    <w:rsid w:val="3A197845"/>
    <w:rsid w:val="3A1E3F24"/>
    <w:rsid w:val="3A2418E4"/>
    <w:rsid w:val="3A241DD6"/>
    <w:rsid w:val="3A264BF2"/>
    <w:rsid w:val="3A2B3A38"/>
    <w:rsid w:val="3A2E2737"/>
    <w:rsid w:val="3A427015"/>
    <w:rsid w:val="3A466333"/>
    <w:rsid w:val="3A4837A7"/>
    <w:rsid w:val="3A51646A"/>
    <w:rsid w:val="3A554EE8"/>
    <w:rsid w:val="3A586628"/>
    <w:rsid w:val="3A5A3575"/>
    <w:rsid w:val="3A5F5E1F"/>
    <w:rsid w:val="3A5F60B5"/>
    <w:rsid w:val="3A636C45"/>
    <w:rsid w:val="3A6806E0"/>
    <w:rsid w:val="3A6A766C"/>
    <w:rsid w:val="3A704F8C"/>
    <w:rsid w:val="3A79478A"/>
    <w:rsid w:val="3A810030"/>
    <w:rsid w:val="3A861165"/>
    <w:rsid w:val="3A880AF7"/>
    <w:rsid w:val="3A896D35"/>
    <w:rsid w:val="3A8B2FA0"/>
    <w:rsid w:val="3A8D02BD"/>
    <w:rsid w:val="3A947BBA"/>
    <w:rsid w:val="3A9F103A"/>
    <w:rsid w:val="3AA72A33"/>
    <w:rsid w:val="3AA74580"/>
    <w:rsid w:val="3AA97CBF"/>
    <w:rsid w:val="3AAE0228"/>
    <w:rsid w:val="3AB60480"/>
    <w:rsid w:val="3ABA1E63"/>
    <w:rsid w:val="3ABE4449"/>
    <w:rsid w:val="3AC11532"/>
    <w:rsid w:val="3AC60626"/>
    <w:rsid w:val="3AD76038"/>
    <w:rsid w:val="3ADD5EEB"/>
    <w:rsid w:val="3AE457A2"/>
    <w:rsid w:val="3AEC6423"/>
    <w:rsid w:val="3AF037BA"/>
    <w:rsid w:val="3AF75D22"/>
    <w:rsid w:val="3B000EBB"/>
    <w:rsid w:val="3B012D3F"/>
    <w:rsid w:val="3B0A3459"/>
    <w:rsid w:val="3B0C5350"/>
    <w:rsid w:val="3B0F301A"/>
    <w:rsid w:val="3B1114A7"/>
    <w:rsid w:val="3B156725"/>
    <w:rsid w:val="3B166185"/>
    <w:rsid w:val="3B1C78F4"/>
    <w:rsid w:val="3B203C7D"/>
    <w:rsid w:val="3B20409A"/>
    <w:rsid w:val="3B271917"/>
    <w:rsid w:val="3B295F2D"/>
    <w:rsid w:val="3B333601"/>
    <w:rsid w:val="3B384064"/>
    <w:rsid w:val="3B3B7ECF"/>
    <w:rsid w:val="3B420944"/>
    <w:rsid w:val="3B4A2355"/>
    <w:rsid w:val="3B513498"/>
    <w:rsid w:val="3B557FDC"/>
    <w:rsid w:val="3B5C6148"/>
    <w:rsid w:val="3B5D0380"/>
    <w:rsid w:val="3B5E2E75"/>
    <w:rsid w:val="3B6540CC"/>
    <w:rsid w:val="3B683838"/>
    <w:rsid w:val="3B691316"/>
    <w:rsid w:val="3B6A1BA9"/>
    <w:rsid w:val="3B882CAC"/>
    <w:rsid w:val="3B984E88"/>
    <w:rsid w:val="3B990B69"/>
    <w:rsid w:val="3BA320BB"/>
    <w:rsid w:val="3BB75F10"/>
    <w:rsid w:val="3BC2775B"/>
    <w:rsid w:val="3BC57CCB"/>
    <w:rsid w:val="3BD606D6"/>
    <w:rsid w:val="3BD9367E"/>
    <w:rsid w:val="3BDF0602"/>
    <w:rsid w:val="3BE13970"/>
    <w:rsid w:val="3BE157D1"/>
    <w:rsid w:val="3BE40003"/>
    <w:rsid w:val="3BEA6BC8"/>
    <w:rsid w:val="3BEB5A5D"/>
    <w:rsid w:val="3BEE2D64"/>
    <w:rsid w:val="3BFA097C"/>
    <w:rsid w:val="3C04480C"/>
    <w:rsid w:val="3C0715A4"/>
    <w:rsid w:val="3C07362C"/>
    <w:rsid w:val="3C08314B"/>
    <w:rsid w:val="3C0D2D30"/>
    <w:rsid w:val="3C1C03B2"/>
    <w:rsid w:val="3C2328DB"/>
    <w:rsid w:val="3C246740"/>
    <w:rsid w:val="3C281670"/>
    <w:rsid w:val="3C2F1397"/>
    <w:rsid w:val="3C3635A1"/>
    <w:rsid w:val="3C3B0DBF"/>
    <w:rsid w:val="3C3C22CE"/>
    <w:rsid w:val="3C440234"/>
    <w:rsid w:val="3C4631C3"/>
    <w:rsid w:val="3C493224"/>
    <w:rsid w:val="3C5178A5"/>
    <w:rsid w:val="3C526EDF"/>
    <w:rsid w:val="3C584B6A"/>
    <w:rsid w:val="3C5A4DCF"/>
    <w:rsid w:val="3C5D37D5"/>
    <w:rsid w:val="3C5F68F5"/>
    <w:rsid w:val="3C650221"/>
    <w:rsid w:val="3C676A95"/>
    <w:rsid w:val="3C68400A"/>
    <w:rsid w:val="3C6D1B39"/>
    <w:rsid w:val="3C727861"/>
    <w:rsid w:val="3C741B62"/>
    <w:rsid w:val="3C7A09DA"/>
    <w:rsid w:val="3C7B748F"/>
    <w:rsid w:val="3C83434A"/>
    <w:rsid w:val="3C8A35E0"/>
    <w:rsid w:val="3C9C74D9"/>
    <w:rsid w:val="3C9E2501"/>
    <w:rsid w:val="3C9F2C97"/>
    <w:rsid w:val="3CA0486E"/>
    <w:rsid w:val="3CA15821"/>
    <w:rsid w:val="3CB13218"/>
    <w:rsid w:val="3CB553CA"/>
    <w:rsid w:val="3CB63AC3"/>
    <w:rsid w:val="3CB86CDE"/>
    <w:rsid w:val="3CC638BA"/>
    <w:rsid w:val="3CD2275B"/>
    <w:rsid w:val="3CD97E63"/>
    <w:rsid w:val="3CF23262"/>
    <w:rsid w:val="3D023145"/>
    <w:rsid w:val="3D0C416B"/>
    <w:rsid w:val="3D106D73"/>
    <w:rsid w:val="3D121E08"/>
    <w:rsid w:val="3D177CB4"/>
    <w:rsid w:val="3D1A2E5D"/>
    <w:rsid w:val="3D1C5B3C"/>
    <w:rsid w:val="3D1C5D63"/>
    <w:rsid w:val="3D205FB6"/>
    <w:rsid w:val="3D28126C"/>
    <w:rsid w:val="3D3F2816"/>
    <w:rsid w:val="3D440F19"/>
    <w:rsid w:val="3D455B6A"/>
    <w:rsid w:val="3D4A7371"/>
    <w:rsid w:val="3D4B2800"/>
    <w:rsid w:val="3D517E82"/>
    <w:rsid w:val="3D592B0F"/>
    <w:rsid w:val="3D5E4E90"/>
    <w:rsid w:val="3D6271C8"/>
    <w:rsid w:val="3D6837C0"/>
    <w:rsid w:val="3D684D8C"/>
    <w:rsid w:val="3D6A35D9"/>
    <w:rsid w:val="3D742904"/>
    <w:rsid w:val="3D772897"/>
    <w:rsid w:val="3D7F0DB1"/>
    <w:rsid w:val="3D805D39"/>
    <w:rsid w:val="3D832A64"/>
    <w:rsid w:val="3D8469FB"/>
    <w:rsid w:val="3D891B65"/>
    <w:rsid w:val="3D8F5F60"/>
    <w:rsid w:val="3DB07AC6"/>
    <w:rsid w:val="3DBC474B"/>
    <w:rsid w:val="3DBD6643"/>
    <w:rsid w:val="3DC05325"/>
    <w:rsid w:val="3DD1437E"/>
    <w:rsid w:val="3DD607FE"/>
    <w:rsid w:val="3DD96ECB"/>
    <w:rsid w:val="3DDC35A9"/>
    <w:rsid w:val="3DE27018"/>
    <w:rsid w:val="3DE92AE9"/>
    <w:rsid w:val="3DEC5BD4"/>
    <w:rsid w:val="3DED75B7"/>
    <w:rsid w:val="3DEE25EB"/>
    <w:rsid w:val="3DFC5A4F"/>
    <w:rsid w:val="3DFD36E5"/>
    <w:rsid w:val="3E01320E"/>
    <w:rsid w:val="3E0139B7"/>
    <w:rsid w:val="3E02501F"/>
    <w:rsid w:val="3E0B64FA"/>
    <w:rsid w:val="3E1359A3"/>
    <w:rsid w:val="3E171156"/>
    <w:rsid w:val="3E1D4041"/>
    <w:rsid w:val="3E202530"/>
    <w:rsid w:val="3E231185"/>
    <w:rsid w:val="3E333CA6"/>
    <w:rsid w:val="3E357234"/>
    <w:rsid w:val="3E473BE5"/>
    <w:rsid w:val="3E4B239F"/>
    <w:rsid w:val="3E4F03EA"/>
    <w:rsid w:val="3E50180A"/>
    <w:rsid w:val="3E517A6A"/>
    <w:rsid w:val="3E562A9D"/>
    <w:rsid w:val="3E597424"/>
    <w:rsid w:val="3E5D6940"/>
    <w:rsid w:val="3E5E5B9B"/>
    <w:rsid w:val="3E655230"/>
    <w:rsid w:val="3E67571E"/>
    <w:rsid w:val="3E6810EF"/>
    <w:rsid w:val="3E6A6250"/>
    <w:rsid w:val="3E76316F"/>
    <w:rsid w:val="3E791B72"/>
    <w:rsid w:val="3E793A64"/>
    <w:rsid w:val="3E7A4F5B"/>
    <w:rsid w:val="3E7B3ED3"/>
    <w:rsid w:val="3E7D43A0"/>
    <w:rsid w:val="3E824CA8"/>
    <w:rsid w:val="3E862FF1"/>
    <w:rsid w:val="3E88117F"/>
    <w:rsid w:val="3E9348A0"/>
    <w:rsid w:val="3E965678"/>
    <w:rsid w:val="3E97279C"/>
    <w:rsid w:val="3E9A39A0"/>
    <w:rsid w:val="3E9F7A6B"/>
    <w:rsid w:val="3EA12EA7"/>
    <w:rsid w:val="3EAA385C"/>
    <w:rsid w:val="3EAD1C01"/>
    <w:rsid w:val="3EB26E33"/>
    <w:rsid w:val="3EBA30DA"/>
    <w:rsid w:val="3EBA4485"/>
    <w:rsid w:val="3EC53241"/>
    <w:rsid w:val="3EC738B5"/>
    <w:rsid w:val="3ECC5B74"/>
    <w:rsid w:val="3ED34AA9"/>
    <w:rsid w:val="3EDA29E3"/>
    <w:rsid w:val="3EDE4A27"/>
    <w:rsid w:val="3EE00734"/>
    <w:rsid w:val="3EE65056"/>
    <w:rsid w:val="3EE94A6E"/>
    <w:rsid w:val="3EEE1023"/>
    <w:rsid w:val="3EF25C41"/>
    <w:rsid w:val="3EFB2AC4"/>
    <w:rsid w:val="3EFC63EC"/>
    <w:rsid w:val="3EFE1E3F"/>
    <w:rsid w:val="3F074518"/>
    <w:rsid w:val="3F0E36C6"/>
    <w:rsid w:val="3F167A05"/>
    <w:rsid w:val="3F193CDD"/>
    <w:rsid w:val="3F1C0F19"/>
    <w:rsid w:val="3F2F5DE5"/>
    <w:rsid w:val="3F3C4884"/>
    <w:rsid w:val="3F3E4DAD"/>
    <w:rsid w:val="3F3F772F"/>
    <w:rsid w:val="3F424D9E"/>
    <w:rsid w:val="3F433EBA"/>
    <w:rsid w:val="3F4E42A0"/>
    <w:rsid w:val="3F51054C"/>
    <w:rsid w:val="3F531809"/>
    <w:rsid w:val="3F597B34"/>
    <w:rsid w:val="3F7332C8"/>
    <w:rsid w:val="3F795A68"/>
    <w:rsid w:val="3F7A29F3"/>
    <w:rsid w:val="3F7F4332"/>
    <w:rsid w:val="3F802BC2"/>
    <w:rsid w:val="3F8833D7"/>
    <w:rsid w:val="3F8A2FED"/>
    <w:rsid w:val="3F8B3944"/>
    <w:rsid w:val="3F9447F7"/>
    <w:rsid w:val="3F98161D"/>
    <w:rsid w:val="3F9B1130"/>
    <w:rsid w:val="3F9F1801"/>
    <w:rsid w:val="3F9F1900"/>
    <w:rsid w:val="3FA0771D"/>
    <w:rsid w:val="3FA43AE8"/>
    <w:rsid w:val="3FA66B61"/>
    <w:rsid w:val="3FA708FC"/>
    <w:rsid w:val="3FAB3987"/>
    <w:rsid w:val="3FAC1E14"/>
    <w:rsid w:val="3FAE335A"/>
    <w:rsid w:val="3FB16AC1"/>
    <w:rsid w:val="3FC712F2"/>
    <w:rsid w:val="3FCE1375"/>
    <w:rsid w:val="3FCE6BD9"/>
    <w:rsid w:val="3FD02CB4"/>
    <w:rsid w:val="3FD42C77"/>
    <w:rsid w:val="3FD52606"/>
    <w:rsid w:val="3FD527BA"/>
    <w:rsid w:val="3FD67204"/>
    <w:rsid w:val="3FD813D6"/>
    <w:rsid w:val="3FDC2CA0"/>
    <w:rsid w:val="3FE108E1"/>
    <w:rsid w:val="3FE32C42"/>
    <w:rsid w:val="3FE45AC1"/>
    <w:rsid w:val="3FE50D53"/>
    <w:rsid w:val="3FF47EB1"/>
    <w:rsid w:val="3FF95D0E"/>
    <w:rsid w:val="4008208E"/>
    <w:rsid w:val="400A5FEF"/>
    <w:rsid w:val="400A7D84"/>
    <w:rsid w:val="400F0F9F"/>
    <w:rsid w:val="40123308"/>
    <w:rsid w:val="40134CF5"/>
    <w:rsid w:val="401366A7"/>
    <w:rsid w:val="40161B34"/>
    <w:rsid w:val="40194BED"/>
    <w:rsid w:val="401C57A7"/>
    <w:rsid w:val="40274B8E"/>
    <w:rsid w:val="402945A9"/>
    <w:rsid w:val="403123BF"/>
    <w:rsid w:val="403C5041"/>
    <w:rsid w:val="40413CE5"/>
    <w:rsid w:val="405324C7"/>
    <w:rsid w:val="40550B92"/>
    <w:rsid w:val="405F21F8"/>
    <w:rsid w:val="406D5F9E"/>
    <w:rsid w:val="40712F99"/>
    <w:rsid w:val="407254E7"/>
    <w:rsid w:val="4082533F"/>
    <w:rsid w:val="408825BE"/>
    <w:rsid w:val="409535E1"/>
    <w:rsid w:val="40974306"/>
    <w:rsid w:val="40991A67"/>
    <w:rsid w:val="40A03774"/>
    <w:rsid w:val="40AF5B56"/>
    <w:rsid w:val="40B11F59"/>
    <w:rsid w:val="40B70029"/>
    <w:rsid w:val="40BB527C"/>
    <w:rsid w:val="40BC34A0"/>
    <w:rsid w:val="40BE1062"/>
    <w:rsid w:val="40BF4EB5"/>
    <w:rsid w:val="40C22C43"/>
    <w:rsid w:val="40CA7B53"/>
    <w:rsid w:val="40D0473A"/>
    <w:rsid w:val="40DC7F5E"/>
    <w:rsid w:val="40E11944"/>
    <w:rsid w:val="40E41688"/>
    <w:rsid w:val="40E42EF6"/>
    <w:rsid w:val="40E47D03"/>
    <w:rsid w:val="40ED0899"/>
    <w:rsid w:val="40F156BA"/>
    <w:rsid w:val="40F67B7C"/>
    <w:rsid w:val="410115C1"/>
    <w:rsid w:val="410339EE"/>
    <w:rsid w:val="410C40BA"/>
    <w:rsid w:val="410D2B67"/>
    <w:rsid w:val="411D3918"/>
    <w:rsid w:val="412160EE"/>
    <w:rsid w:val="412A5DEF"/>
    <w:rsid w:val="41323F1F"/>
    <w:rsid w:val="413B72B6"/>
    <w:rsid w:val="41425A2D"/>
    <w:rsid w:val="41481B91"/>
    <w:rsid w:val="414D4335"/>
    <w:rsid w:val="41523544"/>
    <w:rsid w:val="41561045"/>
    <w:rsid w:val="415D3A4E"/>
    <w:rsid w:val="415D5A44"/>
    <w:rsid w:val="41613E05"/>
    <w:rsid w:val="416145F9"/>
    <w:rsid w:val="416D74A7"/>
    <w:rsid w:val="417101A8"/>
    <w:rsid w:val="41784BD9"/>
    <w:rsid w:val="41796D25"/>
    <w:rsid w:val="418006CC"/>
    <w:rsid w:val="41816807"/>
    <w:rsid w:val="418F7888"/>
    <w:rsid w:val="419129BD"/>
    <w:rsid w:val="41960D22"/>
    <w:rsid w:val="419A131E"/>
    <w:rsid w:val="419C7150"/>
    <w:rsid w:val="41A2220C"/>
    <w:rsid w:val="41A25F51"/>
    <w:rsid w:val="41A301B8"/>
    <w:rsid w:val="41AA13CA"/>
    <w:rsid w:val="41BD6F48"/>
    <w:rsid w:val="41C01188"/>
    <w:rsid w:val="41D61FA6"/>
    <w:rsid w:val="41DE73A2"/>
    <w:rsid w:val="41E0444E"/>
    <w:rsid w:val="41EE0B14"/>
    <w:rsid w:val="41F26AA5"/>
    <w:rsid w:val="42011B6A"/>
    <w:rsid w:val="420166AF"/>
    <w:rsid w:val="42031762"/>
    <w:rsid w:val="4206636C"/>
    <w:rsid w:val="420875A7"/>
    <w:rsid w:val="420F1728"/>
    <w:rsid w:val="4215458C"/>
    <w:rsid w:val="42284978"/>
    <w:rsid w:val="42291FBB"/>
    <w:rsid w:val="4229361F"/>
    <w:rsid w:val="4231025B"/>
    <w:rsid w:val="42542679"/>
    <w:rsid w:val="42545E63"/>
    <w:rsid w:val="42577E16"/>
    <w:rsid w:val="42625B95"/>
    <w:rsid w:val="4264148A"/>
    <w:rsid w:val="42701C52"/>
    <w:rsid w:val="427079E4"/>
    <w:rsid w:val="42715422"/>
    <w:rsid w:val="42870FD4"/>
    <w:rsid w:val="42876D67"/>
    <w:rsid w:val="428E3C7C"/>
    <w:rsid w:val="428F6F20"/>
    <w:rsid w:val="429129DB"/>
    <w:rsid w:val="4293710A"/>
    <w:rsid w:val="42993B2D"/>
    <w:rsid w:val="42A55505"/>
    <w:rsid w:val="42A6777E"/>
    <w:rsid w:val="42AB4C12"/>
    <w:rsid w:val="42AE0620"/>
    <w:rsid w:val="42B62082"/>
    <w:rsid w:val="42BE549F"/>
    <w:rsid w:val="42C37078"/>
    <w:rsid w:val="42C71528"/>
    <w:rsid w:val="42CC1306"/>
    <w:rsid w:val="42E4573C"/>
    <w:rsid w:val="42E55BD1"/>
    <w:rsid w:val="42EA16AC"/>
    <w:rsid w:val="42EE299E"/>
    <w:rsid w:val="42F5264C"/>
    <w:rsid w:val="42F74EDD"/>
    <w:rsid w:val="42F77359"/>
    <w:rsid w:val="43056764"/>
    <w:rsid w:val="430C1B87"/>
    <w:rsid w:val="430E522A"/>
    <w:rsid w:val="430F66AF"/>
    <w:rsid w:val="431440DF"/>
    <w:rsid w:val="43175510"/>
    <w:rsid w:val="431F6B15"/>
    <w:rsid w:val="43216CF0"/>
    <w:rsid w:val="432556D9"/>
    <w:rsid w:val="434C6BA9"/>
    <w:rsid w:val="435340E6"/>
    <w:rsid w:val="43623783"/>
    <w:rsid w:val="4364627F"/>
    <w:rsid w:val="43673FD9"/>
    <w:rsid w:val="43683D46"/>
    <w:rsid w:val="436F7A1A"/>
    <w:rsid w:val="43725C22"/>
    <w:rsid w:val="437333F7"/>
    <w:rsid w:val="4377681C"/>
    <w:rsid w:val="437A096D"/>
    <w:rsid w:val="437F6219"/>
    <w:rsid w:val="438259CF"/>
    <w:rsid w:val="43905DAA"/>
    <w:rsid w:val="439572A9"/>
    <w:rsid w:val="439D32A8"/>
    <w:rsid w:val="439F01B0"/>
    <w:rsid w:val="43A24A3B"/>
    <w:rsid w:val="43A42FC1"/>
    <w:rsid w:val="43A54CB6"/>
    <w:rsid w:val="43B42243"/>
    <w:rsid w:val="43CE55CC"/>
    <w:rsid w:val="43CE79F9"/>
    <w:rsid w:val="43CF6C98"/>
    <w:rsid w:val="43D04F00"/>
    <w:rsid w:val="43D7347A"/>
    <w:rsid w:val="43E051F1"/>
    <w:rsid w:val="43E2678B"/>
    <w:rsid w:val="43E910F6"/>
    <w:rsid w:val="43FA07B6"/>
    <w:rsid w:val="43FD507D"/>
    <w:rsid w:val="44004AEC"/>
    <w:rsid w:val="440853FB"/>
    <w:rsid w:val="440A2A96"/>
    <w:rsid w:val="440C0B27"/>
    <w:rsid w:val="440D798C"/>
    <w:rsid w:val="440E235C"/>
    <w:rsid w:val="441034A2"/>
    <w:rsid w:val="441069C7"/>
    <w:rsid w:val="4414384F"/>
    <w:rsid w:val="44176910"/>
    <w:rsid w:val="441B46C3"/>
    <w:rsid w:val="44214D17"/>
    <w:rsid w:val="442B4E36"/>
    <w:rsid w:val="442E7637"/>
    <w:rsid w:val="44352CD5"/>
    <w:rsid w:val="44357CE2"/>
    <w:rsid w:val="44406F58"/>
    <w:rsid w:val="44466016"/>
    <w:rsid w:val="444D3CF7"/>
    <w:rsid w:val="445314C1"/>
    <w:rsid w:val="445669B8"/>
    <w:rsid w:val="445E5D6E"/>
    <w:rsid w:val="44686D65"/>
    <w:rsid w:val="446E6717"/>
    <w:rsid w:val="447C0407"/>
    <w:rsid w:val="447C43B9"/>
    <w:rsid w:val="448031E5"/>
    <w:rsid w:val="44905B69"/>
    <w:rsid w:val="449A7100"/>
    <w:rsid w:val="44A02EE8"/>
    <w:rsid w:val="44AC4AE1"/>
    <w:rsid w:val="44B70201"/>
    <w:rsid w:val="44B71297"/>
    <w:rsid w:val="44BA3582"/>
    <w:rsid w:val="44BB1C89"/>
    <w:rsid w:val="44BD68F2"/>
    <w:rsid w:val="44C3031A"/>
    <w:rsid w:val="44C44A15"/>
    <w:rsid w:val="44CE6820"/>
    <w:rsid w:val="44D1363B"/>
    <w:rsid w:val="44D32EDC"/>
    <w:rsid w:val="44E001FA"/>
    <w:rsid w:val="44E524F8"/>
    <w:rsid w:val="44E65ABA"/>
    <w:rsid w:val="44E83761"/>
    <w:rsid w:val="44F14125"/>
    <w:rsid w:val="44F266E6"/>
    <w:rsid w:val="44F81D61"/>
    <w:rsid w:val="45010F25"/>
    <w:rsid w:val="45022A13"/>
    <w:rsid w:val="45155CF8"/>
    <w:rsid w:val="45182D58"/>
    <w:rsid w:val="451909A5"/>
    <w:rsid w:val="451F6B12"/>
    <w:rsid w:val="45211AD1"/>
    <w:rsid w:val="45276D5C"/>
    <w:rsid w:val="452C386A"/>
    <w:rsid w:val="452E48C0"/>
    <w:rsid w:val="452F1042"/>
    <w:rsid w:val="453471D4"/>
    <w:rsid w:val="45506EF4"/>
    <w:rsid w:val="455279D1"/>
    <w:rsid w:val="45684D97"/>
    <w:rsid w:val="456A5E9C"/>
    <w:rsid w:val="456B31C6"/>
    <w:rsid w:val="45751C08"/>
    <w:rsid w:val="45796C7C"/>
    <w:rsid w:val="4587502B"/>
    <w:rsid w:val="459303D0"/>
    <w:rsid w:val="45953540"/>
    <w:rsid w:val="459973F5"/>
    <w:rsid w:val="459E2A44"/>
    <w:rsid w:val="45A6592E"/>
    <w:rsid w:val="45AB12F2"/>
    <w:rsid w:val="45AF245D"/>
    <w:rsid w:val="45B37E87"/>
    <w:rsid w:val="45B84BD8"/>
    <w:rsid w:val="45BD71ED"/>
    <w:rsid w:val="45CE37A3"/>
    <w:rsid w:val="45CE3C7E"/>
    <w:rsid w:val="45D10417"/>
    <w:rsid w:val="45D7079C"/>
    <w:rsid w:val="45D865DD"/>
    <w:rsid w:val="45DF359C"/>
    <w:rsid w:val="45E328B0"/>
    <w:rsid w:val="45E474BB"/>
    <w:rsid w:val="45E93080"/>
    <w:rsid w:val="45F2422F"/>
    <w:rsid w:val="45F35B1A"/>
    <w:rsid w:val="45F40DA7"/>
    <w:rsid w:val="45F840E4"/>
    <w:rsid w:val="45FA024B"/>
    <w:rsid w:val="45FC69FE"/>
    <w:rsid w:val="460505B9"/>
    <w:rsid w:val="4607137D"/>
    <w:rsid w:val="46150509"/>
    <w:rsid w:val="461529FB"/>
    <w:rsid w:val="461871C8"/>
    <w:rsid w:val="461B44F2"/>
    <w:rsid w:val="461C73E5"/>
    <w:rsid w:val="462C207A"/>
    <w:rsid w:val="462E77B5"/>
    <w:rsid w:val="46321309"/>
    <w:rsid w:val="46423CEC"/>
    <w:rsid w:val="46460704"/>
    <w:rsid w:val="46581732"/>
    <w:rsid w:val="465B55A3"/>
    <w:rsid w:val="465D1B72"/>
    <w:rsid w:val="46637F0C"/>
    <w:rsid w:val="46651C11"/>
    <w:rsid w:val="46664CE9"/>
    <w:rsid w:val="466A7382"/>
    <w:rsid w:val="466C0DBE"/>
    <w:rsid w:val="466E3D1C"/>
    <w:rsid w:val="46704BA4"/>
    <w:rsid w:val="46711728"/>
    <w:rsid w:val="46926ABE"/>
    <w:rsid w:val="469328BB"/>
    <w:rsid w:val="46A16B77"/>
    <w:rsid w:val="46A95C70"/>
    <w:rsid w:val="46AA265D"/>
    <w:rsid w:val="46AC6447"/>
    <w:rsid w:val="46AE47C4"/>
    <w:rsid w:val="46B1432D"/>
    <w:rsid w:val="46B84C3E"/>
    <w:rsid w:val="46B878AA"/>
    <w:rsid w:val="46B91628"/>
    <w:rsid w:val="46BB25E6"/>
    <w:rsid w:val="46C113D0"/>
    <w:rsid w:val="46C12B04"/>
    <w:rsid w:val="46C76524"/>
    <w:rsid w:val="46E17085"/>
    <w:rsid w:val="46E90989"/>
    <w:rsid w:val="46ED1551"/>
    <w:rsid w:val="46F80B1B"/>
    <w:rsid w:val="46FB675E"/>
    <w:rsid w:val="47016545"/>
    <w:rsid w:val="470674D3"/>
    <w:rsid w:val="47067B0E"/>
    <w:rsid w:val="470E463C"/>
    <w:rsid w:val="47115C61"/>
    <w:rsid w:val="47170F1A"/>
    <w:rsid w:val="47175583"/>
    <w:rsid w:val="471C04E2"/>
    <w:rsid w:val="47294C82"/>
    <w:rsid w:val="472966DA"/>
    <w:rsid w:val="472A1738"/>
    <w:rsid w:val="472A4FCE"/>
    <w:rsid w:val="472F3669"/>
    <w:rsid w:val="47337248"/>
    <w:rsid w:val="47343834"/>
    <w:rsid w:val="473835C9"/>
    <w:rsid w:val="473F41CF"/>
    <w:rsid w:val="474D1442"/>
    <w:rsid w:val="47541B81"/>
    <w:rsid w:val="4754221A"/>
    <w:rsid w:val="475953BF"/>
    <w:rsid w:val="47595929"/>
    <w:rsid w:val="475A6A81"/>
    <w:rsid w:val="47611766"/>
    <w:rsid w:val="4773426A"/>
    <w:rsid w:val="477D6F0B"/>
    <w:rsid w:val="477E0303"/>
    <w:rsid w:val="47810434"/>
    <w:rsid w:val="47814C64"/>
    <w:rsid w:val="47815B5C"/>
    <w:rsid w:val="47845B99"/>
    <w:rsid w:val="47914456"/>
    <w:rsid w:val="479763C2"/>
    <w:rsid w:val="479D5203"/>
    <w:rsid w:val="479E2959"/>
    <w:rsid w:val="47A34674"/>
    <w:rsid w:val="47A45A17"/>
    <w:rsid w:val="47AB4496"/>
    <w:rsid w:val="47BA28AE"/>
    <w:rsid w:val="47C00473"/>
    <w:rsid w:val="47C374A1"/>
    <w:rsid w:val="47CD22EB"/>
    <w:rsid w:val="47D14580"/>
    <w:rsid w:val="47DC786D"/>
    <w:rsid w:val="47E01470"/>
    <w:rsid w:val="47E230C1"/>
    <w:rsid w:val="47E23EBB"/>
    <w:rsid w:val="47EE053F"/>
    <w:rsid w:val="47EF2186"/>
    <w:rsid w:val="47F02EE7"/>
    <w:rsid w:val="47F84A3B"/>
    <w:rsid w:val="47F914D0"/>
    <w:rsid w:val="47FD526B"/>
    <w:rsid w:val="48020476"/>
    <w:rsid w:val="48214DC7"/>
    <w:rsid w:val="48232082"/>
    <w:rsid w:val="482A4BE7"/>
    <w:rsid w:val="482D6FDC"/>
    <w:rsid w:val="482E4A85"/>
    <w:rsid w:val="4830363F"/>
    <w:rsid w:val="48315E6B"/>
    <w:rsid w:val="483443CE"/>
    <w:rsid w:val="483C2392"/>
    <w:rsid w:val="483F44A0"/>
    <w:rsid w:val="484B57D2"/>
    <w:rsid w:val="48504007"/>
    <w:rsid w:val="4852728D"/>
    <w:rsid w:val="48636F58"/>
    <w:rsid w:val="486B5C72"/>
    <w:rsid w:val="486B63D0"/>
    <w:rsid w:val="486F3AB0"/>
    <w:rsid w:val="48704819"/>
    <w:rsid w:val="48730D0B"/>
    <w:rsid w:val="48731139"/>
    <w:rsid w:val="48740590"/>
    <w:rsid w:val="487A5512"/>
    <w:rsid w:val="48836BDB"/>
    <w:rsid w:val="488B21EF"/>
    <w:rsid w:val="48907633"/>
    <w:rsid w:val="48932F09"/>
    <w:rsid w:val="489A1741"/>
    <w:rsid w:val="489E5A1C"/>
    <w:rsid w:val="48A40899"/>
    <w:rsid w:val="48AC1687"/>
    <w:rsid w:val="48B412F8"/>
    <w:rsid w:val="48B86AF9"/>
    <w:rsid w:val="48BE6F78"/>
    <w:rsid w:val="48C86658"/>
    <w:rsid w:val="48D03EFE"/>
    <w:rsid w:val="48D206EF"/>
    <w:rsid w:val="48D5501C"/>
    <w:rsid w:val="48D7156D"/>
    <w:rsid w:val="48DB1C09"/>
    <w:rsid w:val="48DE4EA0"/>
    <w:rsid w:val="48E13291"/>
    <w:rsid w:val="48E93991"/>
    <w:rsid w:val="48ED6B2B"/>
    <w:rsid w:val="48EE1552"/>
    <w:rsid w:val="48F9385B"/>
    <w:rsid w:val="48FD77D9"/>
    <w:rsid w:val="490203A5"/>
    <w:rsid w:val="491274CF"/>
    <w:rsid w:val="491F1A0B"/>
    <w:rsid w:val="49244778"/>
    <w:rsid w:val="492F52F7"/>
    <w:rsid w:val="493B3960"/>
    <w:rsid w:val="494A320B"/>
    <w:rsid w:val="494C20B0"/>
    <w:rsid w:val="49575B09"/>
    <w:rsid w:val="4958349C"/>
    <w:rsid w:val="496359F1"/>
    <w:rsid w:val="49687D8F"/>
    <w:rsid w:val="496E0A26"/>
    <w:rsid w:val="496F0362"/>
    <w:rsid w:val="497034A4"/>
    <w:rsid w:val="49730E80"/>
    <w:rsid w:val="498B0BAB"/>
    <w:rsid w:val="498E516A"/>
    <w:rsid w:val="49920BCA"/>
    <w:rsid w:val="49940933"/>
    <w:rsid w:val="49955A33"/>
    <w:rsid w:val="499D78C2"/>
    <w:rsid w:val="49A02A87"/>
    <w:rsid w:val="49A85B87"/>
    <w:rsid w:val="49AB3110"/>
    <w:rsid w:val="49AC0B20"/>
    <w:rsid w:val="49B523E8"/>
    <w:rsid w:val="49BA7036"/>
    <w:rsid w:val="49BB567E"/>
    <w:rsid w:val="49C02AC2"/>
    <w:rsid w:val="49C02BA2"/>
    <w:rsid w:val="49C03B82"/>
    <w:rsid w:val="49C509E4"/>
    <w:rsid w:val="49CE187F"/>
    <w:rsid w:val="49CE2AC8"/>
    <w:rsid w:val="49D76C0B"/>
    <w:rsid w:val="49DF4170"/>
    <w:rsid w:val="49E3637C"/>
    <w:rsid w:val="49E763DC"/>
    <w:rsid w:val="49F04C6C"/>
    <w:rsid w:val="49F0695B"/>
    <w:rsid w:val="49FA2C11"/>
    <w:rsid w:val="4A0E5AC7"/>
    <w:rsid w:val="4A107979"/>
    <w:rsid w:val="4A156CB1"/>
    <w:rsid w:val="4A1E3BF6"/>
    <w:rsid w:val="4A1E7BD7"/>
    <w:rsid w:val="4A27757A"/>
    <w:rsid w:val="4A323A9A"/>
    <w:rsid w:val="4A35470F"/>
    <w:rsid w:val="4A410E31"/>
    <w:rsid w:val="4A4232D4"/>
    <w:rsid w:val="4A446562"/>
    <w:rsid w:val="4A463BD9"/>
    <w:rsid w:val="4A52438B"/>
    <w:rsid w:val="4A5B180B"/>
    <w:rsid w:val="4A5C2766"/>
    <w:rsid w:val="4A5D5A2A"/>
    <w:rsid w:val="4A660F8D"/>
    <w:rsid w:val="4A6952B1"/>
    <w:rsid w:val="4A6A645D"/>
    <w:rsid w:val="4A6C3331"/>
    <w:rsid w:val="4A736234"/>
    <w:rsid w:val="4A776AEB"/>
    <w:rsid w:val="4A79777C"/>
    <w:rsid w:val="4A7B17DE"/>
    <w:rsid w:val="4A810F6F"/>
    <w:rsid w:val="4A854F65"/>
    <w:rsid w:val="4A872EFC"/>
    <w:rsid w:val="4A8C3089"/>
    <w:rsid w:val="4A9A4C92"/>
    <w:rsid w:val="4AA642D4"/>
    <w:rsid w:val="4AA7435A"/>
    <w:rsid w:val="4AA863CA"/>
    <w:rsid w:val="4AA97B1E"/>
    <w:rsid w:val="4AAC1381"/>
    <w:rsid w:val="4AAE5FAB"/>
    <w:rsid w:val="4AAE7F27"/>
    <w:rsid w:val="4AB71DBE"/>
    <w:rsid w:val="4AC90197"/>
    <w:rsid w:val="4AD02697"/>
    <w:rsid w:val="4AD40C88"/>
    <w:rsid w:val="4AD900D2"/>
    <w:rsid w:val="4AF010E5"/>
    <w:rsid w:val="4AF04EE6"/>
    <w:rsid w:val="4AF051EB"/>
    <w:rsid w:val="4AF57D08"/>
    <w:rsid w:val="4AF7402E"/>
    <w:rsid w:val="4AFF2167"/>
    <w:rsid w:val="4AFF2F9B"/>
    <w:rsid w:val="4B0341D2"/>
    <w:rsid w:val="4B076C94"/>
    <w:rsid w:val="4B0A1FE6"/>
    <w:rsid w:val="4B0B27FA"/>
    <w:rsid w:val="4B0C4723"/>
    <w:rsid w:val="4B214762"/>
    <w:rsid w:val="4B276907"/>
    <w:rsid w:val="4B286B0B"/>
    <w:rsid w:val="4B2935B6"/>
    <w:rsid w:val="4B2B2FA8"/>
    <w:rsid w:val="4B2C2673"/>
    <w:rsid w:val="4B2C2686"/>
    <w:rsid w:val="4B2C3494"/>
    <w:rsid w:val="4B2E1A7A"/>
    <w:rsid w:val="4B3D4DCC"/>
    <w:rsid w:val="4B413ED2"/>
    <w:rsid w:val="4B4C5C36"/>
    <w:rsid w:val="4B4E36E8"/>
    <w:rsid w:val="4B4F7F1E"/>
    <w:rsid w:val="4B623F20"/>
    <w:rsid w:val="4B627442"/>
    <w:rsid w:val="4B631D76"/>
    <w:rsid w:val="4B6D34FB"/>
    <w:rsid w:val="4B6D7DAE"/>
    <w:rsid w:val="4B7B5CAD"/>
    <w:rsid w:val="4B8A13D9"/>
    <w:rsid w:val="4B8C584C"/>
    <w:rsid w:val="4B9317BF"/>
    <w:rsid w:val="4B957C46"/>
    <w:rsid w:val="4B973187"/>
    <w:rsid w:val="4B994B82"/>
    <w:rsid w:val="4BAE629C"/>
    <w:rsid w:val="4BB137A6"/>
    <w:rsid w:val="4BB27456"/>
    <w:rsid w:val="4BB81BD9"/>
    <w:rsid w:val="4BBD67B5"/>
    <w:rsid w:val="4BC30A32"/>
    <w:rsid w:val="4BC732F3"/>
    <w:rsid w:val="4BD874BE"/>
    <w:rsid w:val="4BD95057"/>
    <w:rsid w:val="4BDA0365"/>
    <w:rsid w:val="4BDA241A"/>
    <w:rsid w:val="4BDE2BA5"/>
    <w:rsid w:val="4BE67F56"/>
    <w:rsid w:val="4BE9357F"/>
    <w:rsid w:val="4BED040B"/>
    <w:rsid w:val="4BEF2785"/>
    <w:rsid w:val="4BF37724"/>
    <w:rsid w:val="4BF54DA0"/>
    <w:rsid w:val="4BF76CBF"/>
    <w:rsid w:val="4BFC706A"/>
    <w:rsid w:val="4C004DA1"/>
    <w:rsid w:val="4C0369C4"/>
    <w:rsid w:val="4C0811E1"/>
    <w:rsid w:val="4C127AB2"/>
    <w:rsid w:val="4C194B20"/>
    <w:rsid w:val="4C275AC0"/>
    <w:rsid w:val="4C2B2C8B"/>
    <w:rsid w:val="4C2C0188"/>
    <w:rsid w:val="4C2D636B"/>
    <w:rsid w:val="4C32776B"/>
    <w:rsid w:val="4C442040"/>
    <w:rsid w:val="4C482460"/>
    <w:rsid w:val="4C50480C"/>
    <w:rsid w:val="4C514810"/>
    <w:rsid w:val="4C544617"/>
    <w:rsid w:val="4C583D50"/>
    <w:rsid w:val="4C585939"/>
    <w:rsid w:val="4C620D15"/>
    <w:rsid w:val="4C65354B"/>
    <w:rsid w:val="4C6D0FF1"/>
    <w:rsid w:val="4C7044F4"/>
    <w:rsid w:val="4C774F79"/>
    <w:rsid w:val="4C78055A"/>
    <w:rsid w:val="4C7C2B02"/>
    <w:rsid w:val="4C7D1998"/>
    <w:rsid w:val="4C815FC5"/>
    <w:rsid w:val="4C8528AC"/>
    <w:rsid w:val="4C8E64CD"/>
    <w:rsid w:val="4C942E9F"/>
    <w:rsid w:val="4C951BDC"/>
    <w:rsid w:val="4C986101"/>
    <w:rsid w:val="4CA04C23"/>
    <w:rsid w:val="4CA1483B"/>
    <w:rsid w:val="4CA35FD7"/>
    <w:rsid w:val="4CA42C37"/>
    <w:rsid w:val="4CA55FE6"/>
    <w:rsid w:val="4CA63488"/>
    <w:rsid w:val="4CAA522C"/>
    <w:rsid w:val="4CB25B56"/>
    <w:rsid w:val="4CC85F63"/>
    <w:rsid w:val="4CCB499E"/>
    <w:rsid w:val="4CCC6B1F"/>
    <w:rsid w:val="4CCE26BD"/>
    <w:rsid w:val="4CD2163B"/>
    <w:rsid w:val="4CD41992"/>
    <w:rsid w:val="4CDA422C"/>
    <w:rsid w:val="4CDD43C3"/>
    <w:rsid w:val="4CDE4F0E"/>
    <w:rsid w:val="4CE44C88"/>
    <w:rsid w:val="4CE6724D"/>
    <w:rsid w:val="4CF15AB6"/>
    <w:rsid w:val="4CF32CAF"/>
    <w:rsid w:val="4CF46B02"/>
    <w:rsid w:val="4CF73F54"/>
    <w:rsid w:val="4CFB37C6"/>
    <w:rsid w:val="4D05663E"/>
    <w:rsid w:val="4D087F5F"/>
    <w:rsid w:val="4D0A416E"/>
    <w:rsid w:val="4D0C2D90"/>
    <w:rsid w:val="4D1A7239"/>
    <w:rsid w:val="4D2222A5"/>
    <w:rsid w:val="4D264049"/>
    <w:rsid w:val="4D291123"/>
    <w:rsid w:val="4D2C766D"/>
    <w:rsid w:val="4D302C74"/>
    <w:rsid w:val="4D3031C1"/>
    <w:rsid w:val="4D3815CB"/>
    <w:rsid w:val="4D381C54"/>
    <w:rsid w:val="4D536615"/>
    <w:rsid w:val="4D5A04F2"/>
    <w:rsid w:val="4D5B7E8E"/>
    <w:rsid w:val="4D6140A4"/>
    <w:rsid w:val="4D620703"/>
    <w:rsid w:val="4D6844A0"/>
    <w:rsid w:val="4D7943F2"/>
    <w:rsid w:val="4D7A4172"/>
    <w:rsid w:val="4D7A4FE0"/>
    <w:rsid w:val="4D800134"/>
    <w:rsid w:val="4D887737"/>
    <w:rsid w:val="4D8D272E"/>
    <w:rsid w:val="4D8D53AC"/>
    <w:rsid w:val="4D8F6B17"/>
    <w:rsid w:val="4D9D2B54"/>
    <w:rsid w:val="4DA30D90"/>
    <w:rsid w:val="4DA66881"/>
    <w:rsid w:val="4DA85F7C"/>
    <w:rsid w:val="4DAC070C"/>
    <w:rsid w:val="4DB77B23"/>
    <w:rsid w:val="4DC75EBC"/>
    <w:rsid w:val="4DCE17CA"/>
    <w:rsid w:val="4DDB2CE2"/>
    <w:rsid w:val="4DDF5777"/>
    <w:rsid w:val="4DE24788"/>
    <w:rsid w:val="4DE461C7"/>
    <w:rsid w:val="4DF3078E"/>
    <w:rsid w:val="4E0211FD"/>
    <w:rsid w:val="4E021B42"/>
    <w:rsid w:val="4E0A065A"/>
    <w:rsid w:val="4E0B64B3"/>
    <w:rsid w:val="4E1571FD"/>
    <w:rsid w:val="4E1C2FBC"/>
    <w:rsid w:val="4E1F1E48"/>
    <w:rsid w:val="4E22088C"/>
    <w:rsid w:val="4E22091F"/>
    <w:rsid w:val="4E24240B"/>
    <w:rsid w:val="4E2904F4"/>
    <w:rsid w:val="4E2A1A86"/>
    <w:rsid w:val="4E307AC1"/>
    <w:rsid w:val="4E34068C"/>
    <w:rsid w:val="4E371CFD"/>
    <w:rsid w:val="4E3A5F5A"/>
    <w:rsid w:val="4E3F22A0"/>
    <w:rsid w:val="4E431EFE"/>
    <w:rsid w:val="4E500BF2"/>
    <w:rsid w:val="4E53157D"/>
    <w:rsid w:val="4E57365A"/>
    <w:rsid w:val="4E5D0C53"/>
    <w:rsid w:val="4E5F45F7"/>
    <w:rsid w:val="4E694501"/>
    <w:rsid w:val="4E6F059D"/>
    <w:rsid w:val="4E6F75D9"/>
    <w:rsid w:val="4E71274E"/>
    <w:rsid w:val="4E74013A"/>
    <w:rsid w:val="4E757D83"/>
    <w:rsid w:val="4E78003B"/>
    <w:rsid w:val="4E7D325B"/>
    <w:rsid w:val="4E7E7356"/>
    <w:rsid w:val="4E7F4BC7"/>
    <w:rsid w:val="4E853A81"/>
    <w:rsid w:val="4E8E05A1"/>
    <w:rsid w:val="4E944D43"/>
    <w:rsid w:val="4E954495"/>
    <w:rsid w:val="4E9648FA"/>
    <w:rsid w:val="4E9907F9"/>
    <w:rsid w:val="4E9F1350"/>
    <w:rsid w:val="4EA1389C"/>
    <w:rsid w:val="4EAD7436"/>
    <w:rsid w:val="4EBF1A45"/>
    <w:rsid w:val="4ED328B0"/>
    <w:rsid w:val="4ED451C2"/>
    <w:rsid w:val="4ED519E0"/>
    <w:rsid w:val="4ED91215"/>
    <w:rsid w:val="4ED978B4"/>
    <w:rsid w:val="4EEA373C"/>
    <w:rsid w:val="4EEB4D9A"/>
    <w:rsid w:val="4EF60DC5"/>
    <w:rsid w:val="4F043D0D"/>
    <w:rsid w:val="4F0B6F15"/>
    <w:rsid w:val="4F111142"/>
    <w:rsid w:val="4F1531A5"/>
    <w:rsid w:val="4F1B2314"/>
    <w:rsid w:val="4F1F7E62"/>
    <w:rsid w:val="4F2A2CCA"/>
    <w:rsid w:val="4F2E4263"/>
    <w:rsid w:val="4F342744"/>
    <w:rsid w:val="4F3742E2"/>
    <w:rsid w:val="4F3D516F"/>
    <w:rsid w:val="4F462936"/>
    <w:rsid w:val="4F4C24A2"/>
    <w:rsid w:val="4F670537"/>
    <w:rsid w:val="4F7B2539"/>
    <w:rsid w:val="4F804642"/>
    <w:rsid w:val="4F863E1A"/>
    <w:rsid w:val="4F884A98"/>
    <w:rsid w:val="4F8D5C7E"/>
    <w:rsid w:val="4F8E3232"/>
    <w:rsid w:val="4F936925"/>
    <w:rsid w:val="4F953EBD"/>
    <w:rsid w:val="4FA26523"/>
    <w:rsid w:val="4FA90D3D"/>
    <w:rsid w:val="4FB23063"/>
    <w:rsid w:val="4FB86278"/>
    <w:rsid w:val="4FBB1380"/>
    <w:rsid w:val="4FBC76B5"/>
    <w:rsid w:val="4FC4752B"/>
    <w:rsid w:val="4FC73156"/>
    <w:rsid w:val="4FC92CDF"/>
    <w:rsid w:val="4FC942C3"/>
    <w:rsid w:val="4FCE6369"/>
    <w:rsid w:val="4FD036A3"/>
    <w:rsid w:val="4FD87B8E"/>
    <w:rsid w:val="4FDA54AB"/>
    <w:rsid w:val="4FDC403C"/>
    <w:rsid w:val="4FDE788F"/>
    <w:rsid w:val="4FE0574C"/>
    <w:rsid w:val="4FE90BE7"/>
    <w:rsid w:val="4FE95E77"/>
    <w:rsid w:val="4FE962B6"/>
    <w:rsid w:val="4FEC5019"/>
    <w:rsid w:val="4FF72EFF"/>
    <w:rsid w:val="4FF7537F"/>
    <w:rsid w:val="500A41DF"/>
    <w:rsid w:val="500D059A"/>
    <w:rsid w:val="5012218E"/>
    <w:rsid w:val="50142120"/>
    <w:rsid w:val="501A49BA"/>
    <w:rsid w:val="501F28E2"/>
    <w:rsid w:val="50224459"/>
    <w:rsid w:val="50295E11"/>
    <w:rsid w:val="502B3BD0"/>
    <w:rsid w:val="50304FDE"/>
    <w:rsid w:val="50433EE5"/>
    <w:rsid w:val="505645B5"/>
    <w:rsid w:val="506207C5"/>
    <w:rsid w:val="50621FA3"/>
    <w:rsid w:val="5063741F"/>
    <w:rsid w:val="506E33C1"/>
    <w:rsid w:val="50783F10"/>
    <w:rsid w:val="50792293"/>
    <w:rsid w:val="50794B60"/>
    <w:rsid w:val="5083520D"/>
    <w:rsid w:val="508662D1"/>
    <w:rsid w:val="50876E85"/>
    <w:rsid w:val="50961D1A"/>
    <w:rsid w:val="50985E89"/>
    <w:rsid w:val="509C42A2"/>
    <w:rsid w:val="50A34B6D"/>
    <w:rsid w:val="50A72215"/>
    <w:rsid w:val="50AC2BA1"/>
    <w:rsid w:val="50AE5DC5"/>
    <w:rsid w:val="50AF78D8"/>
    <w:rsid w:val="50B53444"/>
    <w:rsid w:val="50B54732"/>
    <w:rsid w:val="50B577D2"/>
    <w:rsid w:val="50B61D2F"/>
    <w:rsid w:val="50B67338"/>
    <w:rsid w:val="50B74CF5"/>
    <w:rsid w:val="50BF5714"/>
    <w:rsid w:val="50C33B7B"/>
    <w:rsid w:val="50D2472C"/>
    <w:rsid w:val="50D51994"/>
    <w:rsid w:val="50DC02AA"/>
    <w:rsid w:val="50DD0400"/>
    <w:rsid w:val="50DD723C"/>
    <w:rsid w:val="50DF4789"/>
    <w:rsid w:val="50E86A2D"/>
    <w:rsid w:val="50EC37D5"/>
    <w:rsid w:val="50EE6B03"/>
    <w:rsid w:val="50F80838"/>
    <w:rsid w:val="51057C8E"/>
    <w:rsid w:val="51072F39"/>
    <w:rsid w:val="51076583"/>
    <w:rsid w:val="510E06B8"/>
    <w:rsid w:val="5111081A"/>
    <w:rsid w:val="51116DF2"/>
    <w:rsid w:val="511A70C8"/>
    <w:rsid w:val="511B32F9"/>
    <w:rsid w:val="51203D2F"/>
    <w:rsid w:val="51263A55"/>
    <w:rsid w:val="51281BB1"/>
    <w:rsid w:val="51291A59"/>
    <w:rsid w:val="512C6E25"/>
    <w:rsid w:val="512E0AF0"/>
    <w:rsid w:val="513520D2"/>
    <w:rsid w:val="513D6BFC"/>
    <w:rsid w:val="51421DC8"/>
    <w:rsid w:val="514A37D3"/>
    <w:rsid w:val="5152687E"/>
    <w:rsid w:val="516E058C"/>
    <w:rsid w:val="51717281"/>
    <w:rsid w:val="51775AF4"/>
    <w:rsid w:val="517927E9"/>
    <w:rsid w:val="517E24CB"/>
    <w:rsid w:val="5184744F"/>
    <w:rsid w:val="51884C5F"/>
    <w:rsid w:val="51911559"/>
    <w:rsid w:val="519411F3"/>
    <w:rsid w:val="519816E9"/>
    <w:rsid w:val="519D5A89"/>
    <w:rsid w:val="519F0BC5"/>
    <w:rsid w:val="51A07DDF"/>
    <w:rsid w:val="51A4712C"/>
    <w:rsid w:val="51A5696A"/>
    <w:rsid w:val="51BF3158"/>
    <w:rsid w:val="51C35288"/>
    <w:rsid w:val="51C6615F"/>
    <w:rsid w:val="51CA5B37"/>
    <w:rsid w:val="51E25E8E"/>
    <w:rsid w:val="51E455B1"/>
    <w:rsid w:val="51F72ADD"/>
    <w:rsid w:val="51F848DF"/>
    <w:rsid w:val="520F42D9"/>
    <w:rsid w:val="521077B3"/>
    <w:rsid w:val="5211793B"/>
    <w:rsid w:val="521568D9"/>
    <w:rsid w:val="5219727B"/>
    <w:rsid w:val="521A01A5"/>
    <w:rsid w:val="521F102B"/>
    <w:rsid w:val="521F4B57"/>
    <w:rsid w:val="5221463E"/>
    <w:rsid w:val="52426C20"/>
    <w:rsid w:val="524372EE"/>
    <w:rsid w:val="52486301"/>
    <w:rsid w:val="524932D8"/>
    <w:rsid w:val="524F29A6"/>
    <w:rsid w:val="52512A8A"/>
    <w:rsid w:val="52597B19"/>
    <w:rsid w:val="526633DC"/>
    <w:rsid w:val="526E7C95"/>
    <w:rsid w:val="527908FD"/>
    <w:rsid w:val="527920CF"/>
    <w:rsid w:val="527A67B0"/>
    <w:rsid w:val="527B584E"/>
    <w:rsid w:val="527D259A"/>
    <w:rsid w:val="527F43DA"/>
    <w:rsid w:val="5281395A"/>
    <w:rsid w:val="52844037"/>
    <w:rsid w:val="52926768"/>
    <w:rsid w:val="52990A68"/>
    <w:rsid w:val="529C194B"/>
    <w:rsid w:val="529D3918"/>
    <w:rsid w:val="529F083F"/>
    <w:rsid w:val="52A431B4"/>
    <w:rsid w:val="52A5134E"/>
    <w:rsid w:val="52AC5430"/>
    <w:rsid w:val="52B02DD5"/>
    <w:rsid w:val="52B36E62"/>
    <w:rsid w:val="52B80181"/>
    <w:rsid w:val="52BA1288"/>
    <w:rsid w:val="52C17676"/>
    <w:rsid w:val="52C342C6"/>
    <w:rsid w:val="52C46992"/>
    <w:rsid w:val="52C57C74"/>
    <w:rsid w:val="52CB2CD9"/>
    <w:rsid w:val="52D10338"/>
    <w:rsid w:val="52D537EB"/>
    <w:rsid w:val="52D66AC8"/>
    <w:rsid w:val="52E267A7"/>
    <w:rsid w:val="52E42BFA"/>
    <w:rsid w:val="52E97F25"/>
    <w:rsid w:val="52F7685B"/>
    <w:rsid w:val="52F92CCF"/>
    <w:rsid w:val="52FB2A17"/>
    <w:rsid w:val="52FC1ED8"/>
    <w:rsid w:val="53012BFB"/>
    <w:rsid w:val="53014C85"/>
    <w:rsid w:val="53015BE7"/>
    <w:rsid w:val="5302123C"/>
    <w:rsid w:val="5304446D"/>
    <w:rsid w:val="530452C7"/>
    <w:rsid w:val="530C12B2"/>
    <w:rsid w:val="530F73A2"/>
    <w:rsid w:val="5314350E"/>
    <w:rsid w:val="53153DE3"/>
    <w:rsid w:val="53183787"/>
    <w:rsid w:val="53276CC0"/>
    <w:rsid w:val="533B4BDF"/>
    <w:rsid w:val="53404D09"/>
    <w:rsid w:val="53480730"/>
    <w:rsid w:val="534A0CA6"/>
    <w:rsid w:val="53562DF1"/>
    <w:rsid w:val="53585768"/>
    <w:rsid w:val="539241BB"/>
    <w:rsid w:val="53971A7B"/>
    <w:rsid w:val="5397402D"/>
    <w:rsid w:val="53A9587B"/>
    <w:rsid w:val="53AF5E9B"/>
    <w:rsid w:val="53B23BFA"/>
    <w:rsid w:val="53B84B74"/>
    <w:rsid w:val="53BA04DC"/>
    <w:rsid w:val="53C76AF6"/>
    <w:rsid w:val="53CC3B61"/>
    <w:rsid w:val="53CF7B86"/>
    <w:rsid w:val="53D60F40"/>
    <w:rsid w:val="53E775E0"/>
    <w:rsid w:val="53F62EC2"/>
    <w:rsid w:val="540943DC"/>
    <w:rsid w:val="540A41D1"/>
    <w:rsid w:val="540D2C4C"/>
    <w:rsid w:val="541422D7"/>
    <w:rsid w:val="54186775"/>
    <w:rsid w:val="542102B8"/>
    <w:rsid w:val="54291144"/>
    <w:rsid w:val="54376420"/>
    <w:rsid w:val="543956F2"/>
    <w:rsid w:val="543C230B"/>
    <w:rsid w:val="543E6D1A"/>
    <w:rsid w:val="543E7B8C"/>
    <w:rsid w:val="544B3B93"/>
    <w:rsid w:val="54545C93"/>
    <w:rsid w:val="545F10E9"/>
    <w:rsid w:val="54742A89"/>
    <w:rsid w:val="547F624C"/>
    <w:rsid w:val="548019C0"/>
    <w:rsid w:val="54840F09"/>
    <w:rsid w:val="5484612F"/>
    <w:rsid w:val="54852E40"/>
    <w:rsid w:val="54857D86"/>
    <w:rsid w:val="54880F00"/>
    <w:rsid w:val="5488553C"/>
    <w:rsid w:val="548D6418"/>
    <w:rsid w:val="548F06DE"/>
    <w:rsid w:val="54983D04"/>
    <w:rsid w:val="549C7923"/>
    <w:rsid w:val="54A13D5B"/>
    <w:rsid w:val="54A2703E"/>
    <w:rsid w:val="54AD39C7"/>
    <w:rsid w:val="54B05EE7"/>
    <w:rsid w:val="54B54B8A"/>
    <w:rsid w:val="54BA5BB4"/>
    <w:rsid w:val="54BD0CA1"/>
    <w:rsid w:val="54CD3E1F"/>
    <w:rsid w:val="54D05BA5"/>
    <w:rsid w:val="54DA143A"/>
    <w:rsid w:val="54DA2CD2"/>
    <w:rsid w:val="54DB353D"/>
    <w:rsid w:val="54E26DA2"/>
    <w:rsid w:val="54EA4E37"/>
    <w:rsid w:val="54EE02D9"/>
    <w:rsid w:val="54F31F01"/>
    <w:rsid w:val="54F44C1E"/>
    <w:rsid w:val="54F5437F"/>
    <w:rsid w:val="55025E8E"/>
    <w:rsid w:val="5504401A"/>
    <w:rsid w:val="550C387A"/>
    <w:rsid w:val="550E1E6E"/>
    <w:rsid w:val="550E3318"/>
    <w:rsid w:val="550F2087"/>
    <w:rsid w:val="550F497D"/>
    <w:rsid w:val="55274DC7"/>
    <w:rsid w:val="552A015D"/>
    <w:rsid w:val="55354AE7"/>
    <w:rsid w:val="553619B6"/>
    <w:rsid w:val="55480942"/>
    <w:rsid w:val="55497483"/>
    <w:rsid w:val="554A757D"/>
    <w:rsid w:val="554F4E71"/>
    <w:rsid w:val="555D10AB"/>
    <w:rsid w:val="555D23F0"/>
    <w:rsid w:val="556C63FE"/>
    <w:rsid w:val="55731C3C"/>
    <w:rsid w:val="55755548"/>
    <w:rsid w:val="55775D4E"/>
    <w:rsid w:val="55785181"/>
    <w:rsid w:val="557C0F61"/>
    <w:rsid w:val="5580207B"/>
    <w:rsid w:val="558B05CA"/>
    <w:rsid w:val="558D380E"/>
    <w:rsid w:val="55936617"/>
    <w:rsid w:val="5594585E"/>
    <w:rsid w:val="55983B89"/>
    <w:rsid w:val="559B7BEE"/>
    <w:rsid w:val="55AA4C4D"/>
    <w:rsid w:val="55B815CF"/>
    <w:rsid w:val="55C97B2F"/>
    <w:rsid w:val="55D144BA"/>
    <w:rsid w:val="55D3717F"/>
    <w:rsid w:val="55DA1E64"/>
    <w:rsid w:val="55F26355"/>
    <w:rsid w:val="55F52F6B"/>
    <w:rsid w:val="55F738CE"/>
    <w:rsid w:val="55FD4F2F"/>
    <w:rsid w:val="55FE685F"/>
    <w:rsid w:val="5601733C"/>
    <w:rsid w:val="5604472F"/>
    <w:rsid w:val="5605595B"/>
    <w:rsid w:val="560D1034"/>
    <w:rsid w:val="560E2EF0"/>
    <w:rsid w:val="561877F7"/>
    <w:rsid w:val="561B13B0"/>
    <w:rsid w:val="56336552"/>
    <w:rsid w:val="563D5B0F"/>
    <w:rsid w:val="564E0CB9"/>
    <w:rsid w:val="564E0D75"/>
    <w:rsid w:val="565858FD"/>
    <w:rsid w:val="56590368"/>
    <w:rsid w:val="565B5EFD"/>
    <w:rsid w:val="565D1F44"/>
    <w:rsid w:val="565D3509"/>
    <w:rsid w:val="565D3B71"/>
    <w:rsid w:val="566142D9"/>
    <w:rsid w:val="566E596B"/>
    <w:rsid w:val="566F61D7"/>
    <w:rsid w:val="567E4DCB"/>
    <w:rsid w:val="567F61D3"/>
    <w:rsid w:val="568D0CB8"/>
    <w:rsid w:val="568E49D1"/>
    <w:rsid w:val="56916B15"/>
    <w:rsid w:val="56917954"/>
    <w:rsid w:val="569637FE"/>
    <w:rsid w:val="56964ABF"/>
    <w:rsid w:val="569F12BC"/>
    <w:rsid w:val="569F3408"/>
    <w:rsid w:val="56A83CC9"/>
    <w:rsid w:val="56AE18D6"/>
    <w:rsid w:val="56B37F06"/>
    <w:rsid w:val="56B5746F"/>
    <w:rsid w:val="56B71F18"/>
    <w:rsid w:val="56B85C50"/>
    <w:rsid w:val="56C11E66"/>
    <w:rsid w:val="56C5738C"/>
    <w:rsid w:val="56E326EF"/>
    <w:rsid w:val="56E34F2A"/>
    <w:rsid w:val="56E76AEF"/>
    <w:rsid w:val="56E80F7F"/>
    <w:rsid w:val="56F27864"/>
    <w:rsid w:val="56F61285"/>
    <w:rsid w:val="56F91A8F"/>
    <w:rsid w:val="56FE0FD5"/>
    <w:rsid w:val="57014E01"/>
    <w:rsid w:val="57024AE4"/>
    <w:rsid w:val="57033A8B"/>
    <w:rsid w:val="571B76DF"/>
    <w:rsid w:val="571C7478"/>
    <w:rsid w:val="57213AF2"/>
    <w:rsid w:val="572F443C"/>
    <w:rsid w:val="57317460"/>
    <w:rsid w:val="573354BD"/>
    <w:rsid w:val="573A0EC9"/>
    <w:rsid w:val="574051F3"/>
    <w:rsid w:val="57417FFA"/>
    <w:rsid w:val="5745584A"/>
    <w:rsid w:val="574841C8"/>
    <w:rsid w:val="574A0084"/>
    <w:rsid w:val="574A504C"/>
    <w:rsid w:val="574B300B"/>
    <w:rsid w:val="57501B12"/>
    <w:rsid w:val="5753079D"/>
    <w:rsid w:val="577A7676"/>
    <w:rsid w:val="578E69B1"/>
    <w:rsid w:val="578F66DB"/>
    <w:rsid w:val="57990726"/>
    <w:rsid w:val="57A40931"/>
    <w:rsid w:val="57A509F1"/>
    <w:rsid w:val="57A729EE"/>
    <w:rsid w:val="57D3243D"/>
    <w:rsid w:val="57D44919"/>
    <w:rsid w:val="57D45BEC"/>
    <w:rsid w:val="57D63346"/>
    <w:rsid w:val="57DD5BD2"/>
    <w:rsid w:val="57E11BBA"/>
    <w:rsid w:val="57E446DA"/>
    <w:rsid w:val="57F91BAF"/>
    <w:rsid w:val="57FC5607"/>
    <w:rsid w:val="57FF77AD"/>
    <w:rsid w:val="5807578C"/>
    <w:rsid w:val="58092D2C"/>
    <w:rsid w:val="58110CE1"/>
    <w:rsid w:val="581D6B70"/>
    <w:rsid w:val="581E61E1"/>
    <w:rsid w:val="58214A3E"/>
    <w:rsid w:val="582342EE"/>
    <w:rsid w:val="58262105"/>
    <w:rsid w:val="583802A6"/>
    <w:rsid w:val="5843577D"/>
    <w:rsid w:val="584C5847"/>
    <w:rsid w:val="5852391A"/>
    <w:rsid w:val="58597B3E"/>
    <w:rsid w:val="586411E5"/>
    <w:rsid w:val="586531D6"/>
    <w:rsid w:val="58653F3F"/>
    <w:rsid w:val="586E12AA"/>
    <w:rsid w:val="587B3B67"/>
    <w:rsid w:val="587C6CC1"/>
    <w:rsid w:val="58813E54"/>
    <w:rsid w:val="5883421E"/>
    <w:rsid w:val="58911A99"/>
    <w:rsid w:val="5894429A"/>
    <w:rsid w:val="589E3046"/>
    <w:rsid w:val="58A50029"/>
    <w:rsid w:val="58A84755"/>
    <w:rsid w:val="58AF6D77"/>
    <w:rsid w:val="58B20704"/>
    <w:rsid w:val="58B438A8"/>
    <w:rsid w:val="58BB3DED"/>
    <w:rsid w:val="58C35280"/>
    <w:rsid w:val="58CD390B"/>
    <w:rsid w:val="58CD6A03"/>
    <w:rsid w:val="58DB07DB"/>
    <w:rsid w:val="58DC0180"/>
    <w:rsid w:val="58DF19DA"/>
    <w:rsid w:val="58E42483"/>
    <w:rsid w:val="58E50E70"/>
    <w:rsid w:val="58EC12F6"/>
    <w:rsid w:val="58F331DE"/>
    <w:rsid w:val="58FE79CD"/>
    <w:rsid w:val="590468AF"/>
    <w:rsid w:val="59081379"/>
    <w:rsid w:val="590B0E7D"/>
    <w:rsid w:val="5917394C"/>
    <w:rsid w:val="5918321E"/>
    <w:rsid w:val="59213252"/>
    <w:rsid w:val="59270EBC"/>
    <w:rsid w:val="5927277C"/>
    <w:rsid w:val="592D60F7"/>
    <w:rsid w:val="592F2C39"/>
    <w:rsid w:val="593A2027"/>
    <w:rsid w:val="593D244A"/>
    <w:rsid w:val="59413662"/>
    <w:rsid w:val="596B31E5"/>
    <w:rsid w:val="596C174C"/>
    <w:rsid w:val="597765F0"/>
    <w:rsid w:val="59813839"/>
    <w:rsid w:val="598E3A37"/>
    <w:rsid w:val="59A03B1F"/>
    <w:rsid w:val="59A30D04"/>
    <w:rsid w:val="59A526B5"/>
    <w:rsid w:val="59AA78E3"/>
    <w:rsid w:val="59AE7845"/>
    <w:rsid w:val="59B7151C"/>
    <w:rsid w:val="59BB42F2"/>
    <w:rsid w:val="59C35198"/>
    <w:rsid w:val="59C53403"/>
    <w:rsid w:val="59C55E47"/>
    <w:rsid w:val="59C672E9"/>
    <w:rsid w:val="59C745EA"/>
    <w:rsid w:val="59CD5880"/>
    <w:rsid w:val="59CF5EF7"/>
    <w:rsid w:val="59D03985"/>
    <w:rsid w:val="59D06091"/>
    <w:rsid w:val="59E00294"/>
    <w:rsid w:val="59E754EA"/>
    <w:rsid w:val="59EA0F82"/>
    <w:rsid w:val="59EA7C75"/>
    <w:rsid w:val="59F00D5E"/>
    <w:rsid w:val="59F51222"/>
    <w:rsid w:val="59F961D5"/>
    <w:rsid w:val="59FA1ADE"/>
    <w:rsid w:val="59FE78F8"/>
    <w:rsid w:val="5A06164B"/>
    <w:rsid w:val="5A090CEB"/>
    <w:rsid w:val="5A101C4E"/>
    <w:rsid w:val="5A110E11"/>
    <w:rsid w:val="5A21430C"/>
    <w:rsid w:val="5A274D21"/>
    <w:rsid w:val="5A2E76E3"/>
    <w:rsid w:val="5A3146AF"/>
    <w:rsid w:val="5A4748C2"/>
    <w:rsid w:val="5A495DB4"/>
    <w:rsid w:val="5A4B4874"/>
    <w:rsid w:val="5A5047CF"/>
    <w:rsid w:val="5A5259B8"/>
    <w:rsid w:val="5A540DA4"/>
    <w:rsid w:val="5A5600CC"/>
    <w:rsid w:val="5A5A3270"/>
    <w:rsid w:val="5A5A4CA7"/>
    <w:rsid w:val="5A5D0867"/>
    <w:rsid w:val="5A6A4E9C"/>
    <w:rsid w:val="5A6C6CD5"/>
    <w:rsid w:val="5A7246C7"/>
    <w:rsid w:val="5A7366B4"/>
    <w:rsid w:val="5A764C8B"/>
    <w:rsid w:val="5A7B4073"/>
    <w:rsid w:val="5A957F17"/>
    <w:rsid w:val="5AA1599D"/>
    <w:rsid w:val="5AA874F5"/>
    <w:rsid w:val="5AA878EA"/>
    <w:rsid w:val="5AAB7F57"/>
    <w:rsid w:val="5AB04540"/>
    <w:rsid w:val="5AB1004A"/>
    <w:rsid w:val="5AB63B40"/>
    <w:rsid w:val="5AB668A0"/>
    <w:rsid w:val="5AB85332"/>
    <w:rsid w:val="5ABA49FA"/>
    <w:rsid w:val="5AC90161"/>
    <w:rsid w:val="5ACE6E47"/>
    <w:rsid w:val="5ADD38BF"/>
    <w:rsid w:val="5ADE43A4"/>
    <w:rsid w:val="5AE4534A"/>
    <w:rsid w:val="5AF64543"/>
    <w:rsid w:val="5AF7136F"/>
    <w:rsid w:val="5AF85411"/>
    <w:rsid w:val="5AFA23A5"/>
    <w:rsid w:val="5B0047F6"/>
    <w:rsid w:val="5B04642C"/>
    <w:rsid w:val="5B081FC7"/>
    <w:rsid w:val="5B084BA0"/>
    <w:rsid w:val="5B096C73"/>
    <w:rsid w:val="5B0C2469"/>
    <w:rsid w:val="5B1D296B"/>
    <w:rsid w:val="5B1F7875"/>
    <w:rsid w:val="5B20329C"/>
    <w:rsid w:val="5B271EF8"/>
    <w:rsid w:val="5B274A8B"/>
    <w:rsid w:val="5B2953D7"/>
    <w:rsid w:val="5B312A9C"/>
    <w:rsid w:val="5B396FC6"/>
    <w:rsid w:val="5B397068"/>
    <w:rsid w:val="5B3C3599"/>
    <w:rsid w:val="5B425194"/>
    <w:rsid w:val="5B5B1A32"/>
    <w:rsid w:val="5B5F4246"/>
    <w:rsid w:val="5B665410"/>
    <w:rsid w:val="5B6D4D54"/>
    <w:rsid w:val="5B7515EA"/>
    <w:rsid w:val="5B771ECB"/>
    <w:rsid w:val="5B7F0AC4"/>
    <w:rsid w:val="5B806684"/>
    <w:rsid w:val="5B853992"/>
    <w:rsid w:val="5B89519B"/>
    <w:rsid w:val="5B9A5FCC"/>
    <w:rsid w:val="5BA24A9F"/>
    <w:rsid w:val="5BA31EC5"/>
    <w:rsid w:val="5BA442F5"/>
    <w:rsid w:val="5BAC4DD2"/>
    <w:rsid w:val="5BB16C2C"/>
    <w:rsid w:val="5BB96C5E"/>
    <w:rsid w:val="5BC64502"/>
    <w:rsid w:val="5BC850AF"/>
    <w:rsid w:val="5BCE4FEC"/>
    <w:rsid w:val="5BD51A4C"/>
    <w:rsid w:val="5BD531BC"/>
    <w:rsid w:val="5BE8759D"/>
    <w:rsid w:val="5BE952DB"/>
    <w:rsid w:val="5BF955D6"/>
    <w:rsid w:val="5C0103AA"/>
    <w:rsid w:val="5C017298"/>
    <w:rsid w:val="5C02290B"/>
    <w:rsid w:val="5C081C1F"/>
    <w:rsid w:val="5C1F4CEC"/>
    <w:rsid w:val="5C317576"/>
    <w:rsid w:val="5C334EF3"/>
    <w:rsid w:val="5C377DDB"/>
    <w:rsid w:val="5C3D5451"/>
    <w:rsid w:val="5C3F1FFC"/>
    <w:rsid w:val="5C441951"/>
    <w:rsid w:val="5C446759"/>
    <w:rsid w:val="5C480B27"/>
    <w:rsid w:val="5C4F3724"/>
    <w:rsid w:val="5C524DA6"/>
    <w:rsid w:val="5C526D02"/>
    <w:rsid w:val="5C5568EB"/>
    <w:rsid w:val="5C557F39"/>
    <w:rsid w:val="5C5E112A"/>
    <w:rsid w:val="5C623603"/>
    <w:rsid w:val="5C627071"/>
    <w:rsid w:val="5C63024A"/>
    <w:rsid w:val="5C6E3727"/>
    <w:rsid w:val="5C74595A"/>
    <w:rsid w:val="5C7D0C74"/>
    <w:rsid w:val="5C7D3F14"/>
    <w:rsid w:val="5C807342"/>
    <w:rsid w:val="5C8B1B93"/>
    <w:rsid w:val="5C8E274A"/>
    <w:rsid w:val="5C8F7106"/>
    <w:rsid w:val="5C904769"/>
    <w:rsid w:val="5C9F7967"/>
    <w:rsid w:val="5CA2048B"/>
    <w:rsid w:val="5CA96F55"/>
    <w:rsid w:val="5CB555F4"/>
    <w:rsid w:val="5CBC7400"/>
    <w:rsid w:val="5CBF08FC"/>
    <w:rsid w:val="5CC422CF"/>
    <w:rsid w:val="5CC43536"/>
    <w:rsid w:val="5CE159D7"/>
    <w:rsid w:val="5CED6EDB"/>
    <w:rsid w:val="5CFD5B7C"/>
    <w:rsid w:val="5D0B73B6"/>
    <w:rsid w:val="5D0E78E5"/>
    <w:rsid w:val="5D105C4B"/>
    <w:rsid w:val="5D134FA4"/>
    <w:rsid w:val="5D251A74"/>
    <w:rsid w:val="5D272EF8"/>
    <w:rsid w:val="5D2C2303"/>
    <w:rsid w:val="5D2C55FC"/>
    <w:rsid w:val="5D3078F8"/>
    <w:rsid w:val="5D3351DA"/>
    <w:rsid w:val="5D371893"/>
    <w:rsid w:val="5D3F3CF1"/>
    <w:rsid w:val="5D3F7145"/>
    <w:rsid w:val="5D4124C9"/>
    <w:rsid w:val="5D440913"/>
    <w:rsid w:val="5D486C02"/>
    <w:rsid w:val="5D497CF5"/>
    <w:rsid w:val="5D5740A0"/>
    <w:rsid w:val="5D5A093B"/>
    <w:rsid w:val="5D5C1020"/>
    <w:rsid w:val="5D5D03B2"/>
    <w:rsid w:val="5D5E7773"/>
    <w:rsid w:val="5D5F43D9"/>
    <w:rsid w:val="5D5F458F"/>
    <w:rsid w:val="5D5F466A"/>
    <w:rsid w:val="5D5F7E1F"/>
    <w:rsid w:val="5D603BFF"/>
    <w:rsid w:val="5D675199"/>
    <w:rsid w:val="5D6939AF"/>
    <w:rsid w:val="5D7669F5"/>
    <w:rsid w:val="5D89502D"/>
    <w:rsid w:val="5D8A3194"/>
    <w:rsid w:val="5D8F1EDE"/>
    <w:rsid w:val="5D8F2D50"/>
    <w:rsid w:val="5D9260E3"/>
    <w:rsid w:val="5D951450"/>
    <w:rsid w:val="5D964C5E"/>
    <w:rsid w:val="5D9C5AE9"/>
    <w:rsid w:val="5D9E5FFF"/>
    <w:rsid w:val="5DA7761B"/>
    <w:rsid w:val="5DAE0F1C"/>
    <w:rsid w:val="5DAE2A31"/>
    <w:rsid w:val="5DCC708D"/>
    <w:rsid w:val="5DD22F5B"/>
    <w:rsid w:val="5DD649A4"/>
    <w:rsid w:val="5DD74F94"/>
    <w:rsid w:val="5DD85447"/>
    <w:rsid w:val="5DDC1495"/>
    <w:rsid w:val="5DDD6079"/>
    <w:rsid w:val="5DDE65BA"/>
    <w:rsid w:val="5DE05239"/>
    <w:rsid w:val="5DE44772"/>
    <w:rsid w:val="5DE956DA"/>
    <w:rsid w:val="5DEC32CF"/>
    <w:rsid w:val="5DF0482E"/>
    <w:rsid w:val="5DF23CFE"/>
    <w:rsid w:val="5DF948F9"/>
    <w:rsid w:val="5DFF47E0"/>
    <w:rsid w:val="5E011310"/>
    <w:rsid w:val="5E023169"/>
    <w:rsid w:val="5E0A4988"/>
    <w:rsid w:val="5E114AC5"/>
    <w:rsid w:val="5E142FA6"/>
    <w:rsid w:val="5E14352B"/>
    <w:rsid w:val="5E1E3A86"/>
    <w:rsid w:val="5E2738B1"/>
    <w:rsid w:val="5E2D559E"/>
    <w:rsid w:val="5E2F6724"/>
    <w:rsid w:val="5E331736"/>
    <w:rsid w:val="5E497D8A"/>
    <w:rsid w:val="5E4D6E94"/>
    <w:rsid w:val="5E4F5CA3"/>
    <w:rsid w:val="5E5060BD"/>
    <w:rsid w:val="5E520233"/>
    <w:rsid w:val="5E5576A4"/>
    <w:rsid w:val="5E5B56CE"/>
    <w:rsid w:val="5E5C00D1"/>
    <w:rsid w:val="5E5F7825"/>
    <w:rsid w:val="5E6230D4"/>
    <w:rsid w:val="5E651C24"/>
    <w:rsid w:val="5E765022"/>
    <w:rsid w:val="5E815390"/>
    <w:rsid w:val="5E843421"/>
    <w:rsid w:val="5E8F4926"/>
    <w:rsid w:val="5E934817"/>
    <w:rsid w:val="5E9368C3"/>
    <w:rsid w:val="5E97508F"/>
    <w:rsid w:val="5E9A3145"/>
    <w:rsid w:val="5E9C4B4C"/>
    <w:rsid w:val="5EB01A84"/>
    <w:rsid w:val="5EB40B85"/>
    <w:rsid w:val="5EB90214"/>
    <w:rsid w:val="5EB958A0"/>
    <w:rsid w:val="5EBE4F94"/>
    <w:rsid w:val="5ECA5FA4"/>
    <w:rsid w:val="5ECB1A59"/>
    <w:rsid w:val="5EDB6A92"/>
    <w:rsid w:val="5EE22DBF"/>
    <w:rsid w:val="5EE271FB"/>
    <w:rsid w:val="5EE9035F"/>
    <w:rsid w:val="5EEC0439"/>
    <w:rsid w:val="5EEE2747"/>
    <w:rsid w:val="5EF54E17"/>
    <w:rsid w:val="5EF66AD3"/>
    <w:rsid w:val="5EFA466C"/>
    <w:rsid w:val="5EFD263A"/>
    <w:rsid w:val="5EFD6126"/>
    <w:rsid w:val="5F0919BA"/>
    <w:rsid w:val="5F0E30A5"/>
    <w:rsid w:val="5F1151EC"/>
    <w:rsid w:val="5F152D58"/>
    <w:rsid w:val="5F3D0168"/>
    <w:rsid w:val="5F3E292B"/>
    <w:rsid w:val="5F3E2D10"/>
    <w:rsid w:val="5F3E5F96"/>
    <w:rsid w:val="5F3E7C5D"/>
    <w:rsid w:val="5F41108A"/>
    <w:rsid w:val="5F456556"/>
    <w:rsid w:val="5F5C33DC"/>
    <w:rsid w:val="5F637287"/>
    <w:rsid w:val="5F6865C5"/>
    <w:rsid w:val="5F704ECC"/>
    <w:rsid w:val="5F7372CB"/>
    <w:rsid w:val="5F766470"/>
    <w:rsid w:val="5F7858E2"/>
    <w:rsid w:val="5F805C18"/>
    <w:rsid w:val="5F8A6F12"/>
    <w:rsid w:val="5F9213FA"/>
    <w:rsid w:val="5F952314"/>
    <w:rsid w:val="5F954182"/>
    <w:rsid w:val="5F9B409E"/>
    <w:rsid w:val="5F9C12B1"/>
    <w:rsid w:val="5F9E6440"/>
    <w:rsid w:val="5FA248FB"/>
    <w:rsid w:val="5FA61056"/>
    <w:rsid w:val="5FA83C95"/>
    <w:rsid w:val="5FA92B2D"/>
    <w:rsid w:val="5FAF1A04"/>
    <w:rsid w:val="5FB23DAD"/>
    <w:rsid w:val="5FB53871"/>
    <w:rsid w:val="5FB822EA"/>
    <w:rsid w:val="5FB910B5"/>
    <w:rsid w:val="5FC14977"/>
    <w:rsid w:val="5FC6001B"/>
    <w:rsid w:val="5FCD3B49"/>
    <w:rsid w:val="5FDF5213"/>
    <w:rsid w:val="5FEE2EB8"/>
    <w:rsid w:val="600278F8"/>
    <w:rsid w:val="60087792"/>
    <w:rsid w:val="600C7F49"/>
    <w:rsid w:val="601B1712"/>
    <w:rsid w:val="601E4AB3"/>
    <w:rsid w:val="6023092E"/>
    <w:rsid w:val="60242036"/>
    <w:rsid w:val="6029062A"/>
    <w:rsid w:val="602D6182"/>
    <w:rsid w:val="602D7F58"/>
    <w:rsid w:val="602F2DA9"/>
    <w:rsid w:val="602F62F1"/>
    <w:rsid w:val="60414ECC"/>
    <w:rsid w:val="604C1641"/>
    <w:rsid w:val="604E4FD3"/>
    <w:rsid w:val="605732DA"/>
    <w:rsid w:val="60582433"/>
    <w:rsid w:val="605B28CC"/>
    <w:rsid w:val="60625B79"/>
    <w:rsid w:val="606D5250"/>
    <w:rsid w:val="606F5BE2"/>
    <w:rsid w:val="60816CB9"/>
    <w:rsid w:val="60826373"/>
    <w:rsid w:val="60851A27"/>
    <w:rsid w:val="608844F9"/>
    <w:rsid w:val="608F1EC3"/>
    <w:rsid w:val="60960372"/>
    <w:rsid w:val="60980B51"/>
    <w:rsid w:val="60997B0E"/>
    <w:rsid w:val="609A35F9"/>
    <w:rsid w:val="609B63B3"/>
    <w:rsid w:val="609E5338"/>
    <w:rsid w:val="60A63E7B"/>
    <w:rsid w:val="60AC390A"/>
    <w:rsid w:val="60B121E7"/>
    <w:rsid w:val="60B6629C"/>
    <w:rsid w:val="60C27BED"/>
    <w:rsid w:val="60D16BAD"/>
    <w:rsid w:val="60D36A0E"/>
    <w:rsid w:val="60D45F49"/>
    <w:rsid w:val="60D617E9"/>
    <w:rsid w:val="60D96E5E"/>
    <w:rsid w:val="60DE173E"/>
    <w:rsid w:val="60E0304C"/>
    <w:rsid w:val="60E949D6"/>
    <w:rsid w:val="60EF43D0"/>
    <w:rsid w:val="60F16186"/>
    <w:rsid w:val="60FA05F6"/>
    <w:rsid w:val="60FE275E"/>
    <w:rsid w:val="60FE5DD7"/>
    <w:rsid w:val="610B530A"/>
    <w:rsid w:val="61182AAC"/>
    <w:rsid w:val="61285AC8"/>
    <w:rsid w:val="612C4796"/>
    <w:rsid w:val="612F6D64"/>
    <w:rsid w:val="612F794D"/>
    <w:rsid w:val="61323895"/>
    <w:rsid w:val="61375DB4"/>
    <w:rsid w:val="614466ED"/>
    <w:rsid w:val="61515445"/>
    <w:rsid w:val="61564CF4"/>
    <w:rsid w:val="6163678A"/>
    <w:rsid w:val="61637A5E"/>
    <w:rsid w:val="61723087"/>
    <w:rsid w:val="61762E45"/>
    <w:rsid w:val="61805025"/>
    <w:rsid w:val="6182589B"/>
    <w:rsid w:val="61854C16"/>
    <w:rsid w:val="61872277"/>
    <w:rsid w:val="6187772D"/>
    <w:rsid w:val="61883EE2"/>
    <w:rsid w:val="618A3ACD"/>
    <w:rsid w:val="618C2A55"/>
    <w:rsid w:val="6191661B"/>
    <w:rsid w:val="61991ABA"/>
    <w:rsid w:val="619D7990"/>
    <w:rsid w:val="61A03D1D"/>
    <w:rsid w:val="61A433CF"/>
    <w:rsid w:val="61A54F8F"/>
    <w:rsid w:val="61A620C2"/>
    <w:rsid w:val="61A95E50"/>
    <w:rsid w:val="61AA42A2"/>
    <w:rsid w:val="61AA4ED8"/>
    <w:rsid w:val="61B97A7C"/>
    <w:rsid w:val="61C32922"/>
    <w:rsid w:val="61C34A59"/>
    <w:rsid w:val="61D01C4A"/>
    <w:rsid w:val="61D10982"/>
    <w:rsid w:val="61D221DB"/>
    <w:rsid w:val="61DF6240"/>
    <w:rsid w:val="61E417D5"/>
    <w:rsid w:val="61E46945"/>
    <w:rsid w:val="61E6157C"/>
    <w:rsid w:val="61E714B7"/>
    <w:rsid w:val="620406A5"/>
    <w:rsid w:val="620A2415"/>
    <w:rsid w:val="6217133A"/>
    <w:rsid w:val="621913D6"/>
    <w:rsid w:val="621A11B8"/>
    <w:rsid w:val="621B7B82"/>
    <w:rsid w:val="62237D7A"/>
    <w:rsid w:val="622902C9"/>
    <w:rsid w:val="622A6D08"/>
    <w:rsid w:val="622F671F"/>
    <w:rsid w:val="623C68EF"/>
    <w:rsid w:val="62405031"/>
    <w:rsid w:val="62435028"/>
    <w:rsid w:val="62453FDE"/>
    <w:rsid w:val="624A673F"/>
    <w:rsid w:val="625062CC"/>
    <w:rsid w:val="6254305D"/>
    <w:rsid w:val="625E2293"/>
    <w:rsid w:val="62613B32"/>
    <w:rsid w:val="62630D6D"/>
    <w:rsid w:val="626B0871"/>
    <w:rsid w:val="626C6D99"/>
    <w:rsid w:val="629103B1"/>
    <w:rsid w:val="62912517"/>
    <w:rsid w:val="62920D66"/>
    <w:rsid w:val="629559EF"/>
    <w:rsid w:val="62971D54"/>
    <w:rsid w:val="629772A7"/>
    <w:rsid w:val="62985E6A"/>
    <w:rsid w:val="629A09AF"/>
    <w:rsid w:val="62AA7CE9"/>
    <w:rsid w:val="62B00846"/>
    <w:rsid w:val="62B632DE"/>
    <w:rsid w:val="62B84CF5"/>
    <w:rsid w:val="62BB027C"/>
    <w:rsid w:val="62BB02CB"/>
    <w:rsid w:val="62BB4C24"/>
    <w:rsid w:val="62BE446C"/>
    <w:rsid w:val="62C2754D"/>
    <w:rsid w:val="62C94CAB"/>
    <w:rsid w:val="62CA0FE5"/>
    <w:rsid w:val="62D43996"/>
    <w:rsid w:val="62D4756C"/>
    <w:rsid w:val="62EC40E6"/>
    <w:rsid w:val="62ED0992"/>
    <w:rsid w:val="62F81A5A"/>
    <w:rsid w:val="62FE3CE6"/>
    <w:rsid w:val="63002B5E"/>
    <w:rsid w:val="63096CA4"/>
    <w:rsid w:val="630A426A"/>
    <w:rsid w:val="63161F6F"/>
    <w:rsid w:val="63225339"/>
    <w:rsid w:val="632C7895"/>
    <w:rsid w:val="63385B7D"/>
    <w:rsid w:val="633A2138"/>
    <w:rsid w:val="633C3923"/>
    <w:rsid w:val="63445935"/>
    <w:rsid w:val="63566CDA"/>
    <w:rsid w:val="635B6B19"/>
    <w:rsid w:val="635E2FD7"/>
    <w:rsid w:val="635F2350"/>
    <w:rsid w:val="63637424"/>
    <w:rsid w:val="63691C1F"/>
    <w:rsid w:val="63725B20"/>
    <w:rsid w:val="63731BE6"/>
    <w:rsid w:val="63757DB2"/>
    <w:rsid w:val="637D0BBC"/>
    <w:rsid w:val="63824FD7"/>
    <w:rsid w:val="6387103C"/>
    <w:rsid w:val="63882656"/>
    <w:rsid w:val="638B38C6"/>
    <w:rsid w:val="63900AF2"/>
    <w:rsid w:val="63903E75"/>
    <w:rsid w:val="639042B3"/>
    <w:rsid w:val="63925A18"/>
    <w:rsid w:val="63A26828"/>
    <w:rsid w:val="63A935C1"/>
    <w:rsid w:val="63B12427"/>
    <w:rsid w:val="63CC43C0"/>
    <w:rsid w:val="63CF3C9E"/>
    <w:rsid w:val="63D264EC"/>
    <w:rsid w:val="63D53CB7"/>
    <w:rsid w:val="63D679E7"/>
    <w:rsid w:val="63DA3FC6"/>
    <w:rsid w:val="63DF35C5"/>
    <w:rsid w:val="63E2562D"/>
    <w:rsid w:val="63E84065"/>
    <w:rsid w:val="63E971DA"/>
    <w:rsid w:val="63F16200"/>
    <w:rsid w:val="63FB15F6"/>
    <w:rsid w:val="63FB7BFC"/>
    <w:rsid w:val="64024A67"/>
    <w:rsid w:val="640D21A7"/>
    <w:rsid w:val="640F7AE1"/>
    <w:rsid w:val="641D35BE"/>
    <w:rsid w:val="64201D84"/>
    <w:rsid w:val="642F26E0"/>
    <w:rsid w:val="64317F8F"/>
    <w:rsid w:val="64360001"/>
    <w:rsid w:val="64420660"/>
    <w:rsid w:val="6444011C"/>
    <w:rsid w:val="644864B5"/>
    <w:rsid w:val="644966D7"/>
    <w:rsid w:val="644F7C35"/>
    <w:rsid w:val="64520A22"/>
    <w:rsid w:val="645F16E8"/>
    <w:rsid w:val="64646462"/>
    <w:rsid w:val="646D1514"/>
    <w:rsid w:val="64725BBB"/>
    <w:rsid w:val="64772071"/>
    <w:rsid w:val="647D3D13"/>
    <w:rsid w:val="647F34C9"/>
    <w:rsid w:val="647F71F6"/>
    <w:rsid w:val="648049A5"/>
    <w:rsid w:val="64863EE0"/>
    <w:rsid w:val="64865337"/>
    <w:rsid w:val="649063C9"/>
    <w:rsid w:val="64933DAB"/>
    <w:rsid w:val="649E2054"/>
    <w:rsid w:val="649F1F3C"/>
    <w:rsid w:val="64A07352"/>
    <w:rsid w:val="64AA74E0"/>
    <w:rsid w:val="64B14A6A"/>
    <w:rsid w:val="64C37895"/>
    <w:rsid w:val="64C54D1A"/>
    <w:rsid w:val="64C620EF"/>
    <w:rsid w:val="64D56224"/>
    <w:rsid w:val="64D60BA0"/>
    <w:rsid w:val="64DE1866"/>
    <w:rsid w:val="64E37B0D"/>
    <w:rsid w:val="64F05185"/>
    <w:rsid w:val="64F35C0F"/>
    <w:rsid w:val="64F42A84"/>
    <w:rsid w:val="64F8005B"/>
    <w:rsid w:val="650252A5"/>
    <w:rsid w:val="650A6085"/>
    <w:rsid w:val="650C2342"/>
    <w:rsid w:val="651A4F4D"/>
    <w:rsid w:val="651E4087"/>
    <w:rsid w:val="651E47EB"/>
    <w:rsid w:val="65267779"/>
    <w:rsid w:val="6534374B"/>
    <w:rsid w:val="653D4254"/>
    <w:rsid w:val="653E08D7"/>
    <w:rsid w:val="654163A1"/>
    <w:rsid w:val="654208B5"/>
    <w:rsid w:val="654264E2"/>
    <w:rsid w:val="654351BE"/>
    <w:rsid w:val="6548242B"/>
    <w:rsid w:val="655061A6"/>
    <w:rsid w:val="655E7800"/>
    <w:rsid w:val="65623B5F"/>
    <w:rsid w:val="656253AE"/>
    <w:rsid w:val="65626037"/>
    <w:rsid w:val="65662D22"/>
    <w:rsid w:val="656B756C"/>
    <w:rsid w:val="6574221F"/>
    <w:rsid w:val="6576739D"/>
    <w:rsid w:val="6577390A"/>
    <w:rsid w:val="658A7650"/>
    <w:rsid w:val="658B0947"/>
    <w:rsid w:val="658B60AF"/>
    <w:rsid w:val="65900E01"/>
    <w:rsid w:val="65905BD1"/>
    <w:rsid w:val="659E6196"/>
    <w:rsid w:val="65B31690"/>
    <w:rsid w:val="65B94567"/>
    <w:rsid w:val="65B977E0"/>
    <w:rsid w:val="65BA169B"/>
    <w:rsid w:val="65BC5C3F"/>
    <w:rsid w:val="65BD183A"/>
    <w:rsid w:val="65BF2DEA"/>
    <w:rsid w:val="65C57F51"/>
    <w:rsid w:val="65CD3B6C"/>
    <w:rsid w:val="65D25458"/>
    <w:rsid w:val="65D268A2"/>
    <w:rsid w:val="65D369DC"/>
    <w:rsid w:val="65D44BEB"/>
    <w:rsid w:val="65D54BF0"/>
    <w:rsid w:val="65DA6CD6"/>
    <w:rsid w:val="65DF2FE5"/>
    <w:rsid w:val="65E4011A"/>
    <w:rsid w:val="65E4389B"/>
    <w:rsid w:val="65EE1AC1"/>
    <w:rsid w:val="65F32DD8"/>
    <w:rsid w:val="65F57442"/>
    <w:rsid w:val="65F6274E"/>
    <w:rsid w:val="65FC5319"/>
    <w:rsid w:val="65FC56C1"/>
    <w:rsid w:val="65FE1226"/>
    <w:rsid w:val="66040E81"/>
    <w:rsid w:val="660E4768"/>
    <w:rsid w:val="6611009B"/>
    <w:rsid w:val="6612319D"/>
    <w:rsid w:val="66137370"/>
    <w:rsid w:val="66161FF2"/>
    <w:rsid w:val="66184328"/>
    <w:rsid w:val="66202554"/>
    <w:rsid w:val="66250D16"/>
    <w:rsid w:val="66262E1D"/>
    <w:rsid w:val="662B4326"/>
    <w:rsid w:val="66320898"/>
    <w:rsid w:val="66326246"/>
    <w:rsid w:val="663369C4"/>
    <w:rsid w:val="663D5FDD"/>
    <w:rsid w:val="663F38E1"/>
    <w:rsid w:val="66465392"/>
    <w:rsid w:val="66496F0A"/>
    <w:rsid w:val="6654698C"/>
    <w:rsid w:val="66571173"/>
    <w:rsid w:val="665A0692"/>
    <w:rsid w:val="66603723"/>
    <w:rsid w:val="6667226C"/>
    <w:rsid w:val="66690729"/>
    <w:rsid w:val="666A1F67"/>
    <w:rsid w:val="666E668A"/>
    <w:rsid w:val="66701502"/>
    <w:rsid w:val="66706C70"/>
    <w:rsid w:val="66740875"/>
    <w:rsid w:val="66797607"/>
    <w:rsid w:val="667D7E88"/>
    <w:rsid w:val="668F5ACB"/>
    <w:rsid w:val="66952621"/>
    <w:rsid w:val="66962B74"/>
    <w:rsid w:val="66963409"/>
    <w:rsid w:val="669712DB"/>
    <w:rsid w:val="669E6194"/>
    <w:rsid w:val="66B139DA"/>
    <w:rsid w:val="66C14FD9"/>
    <w:rsid w:val="66D1134E"/>
    <w:rsid w:val="66D24CD9"/>
    <w:rsid w:val="66D6089D"/>
    <w:rsid w:val="66D70D07"/>
    <w:rsid w:val="66D712EC"/>
    <w:rsid w:val="66D80C03"/>
    <w:rsid w:val="66E62115"/>
    <w:rsid w:val="66E768A0"/>
    <w:rsid w:val="66E81665"/>
    <w:rsid w:val="66EC0B62"/>
    <w:rsid w:val="66ED16D6"/>
    <w:rsid w:val="66ED3842"/>
    <w:rsid w:val="66F41AA0"/>
    <w:rsid w:val="66FC3F43"/>
    <w:rsid w:val="670C68E0"/>
    <w:rsid w:val="670D1266"/>
    <w:rsid w:val="671058D4"/>
    <w:rsid w:val="671976F2"/>
    <w:rsid w:val="671C32AB"/>
    <w:rsid w:val="671D279D"/>
    <w:rsid w:val="671E6123"/>
    <w:rsid w:val="67206669"/>
    <w:rsid w:val="67221AFB"/>
    <w:rsid w:val="672355EB"/>
    <w:rsid w:val="672756BA"/>
    <w:rsid w:val="67281EA4"/>
    <w:rsid w:val="67340E78"/>
    <w:rsid w:val="67396E3B"/>
    <w:rsid w:val="673B3F15"/>
    <w:rsid w:val="67433C89"/>
    <w:rsid w:val="674A6F77"/>
    <w:rsid w:val="674B3D8A"/>
    <w:rsid w:val="674D5BA9"/>
    <w:rsid w:val="674E51BD"/>
    <w:rsid w:val="674E533B"/>
    <w:rsid w:val="6758604A"/>
    <w:rsid w:val="675B366F"/>
    <w:rsid w:val="675E1C34"/>
    <w:rsid w:val="67640D60"/>
    <w:rsid w:val="67656DC9"/>
    <w:rsid w:val="677170EF"/>
    <w:rsid w:val="67775AAA"/>
    <w:rsid w:val="67885121"/>
    <w:rsid w:val="678C635A"/>
    <w:rsid w:val="678F0664"/>
    <w:rsid w:val="67916091"/>
    <w:rsid w:val="679435A7"/>
    <w:rsid w:val="67967FAB"/>
    <w:rsid w:val="679A4892"/>
    <w:rsid w:val="679B0C59"/>
    <w:rsid w:val="679B3F49"/>
    <w:rsid w:val="679C64CB"/>
    <w:rsid w:val="67A35D40"/>
    <w:rsid w:val="67A94795"/>
    <w:rsid w:val="67B92BAC"/>
    <w:rsid w:val="67BD48FB"/>
    <w:rsid w:val="67C34FD2"/>
    <w:rsid w:val="67C53570"/>
    <w:rsid w:val="67CC0E52"/>
    <w:rsid w:val="67D23793"/>
    <w:rsid w:val="67D91C55"/>
    <w:rsid w:val="67E77A9F"/>
    <w:rsid w:val="67E86F66"/>
    <w:rsid w:val="67E93B74"/>
    <w:rsid w:val="67EC070E"/>
    <w:rsid w:val="67EC3B39"/>
    <w:rsid w:val="67FC4CA3"/>
    <w:rsid w:val="680672D3"/>
    <w:rsid w:val="6808363E"/>
    <w:rsid w:val="680A75B3"/>
    <w:rsid w:val="680C1641"/>
    <w:rsid w:val="68115598"/>
    <w:rsid w:val="681E62B6"/>
    <w:rsid w:val="682373AB"/>
    <w:rsid w:val="682E5A15"/>
    <w:rsid w:val="68346108"/>
    <w:rsid w:val="68356E79"/>
    <w:rsid w:val="68384DF9"/>
    <w:rsid w:val="683917AE"/>
    <w:rsid w:val="684262B7"/>
    <w:rsid w:val="68447094"/>
    <w:rsid w:val="68495573"/>
    <w:rsid w:val="6849712C"/>
    <w:rsid w:val="684B3972"/>
    <w:rsid w:val="68511892"/>
    <w:rsid w:val="685619C7"/>
    <w:rsid w:val="68664319"/>
    <w:rsid w:val="686662D3"/>
    <w:rsid w:val="686A2E23"/>
    <w:rsid w:val="686C0F5D"/>
    <w:rsid w:val="687D6475"/>
    <w:rsid w:val="688469FB"/>
    <w:rsid w:val="688B6918"/>
    <w:rsid w:val="68900EF7"/>
    <w:rsid w:val="68927C6F"/>
    <w:rsid w:val="68A16ED4"/>
    <w:rsid w:val="68A74FB7"/>
    <w:rsid w:val="68AE180E"/>
    <w:rsid w:val="68AE5756"/>
    <w:rsid w:val="68B211D5"/>
    <w:rsid w:val="68B8387C"/>
    <w:rsid w:val="68BF59B1"/>
    <w:rsid w:val="68C74F7E"/>
    <w:rsid w:val="68CB0E95"/>
    <w:rsid w:val="68E01595"/>
    <w:rsid w:val="68E21E60"/>
    <w:rsid w:val="68ED6C36"/>
    <w:rsid w:val="68F6184C"/>
    <w:rsid w:val="68FF2424"/>
    <w:rsid w:val="690448D5"/>
    <w:rsid w:val="690523A9"/>
    <w:rsid w:val="690E10C1"/>
    <w:rsid w:val="69105B83"/>
    <w:rsid w:val="69192A70"/>
    <w:rsid w:val="6927175E"/>
    <w:rsid w:val="69334776"/>
    <w:rsid w:val="693751FA"/>
    <w:rsid w:val="693C0A63"/>
    <w:rsid w:val="693D4C39"/>
    <w:rsid w:val="6941169E"/>
    <w:rsid w:val="69434E34"/>
    <w:rsid w:val="69571A82"/>
    <w:rsid w:val="695F40AB"/>
    <w:rsid w:val="69603B21"/>
    <w:rsid w:val="696358C5"/>
    <w:rsid w:val="696451FC"/>
    <w:rsid w:val="69765294"/>
    <w:rsid w:val="697B0039"/>
    <w:rsid w:val="697E3C3B"/>
    <w:rsid w:val="6984420D"/>
    <w:rsid w:val="698B146F"/>
    <w:rsid w:val="698F13DC"/>
    <w:rsid w:val="6992664D"/>
    <w:rsid w:val="69971A93"/>
    <w:rsid w:val="69996B4F"/>
    <w:rsid w:val="699B565A"/>
    <w:rsid w:val="69A76340"/>
    <w:rsid w:val="69A843C6"/>
    <w:rsid w:val="69AB4A2E"/>
    <w:rsid w:val="69AE677E"/>
    <w:rsid w:val="69B55AF0"/>
    <w:rsid w:val="69BC1EEC"/>
    <w:rsid w:val="69BF77EC"/>
    <w:rsid w:val="69C04F4D"/>
    <w:rsid w:val="69C26153"/>
    <w:rsid w:val="69C54917"/>
    <w:rsid w:val="69CC38E2"/>
    <w:rsid w:val="69D05FA1"/>
    <w:rsid w:val="69D3624D"/>
    <w:rsid w:val="69DA7ED0"/>
    <w:rsid w:val="69E15DF4"/>
    <w:rsid w:val="6A084D32"/>
    <w:rsid w:val="6A0F5C3A"/>
    <w:rsid w:val="6A10493C"/>
    <w:rsid w:val="6A1376E9"/>
    <w:rsid w:val="6A146725"/>
    <w:rsid w:val="6A16181C"/>
    <w:rsid w:val="6A237479"/>
    <w:rsid w:val="6A36100B"/>
    <w:rsid w:val="6A3E3174"/>
    <w:rsid w:val="6A3F116D"/>
    <w:rsid w:val="6A411246"/>
    <w:rsid w:val="6A520B09"/>
    <w:rsid w:val="6A536B29"/>
    <w:rsid w:val="6A5C0FDC"/>
    <w:rsid w:val="6A754E2C"/>
    <w:rsid w:val="6A807920"/>
    <w:rsid w:val="6A81652C"/>
    <w:rsid w:val="6A875957"/>
    <w:rsid w:val="6A9158E5"/>
    <w:rsid w:val="6A963546"/>
    <w:rsid w:val="6A9B5B1E"/>
    <w:rsid w:val="6AA476C1"/>
    <w:rsid w:val="6AA77ADB"/>
    <w:rsid w:val="6AA82E19"/>
    <w:rsid w:val="6AB20048"/>
    <w:rsid w:val="6AB2767F"/>
    <w:rsid w:val="6AB478A5"/>
    <w:rsid w:val="6ABD627A"/>
    <w:rsid w:val="6AC3422F"/>
    <w:rsid w:val="6ACF153D"/>
    <w:rsid w:val="6AE7399A"/>
    <w:rsid w:val="6AE87F63"/>
    <w:rsid w:val="6AF03C77"/>
    <w:rsid w:val="6AF2024B"/>
    <w:rsid w:val="6AF90B5F"/>
    <w:rsid w:val="6AFC312C"/>
    <w:rsid w:val="6AFD31A5"/>
    <w:rsid w:val="6B002566"/>
    <w:rsid w:val="6B0A549D"/>
    <w:rsid w:val="6B0D4BF4"/>
    <w:rsid w:val="6B0E126E"/>
    <w:rsid w:val="6B163E2A"/>
    <w:rsid w:val="6B197438"/>
    <w:rsid w:val="6B1A72A2"/>
    <w:rsid w:val="6B1C6D14"/>
    <w:rsid w:val="6B2729D8"/>
    <w:rsid w:val="6B2C03DD"/>
    <w:rsid w:val="6B3A7165"/>
    <w:rsid w:val="6B496C9C"/>
    <w:rsid w:val="6B550B1C"/>
    <w:rsid w:val="6B5A4372"/>
    <w:rsid w:val="6B611D5B"/>
    <w:rsid w:val="6B79214E"/>
    <w:rsid w:val="6B7A7671"/>
    <w:rsid w:val="6B8C7E85"/>
    <w:rsid w:val="6B972BD0"/>
    <w:rsid w:val="6B9B2436"/>
    <w:rsid w:val="6B9D67C8"/>
    <w:rsid w:val="6B9E5BF6"/>
    <w:rsid w:val="6BA01DBF"/>
    <w:rsid w:val="6BA178AC"/>
    <w:rsid w:val="6BA24FB2"/>
    <w:rsid w:val="6BA44237"/>
    <w:rsid w:val="6BA57D8D"/>
    <w:rsid w:val="6BA915B9"/>
    <w:rsid w:val="6BA97306"/>
    <w:rsid w:val="6BAB7960"/>
    <w:rsid w:val="6BC03B7C"/>
    <w:rsid w:val="6BC23861"/>
    <w:rsid w:val="6BCB08F4"/>
    <w:rsid w:val="6BD27A34"/>
    <w:rsid w:val="6BD43E33"/>
    <w:rsid w:val="6BD64DCC"/>
    <w:rsid w:val="6BD65C55"/>
    <w:rsid w:val="6BD74752"/>
    <w:rsid w:val="6BDE33C5"/>
    <w:rsid w:val="6BDE6111"/>
    <w:rsid w:val="6BE00694"/>
    <w:rsid w:val="6BE67A64"/>
    <w:rsid w:val="6BE74708"/>
    <w:rsid w:val="6BE92DAE"/>
    <w:rsid w:val="6BF66CA6"/>
    <w:rsid w:val="6BF816A0"/>
    <w:rsid w:val="6BFF471D"/>
    <w:rsid w:val="6C051A1E"/>
    <w:rsid w:val="6C0D2263"/>
    <w:rsid w:val="6C2125A6"/>
    <w:rsid w:val="6C222179"/>
    <w:rsid w:val="6C280EE8"/>
    <w:rsid w:val="6C2C4D4A"/>
    <w:rsid w:val="6C32413B"/>
    <w:rsid w:val="6C426484"/>
    <w:rsid w:val="6C456E83"/>
    <w:rsid w:val="6C464F3E"/>
    <w:rsid w:val="6C475823"/>
    <w:rsid w:val="6C4D3A4C"/>
    <w:rsid w:val="6C4E43CA"/>
    <w:rsid w:val="6C506003"/>
    <w:rsid w:val="6C55074B"/>
    <w:rsid w:val="6C5907AE"/>
    <w:rsid w:val="6C5C0B8D"/>
    <w:rsid w:val="6C5D24B2"/>
    <w:rsid w:val="6C5D575B"/>
    <w:rsid w:val="6C635884"/>
    <w:rsid w:val="6C655900"/>
    <w:rsid w:val="6C6A1732"/>
    <w:rsid w:val="6C6F62B4"/>
    <w:rsid w:val="6C732FE0"/>
    <w:rsid w:val="6C7648FA"/>
    <w:rsid w:val="6C785059"/>
    <w:rsid w:val="6C7D30EA"/>
    <w:rsid w:val="6C802A88"/>
    <w:rsid w:val="6C9313DB"/>
    <w:rsid w:val="6C942BE5"/>
    <w:rsid w:val="6C95505D"/>
    <w:rsid w:val="6C974BF7"/>
    <w:rsid w:val="6CA05B59"/>
    <w:rsid w:val="6CA1284C"/>
    <w:rsid w:val="6CA265F8"/>
    <w:rsid w:val="6CAE1732"/>
    <w:rsid w:val="6CB83C82"/>
    <w:rsid w:val="6CBB59A8"/>
    <w:rsid w:val="6CBE7483"/>
    <w:rsid w:val="6CC0318D"/>
    <w:rsid w:val="6CC43D4F"/>
    <w:rsid w:val="6CC512C3"/>
    <w:rsid w:val="6CC633EF"/>
    <w:rsid w:val="6CCC7730"/>
    <w:rsid w:val="6CCF2FE8"/>
    <w:rsid w:val="6CD0447B"/>
    <w:rsid w:val="6CEA1E65"/>
    <w:rsid w:val="6CF11478"/>
    <w:rsid w:val="6CFA4DC8"/>
    <w:rsid w:val="6D0A09BA"/>
    <w:rsid w:val="6D0C3B73"/>
    <w:rsid w:val="6D0D73CF"/>
    <w:rsid w:val="6D0F78F7"/>
    <w:rsid w:val="6D116146"/>
    <w:rsid w:val="6D135630"/>
    <w:rsid w:val="6D231FC3"/>
    <w:rsid w:val="6D2E3668"/>
    <w:rsid w:val="6D3C1235"/>
    <w:rsid w:val="6D3D76A8"/>
    <w:rsid w:val="6D443798"/>
    <w:rsid w:val="6D4975DF"/>
    <w:rsid w:val="6D4B0054"/>
    <w:rsid w:val="6D552CB7"/>
    <w:rsid w:val="6D5B42D5"/>
    <w:rsid w:val="6D654DD1"/>
    <w:rsid w:val="6D660976"/>
    <w:rsid w:val="6D7F12E4"/>
    <w:rsid w:val="6D9361EC"/>
    <w:rsid w:val="6DA57BDD"/>
    <w:rsid w:val="6DAC50E0"/>
    <w:rsid w:val="6DAE781B"/>
    <w:rsid w:val="6DAF13C1"/>
    <w:rsid w:val="6DB30FC7"/>
    <w:rsid w:val="6DB77CD0"/>
    <w:rsid w:val="6DBC73B0"/>
    <w:rsid w:val="6DC05AF3"/>
    <w:rsid w:val="6DC50AC7"/>
    <w:rsid w:val="6DCA4794"/>
    <w:rsid w:val="6DCD275F"/>
    <w:rsid w:val="6DCF738B"/>
    <w:rsid w:val="6DD66E78"/>
    <w:rsid w:val="6DDC19AE"/>
    <w:rsid w:val="6DDD31A3"/>
    <w:rsid w:val="6DE70E81"/>
    <w:rsid w:val="6DF665FC"/>
    <w:rsid w:val="6DFC129E"/>
    <w:rsid w:val="6DFD2920"/>
    <w:rsid w:val="6E0265C8"/>
    <w:rsid w:val="6E173DC7"/>
    <w:rsid w:val="6E197483"/>
    <w:rsid w:val="6E275188"/>
    <w:rsid w:val="6E2D506D"/>
    <w:rsid w:val="6E2E1F03"/>
    <w:rsid w:val="6E32442D"/>
    <w:rsid w:val="6E38493A"/>
    <w:rsid w:val="6E3B1393"/>
    <w:rsid w:val="6E3E3066"/>
    <w:rsid w:val="6E3E60C6"/>
    <w:rsid w:val="6E420ADC"/>
    <w:rsid w:val="6E424962"/>
    <w:rsid w:val="6E43631A"/>
    <w:rsid w:val="6E49133B"/>
    <w:rsid w:val="6E4D74B3"/>
    <w:rsid w:val="6E532BD7"/>
    <w:rsid w:val="6E544B27"/>
    <w:rsid w:val="6E552148"/>
    <w:rsid w:val="6E573789"/>
    <w:rsid w:val="6E5F2565"/>
    <w:rsid w:val="6E6140BE"/>
    <w:rsid w:val="6E632188"/>
    <w:rsid w:val="6E641533"/>
    <w:rsid w:val="6E656029"/>
    <w:rsid w:val="6E736F83"/>
    <w:rsid w:val="6E741548"/>
    <w:rsid w:val="6E76187C"/>
    <w:rsid w:val="6E780920"/>
    <w:rsid w:val="6E7C4E69"/>
    <w:rsid w:val="6E88142F"/>
    <w:rsid w:val="6E8943B1"/>
    <w:rsid w:val="6E8D6547"/>
    <w:rsid w:val="6E9365BF"/>
    <w:rsid w:val="6E96317A"/>
    <w:rsid w:val="6E99437B"/>
    <w:rsid w:val="6EA6347E"/>
    <w:rsid w:val="6EA838C1"/>
    <w:rsid w:val="6EA84558"/>
    <w:rsid w:val="6EAA3642"/>
    <w:rsid w:val="6EB10C22"/>
    <w:rsid w:val="6EB33A46"/>
    <w:rsid w:val="6EB37620"/>
    <w:rsid w:val="6EB51C7A"/>
    <w:rsid w:val="6EB86796"/>
    <w:rsid w:val="6EBB27EF"/>
    <w:rsid w:val="6EBB49A9"/>
    <w:rsid w:val="6EBE61DF"/>
    <w:rsid w:val="6EC41E1D"/>
    <w:rsid w:val="6EC94110"/>
    <w:rsid w:val="6ECF3835"/>
    <w:rsid w:val="6ED05A02"/>
    <w:rsid w:val="6EDA127E"/>
    <w:rsid w:val="6EE12971"/>
    <w:rsid w:val="6EE5093D"/>
    <w:rsid w:val="6EE92460"/>
    <w:rsid w:val="6EF0074F"/>
    <w:rsid w:val="6EF0772D"/>
    <w:rsid w:val="6EFB5615"/>
    <w:rsid w:val="6EFF1983"/>
    <w:rsid w:val="6F09540D"/>
    <w:rsid w:val="6F0E5C17"/>
    <w:rsid w:val="6F1A55D7"/>
    <w:rsid w:val="6F2F63F3"/>
    <w:rsid w:val="6F3B09EE"/>
    <w:rsid w:val="6F3D3F0F"/>
    <w:rsid w:val="6F3F020D"/>
    <w:rsid w:val="6F3F649C"/>
    <w:rsid w:val="6F49651D"/>
    <w:rsid w:val="6F4F06B6"/>
    <w:rsid w:val="6F502154"/>
    <w:rsid w:val="6F5D1E87"/>
    <w:rsid w:val="6F61221E"/>
    <w:rsid w:val="6F7563F2"/>
    <w:rsid w:val="6F8A0042"/>
    <w:rsid w:val="6F8D2AAD"/>
    <w:rsid w:val="6F9713D2"/>
    <w:rsid w:val="6F995DA5"/>
    <w:rsid w:val="6F9B4133"/>
    <w:rsid w:val="6FA00329"/>
    <w:rsid w:val="6FA12224"/>
    <w:rsid w:val="6FA8451E"/>
    <w:rsid w:val="6FBA66EA"/>
    <w:rsid w:val="6FC9429F"/>
    <w:rsid w:val="6FCD07B2"/>
    <w:rsid w:val="6FE767E3"/>
    <w:rsid w:val="6FF602C1"/>
    <w:rsid w:val="6FFC396F"/>
    <w:rsid w:val="6FFD7421"/>
    <w:rsid w:val="70006063"/>
    <w:rsid w:val="700D033A"/>
    <w:rsid w:val="702F40D0"/>
    <w:rsid w:val="703900C0"/>
    <w:rsid w:val="703E04EE"/>
    <w:rsid w:val="704B4E75"/>
    <w:rsid w:val="704D768F"/>
    <w:rsid w:val="704E2675"/>
    <w:rsid w:val="70541EA6"/>
    <w:rsid w:val="70566C7C"/>
    <w:rsid w:val="70576FD3"/>
    <w:rsid w:val="705B37CE"/>
    <w:rsid w:val="705E3D71"/>
    <w:rsid w:val="70630123"/>
    <w:rsid w:val="706B0310"/>
    <w:rsid w:val="70794704"/>
    <w:rsid w:val="707C498E"/>
    <w:rsid w:val="708D6A16"/>
    <w:rsid w:val="7091670C"/>
    <w:rsid w:val="70A14B27"/>
    <w:rsid w:val="70A46C91"/>
    <w:rsid w:val="70A90FE2"/>
    <w:rsid w:val="70AE0A39"/>
    <w:rsid w:val="70AF69C8"/>
    <w:rsid w:val="70BB7800"/>
    <w:rsid w:val="70BB7C78"/>
    <w:rsid w:val="70BC673A"/>
    <w:rsid w:val="70C06706"/>
    <w:rsid w:val="70C16BD7"/>
    <w:rsid w:val="70C41D67"/>
    <w:rsid w:val="70CA5BCC"/>
    <w:rsid w:val="70CD7103"/>
    <w:rsid w:val="70D11F3D"/>
    <w:rsid w:val="70D31EA0"/>
    <w:rsid w:val="70D31F93"/>
    <w:rsid w:val="70DB2E71"/>
    <w:rsid w:val="70DC0A2F"/>
    <w:rsid w:val="70E2186A"/>
    <w:rsid w:val="70E84441"/>
    <w:rsid w:val="70F122A7"/>
    <w:rsid w:val="70F14826"/>
    <w:rsid w:val="70F277EE"/>
    <w:rsid w:val="7102260D"/>
    <w:rsid w:val="71031AA8"/>
    <w:rsid w:val="71044F56"/>
    <w:rsid w:val="710B19F4"/>
    <w:rsid w:val="710E4366"/>
    <w:rsid w:val="711B195D"/>
    <w:rsid w:val="7121665B"/>
    <w:rsid w:val="712B25AE"/>
    <w:rsid w:val="71352F32"/>
    <w:rsid w:val="71485559"/>
    <w:rsid w:val="714B7636"/>
    <w:rsid w:val="71553ED9"/>
    <w:rsid w:val="715B36B0"/>
    <w:rsid w:val="715F3B7C"/>
    <w:rsid w:val="716136C3"/>
    <w:rsid w:val="716B6565"/>
    <w:rsid w:val="71731B92"/>
    <w:rsid w:val="71775CF1"/>
    <w:rsid w:val="717773D8"/>
    <w:rsid w:val="717A046C"/>
    <w:rsid w:val="718470DD"/>
    <w:rsid w:val="718C067B"/>
    <w:rsid w:val="71910EE0"/>
    <w:rsid w:val="71963CCF"/>
    <w:rsid w:val="719670DD"/>
    <w:rsid w:val="719B49D9"/>
    <w:rsid w:val="719D5F56"/>
    <w:rsid w:val="71A53E77"/>
    <w:rsid w:val="71A65856"/>
    <w:rsid w:val="71A73554"/>
    <w:rsid w:val="71B45A2A"/>
    <w:rsid w:val="71B85BAB"/>
    <w:rsid w:val="71B93689"/>
    <w:rsid w:val="71BD1E4F"/>
    <w:rsid w:val="71C2367C"/>
    <w:rsid w:val="71C8636B"/>
    <w:rsid w:val="71CB6902"/>
    <w:rsid w:val="71CB6BB3"/>
    <w:rsid w:val="71D37642"/>
    <w:rsid w:val="71D44016"/>
    <w:rsid w:val="71D50276"/>
    <w:rsid w:val="71DB315E"/>
    <w:rsid w:val="71E16AA0"/>
    <w:rsid w:val="71E314FB"/>
    <w:rsid w:val="71E31D73"/>
    <w:rsid w:val="71E45C01"/>
    <w:rsid w:val="71E918DE"/>
    <w:rsid w:val="71F10CD1"/>
    <w:rsid w:val="71F76C2D"/>
    <w:rsid w:val="71FE61DA"/>
    <w:rsid w:val="72044811"/>
    <w:rsid w:val="72046F12"/>
    <w:rsid w:val="72077FE6"/>
    <w:rsid w:val="7217443D"/>
    <w:rsid w:val="72211A3B"/>
    <w:rsid w:val="72236849"/>
    <w:rsid w:val="722509CE"/>
    <w:rsid w:val="72252452"/>
    <w:rsid w:val="722B1841"/>
    <w:rsid w:val="722E413F"/>
    <w:rsid w:val="7235445C"/>
    <w:rsid w:val="72361F36"/>
    <w:rsid w:val="723A13EA"/>
    <w:rsid w:val="723E363E"/>
    <w:rsid w:val="723E62AD"/>
    <w:rsid w:val="72426FD8"/>
    <w:rsid w:val="724404CB"/>
    <w:rsid w:val="72494802"/>
    <w:rsid w:val="72553EFA"/>
    <w:rsid w:val="725A3A28"/>
    <w:rsid w:val="725C054B"/>
    <w:rsid w:val="72646648"/>
    <w:rsid w:val="72665ACE"/>
    <w:rsid w:val="727951DA"/>
    <w:rsid w:val="72816D99"/>
    <w:rsid w:val="72895C2F"/>
    <w:rsid w:val="728A721A"/>
    <w:rsid w:val="72A35245"/>
    <w:rsid w:val="72A57FB6"/>
    <w:rsid w:val="72B02165"/>
    <w:rsid w:val="72B33DC4"/>
    <w:rsid w:val="72C03049"/>
    <w:rsid w:val="72C64940"/>
    <w:rsid w:val="72CB15CF"/>
    <w:rsid w:val="72D33B17"/>
    <w:rsid w:val="72DB5E5A"/>
    <w:rsid w:val="72EB2A1C"/>
    <w:rsid w:val="72ED5B3C"/>
    <w:rsid w:val="72EF217B"/>
    <w:rsid w:val="72F07519"/>
    <w:rsid w:val="72F801BE"/>
    <w:rsid w:val="72FC0189"/>
    <w:rsid w:val="72FD5DFE"/>
    <w:rsid w:val="73061929"/>
    <w:rsid w:val="73111C80"/>
    <w:rsid w:val="731B0714"/>
    <w:rsid w:val="731C45DE"/>
    <w:rsid w:val="73245770"/>
    <w:rsid w:val="732467B2"/>
    <w:rsid w:val="733B2E2A"/>
    <w:rsid w:val="733E788E"/>
    <w:rsid w:val="734906BE"/>
    <w:rsid w:val="734A3CB2"/>
    <w:rsid w:val="734A67C2"/>
    <w:rsid w:val="734B74EC"/>
    <w:rsid w:val="73506087"/>
    <w:rsid w:val="73717383"/>
    <w:rsid w:val="737D63A9"/>
    <w:rsid w:val="73811480"/>
    <w:rsid w:val="739D21DC"/>
    <w:rsid w:val="73AE2086"/>
    <w:rsid w:val="73B04CD8"/>
    <w:rsid w:val="73B77CCE"/>
    <w:rsid w:val="73B83711"/>
    <w:rsid w:val="73BE4B0C"/>
    <w:rsid w:val="73C15B16"/>
    <w:rsid w:val="73C2755F"/>
    <w:rsid w:val="73C95EB9"/>
    <w:rsid w:val="73D15F34"/>
    <w:rsid w:val="73D93C43"/>
    <w:rsid w:val="73DA3D12"/>
    <w:rsid w:val="73DF2BD6"/>
    <w:rsid w:val="73E63522"/>
    <w:rsid w:val="73E710B2"/>
    <w:rsid w:val="73ED5484"/>
    <w:rsid w:val="73F054A0"/>
    <w:rsid w:val="73F86832"/>
    <w:rsid w:val="7404031E"/>
    <w:rsid w:val="74075FF2"/>
    <w:rsid w:val="74077049"/>
    <w:rsid w:val="740B6574"/>
    <w:rsid w:val="740D5C19"/>
    <w:rsid w:val="74123DAE"/>
    <w:rsid w:val="74171385"/>
    <w:rsid w:val="74175968"/>
    <w:rsid w:val="7419596F"/>
    <w:rsid w:val="741C5E1F"/>
    <w:rsid w:val="742605D8"/>
    <w:rsid w:val="74294E58"/>
    <w:rsid w:val="74394005"/>
    <w:rsid w:val="743E64B0"/>
    <w:rsid w:val="74455E3E"/>
    <w:rsid w:val="744636F7"/>
    <w:rsid w:val="74472F2E"/>
    <w:rsid w:val="74543C82"/>
    <w:rsid w:val="74592AB8"/>
    <w:rsid w:val="745C7841"/>
    <w:rsid w:val="74675DEF"/>
    <w:rsid w:val="746827CA"/>
    <w:rsid w:val="746A3F46"/>
    <w:rsid w:val="746D58A5"/>
    <w:rsid w:val="74765825"/>
    <w:rsid w:val="747E66E5"/>
    <w:rsid w:val="748E0555"/>
    <w:rsid w:val="748E57E1"/>
    <w:rsid w:val="749618FE"/>
    <w:rsid w:val="74993C4C"/>
    <w:rsid w:val="749D1216"/>
    <w:rsid w:val="74A36E6B"/>
    <w:rsid w:val="74A84475"/>
    <w:rsid w:val="74B025D6"/>
    <w:rsid w:val="74B40228"/>
    <w:rsid w:val="74C819EE"/>
    <w:rsid w:val="74C9353B"/>
    <w:rsid w:val="74E615E4"/>
    <w:rsid w:val="74E729E1"/>
    <w:rsid w:val="74E75E76"/>
    <w:rsid w:val="74EE094C"/>
    <w:rsid w:val="74F11B31"/>
    <w:rsid w:val="74F23BC8"/>
    <w:rsid w:val="74F91FE5"/>
    <w:rsid w:val="74FC5754"/>
    <w:rsid w:val="74FD2A77"/>
    <w:rsid w:val="75022839"/>
    <w:rsid w:val="75090522"/>
    <w:rsid w:val="750C5BA6"/>
    <w:rsid w:val="750D013E"/>
    <w:rsid w:val="750D646C"/>
    <w:rsid w:val="750D76D6"/>
    <w:rsid w:val="75190424"/>
    <w:rsid w:val="75191693"/>
    <w:rsid w:val="75194BB8"/>
    <w:rsid w:val="751A1F99"/>
    <w:rsid w:val="751A7693"/>
    <w:rsid w:val="752104F4"/>
    <w:rsid w:val="75240BCE"/>
    <w:rsid w:val="75240CE2"/>
    <w:rsid w:val="75250CF5"/>
    <w:rsid w:val="7526577B"/>
    <w:rsid w:val="7528123C"/>
    <w:rsid w:val="753556B6"/>
    <w:rsid w:val="753B7D4C"/>
    <w:rsid w:val="754B1C4A"/>
    <w:rsid w:val="75576D52"/>
    <w:rsid w:val="755D32B4"/>
    <w:rsid w:val="75607D9A"/>
    <w:rsid w:val="756721EC"/>
    <w:rsid w:val="756846CE"/>
    <w:rsid w:val="756E5C0B"/>
    <w:rsid w:val="756F5619"/>
    <w:rsid w:val="756F6D94"/>
    <w:rsid w:val="75742221"/>
    <w:rsid w:val="75775E4F"/>
    <w:rsid w:val="757A31C9"/>
    <w:rsid w:val="757A6C56"/>
    <w:rsid w:val="757D597D"/>
    <w:rsid w:val="7584218E"/>
    <w:rsid w:val="75842F68"/>
    <w:rsid w:val="7598458F"/>
    <w:rsid w:val="759F13B1"/>
    <w:rsid w:val="75A62F72"/>
    <w:rsid w:val="75A90F69"/>
    <w:rsid w:val="75AC6DCC"/>
    <w:rsid w:val="75B2371C"/>
    <w:rsid w:val="75B23F87"/>
    <w:rsid w:val="75B63837"/>
    <w:rsid w:val="75C018B1"/>
    <w:rsid w:val="75C3630D"/>
    <w:rsid w:val="75D463DB"/>
    <w:rsid w:val="75DE7624"/>
    <w:rsid w:val="75E01B43"/>
    <w:rsid w:val="75E23563"/>
    <w:rsid w:val="75E44E44"/>
    <w:rsid w:val="75ED5C1C"/>
    <w:rsid w:val="76092310"/>
    <w:rsid w:val="760A5B84"/>
    <w:rsid w:val="76170FFD"/>
    <w:rsid w:val="761965C1"/>
    <w:rsid w:val="761A5624"/>
    <w:rsid w:val="761C043A"/>
    <w:rsid w:val="762043F9"/>
    <w:rsid w:val="76267FAB"/>
    <w:rsid w:val="76296914"/>
    <w:rsid w:val="762A4E8F"/>
    <w:rsid w:val="762B5C9E"/>
    <w:rsid w:val="76413731"/>
    <w:rsid w:val="76470497"/>
    <w:rsid w:val="7647366A"/>
    <w:rsid w:val="76480665"/>
    <w:rsid w:val="764814AC"/>
    <w:rsid w:val="764B31EE"/>
    <w:rsid w:val="764C5AB7"/>
    <w:rsid w:val="764E40D2"/>
    <w:rsid w:val="76514727"/>
    <w:rsid w:val="7657294E"/>
    <w:rsid w:val="765836DF"/>
    <w:rsid w:val="7668003F"/>
    <w:rsid w:val="766A1F93"/>
    <w:rsid w:val="767021B0"/>
    <w:rsid w:val="767D1D27"/>
    <w:rsid w:val="768A0A7D"/>
    <w:rsid w:val="768D3A1C"/>
    <w:rsid w:val="768F16F3"/>
    <w:rsid w:val="768F597D"/>
    <w:rsid w:val="76997EC1"/>
    <w:rsid w:val="769A235F"/>
    <w:rsid w:val="769B008A"/>
    <w:rsid w:val="769F05BE"/>
    <w:rsid w:val="76A1180D"/>
    <w:rsid w:val="76A44E64"/>
    <w:rsid w:val="76AC21EB"/>
    <w:rsid w:val="76B50294"/>
    <w:rsid w:val="76BB5AC8"/>
    <w:rsid w:val="76C2790F"/>
    <w:rsid w:val="76C823B1"/>
    <w:rsid w:val="76D00E40"/>
    <w:rsid w:val="76D46447"/>
    <w:rsid w:val="76DA7C9C"/>
    <w:rsid w:val="76DC365B"/>
    <w:rsid w:val="76E135FA"/>
    <w:rsid w:val="76E65696"/>
    <w:rsid w:val="76ED12DD"/>
    <w:rsid w:val="76EF1746"/>
    <w:rsid w:val="76F14598"/>
    <w:rsid w:val="76F400A7"/>
    <w:rsid w:val="76FD202D"/>
    <w:rsid w:val="76FE5F82"/>
    <w:rsid w:val="76FF11EA"/>
    <w:rsid w:val="77077FC1"/>
    <w:rsid w:val="771234BC"/>
    <w:rsid w:val="771811D8"/>
    <w:rsid w:val="77203726"/>
    <w:rsid w:val="77215E27"/>
    <w:rsid w:val="77241D0B"/>
    <w:rsid w:val="77393272"/>
    <w:rsid w:val="77472D07"/>
    <w:rsid w:val="77497674"/>
    <w:rsid w:val="774C0218"/>
    <w:rsid w:val="77506283"/>
    <w:rsid w:val="775674FB"/>
    <w:rsid w:val="77577996"/>
    <w:rsid w:val="775B6826"/>
    <w:rsid w:val="77600569"/>
    <w:rsid w:val="77600BA2"/>
    <w:rsid w:val="776476B7"/>
    <w:rsid w:val="776575E6"/>
    <w:rsid w:val="77695439"/>
    <w:rsid w:val="776D5520"/>
    <w:rsid w:val="77790BBB"/>
    <w:rsid w:val="77823071"/>
    <w:rsid w:val="77824046"/>
    <w:rsid w:val="77885AA5"/>
    <w:rsid w:val="778C677D"/>
    <w:rsid w:val="77920052"/>
    <w:rsid w:val="779B05B6"/>
    <w:rsid w:val="779C280F"/>
    <w:rsid w:val="779D7E65"/>
    <w:rsid w:val="77A65BC5"/>
    <w:rsid w:val="77A96450"/>
    <w:rsid w:val="77B03FB4"/>
    <w:rsid w:val="77B73DC3"/>
    <w:rsid w:val="77B80AD4"/>
    <w:rsid w:val="77C23C42"/>
    <w:rsid w:val="77C44AD2"/>
    <w:rsid w:val="77D7503C"/>
    <w:rsid w:val="77D9589A"/>
    <w:rsid w:val="77E82CB4"/>
    <w:rsid w:val="77EB6891"/>
    <w:rsid w:val="77EB6F2A"/>
    <w:rsid w:val="77F23B62"/>
    <w:rsid w:val="77FA3DEF"/>
    <w:rsid w:val="7811723C"/>
    <w:rsid w:val="78136736"/>
    <w:rsid w:val="781E7B10"/>
    <w:rsid w:val="78226D33"/>
    <w:rsid w:val="782B21AD"/>
    <w:rsid w:val="78340DDF"/>
    <w:rsid w:val="78397410"/>
    <w:rsid w:val="783B1E95"/>
    <w:rsid w:val="783B53DE"/>
    <w:rsid w:val="783C1D4B"/>
    <w:rsid w:val="78434C07"/>
    <w:rsid w:val="78484459"/>
    <w:rsid w:val="785555B1"/>
    <w:rsid w:val="785A309F"/>
    <w:rsid w:val="785A5EAF"/>
    <w:rsid w:val="78643426"/>
    <w:rsid w:val="7865137A"/>
    <w:rsid w:val="7867670D"/>
    <w:rsid w:val="786A2CE0"/>
    <w:rsid w:val="786D2E36"/>
    <w:rsid w:val="78711921"/>
    <w:rsid w:val="78711E52"/>
    <w:rsid w:val="78726058"/>
    <w:rsid w:val="787E01B8"/>
    <w:rsid w:val="787E33AC"/>
    <w:rsid w:val="787E57B0"/>
    <w:rsid w:val="78914BDB"/>
    <w:rsid w:val="78987EB5"/>
    <w:rsid w:val="78A15C06"/>
    <w:rsid w:val="78AD4D28"/>
    <w:rsid w:val="78B27156"/>
    <w:rsid w:val="78B85A70"/>
    <w:rsid w:val="78BE2A3B"/>
    <w:rsid w:val="78BE63BE"/>
    <w:rsid w:val="78C029E5"/>
    <w:rsid w:val="78C923BE"/>
    <w:rsid w:val="78CF36F4"/>
    <w:rsid w:val="78D15B2F"/>
    <w:rsid w:val="78D33E07"/>
    <w:rsid w:val="78DA7D6D"/>
    <w:rsid w:val="78E248DF"/>
    <w:rsid w:val="78E97EF5"/>
    <w:rsid w:val="78EC2E04"/>
    <w:rsid w:val="78F515A3"/>
    <w:rsid w:val="78FA3C5F"/>
    <w:rsid w:val="78FB0B14"/>
    <w:rsid w:val="78FC7A09"/>
    <w:rsid w:val="79005A05"/>
    <w:rsid w:val="790B7D58"/>
    <w:rsid w:val="791F787A"/>
    <w:rsid w:val="79286112"/>
    <w:rsid w:val="793D42E6"/>
    <w:rsid w:val="793E6B51"/>
    <w:rsid w:val="79411821"/>
    <w:rsid w:val="7944306D"/>
    <w:rsid w:val="794C0F8C"/>
    <w:rsid w:val="79566704"/>
    <w:rsid w:val="795E7B5C"/>
    <w:rsid w:val="79651899"/>
    <w:rsid w:val="796900B4"/>
    <w:rsid w:val="796C6956"/>
    <w:rsid w:val="79703EA3"/>
    <w:rsid w:val="797226C7"/>
    <w:rsid w:val="797579F1"/>
    <w:rsid w:val="797B591E"/>
    <w:rsid w:val="798438E7"/>
    <w:rsid w:val="79925848"/>
    <w:rsid w:val="79961828"/>
    <w:rsid w:val="79994252"/>
    <w:rsid w:val="799E384B"/>
    <w:rsid w:val="79A118AB"/>
    <w:rsid w:val="79A84179"/>
    <w:rsid w:val="79AE54B2"/>
    <w:rsid w:val="79AF4204"/>
    <w:rsid w:val="79B80FDC"/>
    <w:rsid w:val="79BF258E"/>
    <w:rsid w:val="79C64BB4"/>
    <w:rsid w:val="79C97EF1"/>
    <w:rsid w:val="79D1253C"/>
    <w:rsid w:val="79D24238"/>
    <w:rsid w:val="79D45BE9"/>
    <w:rsid w:val="79D80CB6"/>
    <w:rsid w:val="79D8123A"/>
    <w:rsid w:val="79DA090D"/>
    <w:rsid w:val="79E83F30"/>
    <w:rsid w:val="79EF766E"/>
    <w:rsid w:val="79F24F99"/>
    <w:rsid w:val="7A090CEA"/>
    <w:rsid w:val="7A0B5527"/>
    <w:rsid w:val="7A0D400D"/>
    <w:rsid w:val="7A1538F5"/>
    <w:rsid w:val="7A170C27"/>
    <w:rsid w:val="7A2B2B27"/>
    <w:rsid w:val="7A2F3017"/>
    <w:rsid w:val="7A34241E"/>
    <w:rsid w:val="7A3B41CF"/>
    <w:rsid w:val="7A406EC0"/>
    <w:rsid w:val="7A421962"/>
    <w:rsid w:val="7A444841"/>
    <w:rsid w:val="7A5522A6"/>
    <w:rsid w:val="7A592C58"/>
    <w:rsid w:val="7A6F16FF"/>
    <w:rsid w:val="7A701A69"/>
    <w:rsid w:val="7A8028DA"/>
    <w:rsid w:val="7A8563B7"/>
    <w:rsid w:val="7A8653F9"/>
    <w:rsid w:val="7A8F0695"/>
    <w:rsid w:val="7A993203"/>
    <w:rsid w:val="7A993416"/>
    <w:rsid w:val="7AAE6CBF"/>
    <w:rsid w:val="7ABB4847"/>
    <w:rsid w:val="7ABD23F6"/>
    <w:rsid w:val="7AC13ADD"/>
    <w:rsid w:val="7AC15F30"/>
    <w:rsid w:val="7AC317D0"/>
    <w:rsid w:val="7AC47656"/>
    <w:rsid w:val="7AD360DF"/>
    <w:rsid w:val="7ADC4E64"/>
    <w:rsid w:val="7ADC5F83"/>
    <w:rsid w:val="7AE62CFC"/>
    <w:rsid w:val="7AED4CD0"/>
    <w:rsid w:val="7AF505A9"/>
    <w:rsid w:val="7AF671F4"/>
    <w:rsid w:val="7AF92162"/>
    <w:rsid w:val="7AFB6F72"/>
    <w:rsid w:val="7AFF3514"/>
    <w:rsid w:val="7B015A6D"/>
    <w:rsid w:val="7B0545A0"/>
    <w:rsid w:val="7B087438"/>
    <w:rsid w:val="7B0A32EB"/>
    <w:rsid w:val="7B0A3608"/>
    <w:rsid w:val="7B0B7796"/>
    <w:rsid w:val="7B0D140E"/>
    <w:rsid w:val="7B173CA6"/>
    <w:rsid w:val="7B175252"/>
    <w:rsid w:val="7B2E407E"/>
    <w:rsid w:val="7B32103C"/>
    <w:rsid w:val="7B3258F3"/>
    <w:rsid w:val="7B3530AD"/>
    <w:rsid w:val="7B413516"/>
    <w:rsid w:val="7B4A7A65"/>
    <w:rsid w:val="7B64306E"/>
    <w:rsid w:val="7B665B68"/>
    <w:rsid w:val="7B6910B8"/>
    <w:rsid w:val="7B766B54"/>
    <w:rsid w:val="7B806B4E"/>
    <w:rsid w:val="7B817687"/>
    <w:rsid w:val="7B8E0492"/>
    <w:rsid w:val="7B9907FD"/>
    <w:rsid w:val="7BA349CD"/>
    <w:rsid w:val="7BA8374F"/>
    <w:rsid w:val="7BA87F05"/>
    <w:rsid w:val="7BAB3C3B"/>
    <w:rsid w:val="7BAF2E58"/>
    <w:rsid w:val="7BAF787E"/>
    <w:rsid w:val="7BB44C71"/>
    <w:rsid w:val="7BB54AAF"/>
    <w:rsid w:val="7BBA2FBC"/>
    <w:rsid w:val="7BBD2158"/>
    <w:rsid w:val="7BBE29D6"/>
    <w:rsid w:val="7BBF1879"/>
    <w:rsid w:val="7BC7248F"/>
    <w:rsid w:val="7BC7695D"/>
    <w:rsid w:val="7BC8025D"/>
    <w:rsid w:val="7BC83CB9"/>
    <w:rsid w:val="7BC95FB4"/>
    <w:rsid w:val="7BCC2119"/>
    <w:rsid w:val="7BD02D2E"/>
    <w:rsid w:val="7BD90C8B"/>
    <w:rsid w:val="7BDB379C"/>
    <w:rsid w:val="7BDC0A45"/>
    <w:rsid w:val="7BE530A6"/>
    <w:rsid w:val="7BEA1B5C"/>
    <w:rsid w:val="7BEA1E4C"/>
    <w:rsid w:val="7BF824E1"/>
    <w:rsid w:val="7BFC4E1C"/>
    <w:rsid w:val="7BFE49B8"/>
    <w:rsid w:val="7C020B40"/>
    <w:rsid w:val="7C030048"/>
    <w:rsid w:val="7C0537A3"/>
    <w:rsid w:val="7C0639F1"/>
    <w:rsid w:val="7C067A19"/>
    <w:rsid w:val="7C164F24"/>
    <w:rsid w:val="7C2C3087"/>
    <w:rsid w:val="7C32553F"/>
    <w:rsid w:val="7C3A0981"/>
    <w:rsid w:val="7C512414"/>
    <w:rsid w:val="7C584926"/>
    <w:rsid w:val="7C585634"/>
    <w:rsid w:val="7C5C67BB"/>
    <w:rsid w:val="7C603B8D"/>
    <w:rsid w:val="7C633AF3"/>
    <w:rsid w:val="7C665566"/>
    <w:rsid w:val="7C696184"/>
    <w:rsid w:val="7C6E086A"/>
    <w:rsid w:val="7C780D81"/>
    <w:rsid w:val="7C7B5199"/>
    <w:rsid w:val="7C7B5F13"/>
    <w:rsid w:val="7C7C5EAB"/>
    <w:rsid w:val="7C854940"/>
    <w:rsid w:val="7C870D0F"/>
    <w:rsid w:val="7C891466"/>
    <w:rsid w:val="7C9167B4"/>
    <w:rsid w:val="7C9B4647"/>
    <w:rsid w:val="7CA3562D"/>
    <w:rsid w:val="7CA55E5D"/>
    <w:rsid w:val="7CB6795B"/>
    <w:rsid w:val="7CB916E7"/>
    <w:rsid w:val="7CBB2192"/>
    <w:rsid w:val="7CBE2320"/>
    <w:rsid w:val="7CC301E4"/>
    <w:rsid w:val="7CC5664E"/>
    <w:rsid w:val="7CC73365"/>
    <w:rsid w:val="7CCB20AB"/>
    <w:rsid w:val="7CD0299E"/>
    <w:rsid w:val="7CD33ED8"/>
    <w:rsid w:val="7CD443C1"/>
    <w:rsid w:val="7CD72199"/>
    <w:rsid w:val="7CE67E9E"/>
    <w:rsid w:val="7CE923FC"/>
    <w:rsid w:val="7CEC28F1"/>
    <w:rsid w:val="7CEE6ECC"/>
    <w:rsid w:val="7CF245A7"/>
    <w:rsid w:val="7CF6170A"/>
    <w:rsid w:val="7CF904EF"/>
    <w:rsid w:val="7D003F10"/>
    <w:rsid w:val="7D123C5F"/>
    <w:rsid w:val="7D2147A1"/>
    <w:rsid w:val="7D284099"/>
    <w:rsid w:val="7D351B61"/>
    <w:rsid w:val="7D390638"/>
    <w:rsid w:val="7D3B55F2"/>
    <w:rsid w:val="7D447776"/>
    <w:rsid w:val="7D4F0BD7"/>
    <w:rsid w:val="7D5653A0"/>
    <w:rsid w:val="7D7E37A0"/>
    <w:rsid w:val="7D852CDC"/>
    <w:rsid w:val="7D94467A"/>
    <w:rsid w:val="7D982E12"/>
    <w:rsid w:val="7D990634"/>
    <w:rsid w:val="7D9A5540"/>
    <w:rsid w:val="7DA451B7"/>
    <w:rsid w:val="7DB71DFB"/>
    <w:rsid w:val="7DB75407"/>
    <w:rsid w:val="7DBC14CC"/>
    <w:rsid w:val="7DBC4165"/>
    <w:rsid w:val="7DC56063"/>
    <w:rsid w:val="7DD342D4"/>
    <w:rsid w:val="7DD90CFC"/>
    <w:rsid w:val="7DD93FD4"/>
    <w:rsid w:val="7DDA4D8E"/>
    <w:rsid w:val="7DE1623F"/>
    <w:rsid w:val="7DE24063"/>
    <w:rsid w:val="7DE53DC8"/>
    <w:rsid w:val="7DED0E7A"/>
    <w:rsid w:val="7DEF7D9D"/>
    <w:rsid w:val="7DF30DEC"/>
    <w:rsid w:val="7DF417E8"/>
    <w:rsid w:val="7DFB2C06"/>
    <w:rsid w:val="7E0B54E7"/>
    <w:rsid w:val="7E0D039A"/>
    <w:rsid w:val="7E121A20"/>
    <w:rsid w:val="7E18633C"/>
    <w:rsid w:val="7E1F194C"/>
    <w:rsid w:val="7E20322A"/>
    <w:rsid w:val="7E256648"/>
    <w:rsid w:val="7E324E10"/>
    <w:rsid w:val="7E3D24F2"/>
    <w:rsid w:val="7E482FFB"/>
    <w:rsid w:val="7E4F5B7B"/>
    <w:rsid w:val="7E5002C1"/>
    <w:rsid w:val="7E522723"/>
    <w:rsid w:val="7E585B03"/>
    <w:rsid w:val="7E5948FF"/>
    <w:rsid w:val="7E5957A6"/>
    <w:rsid w:val="7E5E0D85"/>
    <w:rsid w:val="7E6027D6"/>
    <w:rsid w:val="7E611BB9"/>
    <w:rsid w:val="7E6B2153"/>
    <w:rsid w:val="7E6C4CCF"/>
    <w:rsid w:val="7E6D2FEB"/>
    <w:rsid w:val="7E6E57DA"/>
    <w:rsid w:val="7E7B1A48"/>
    <w:rsid w:val="7E805831"/>
    <w:rsid w:val="7E813B7D"/>
    <w:rsid w:val="7E825752"/>
    <w:rsid w:val="7E8F52A1"/>
    <w:rsid w:val="7E901175"/>
    <w:rsid w:val="7E9B3D9D"/>
    <w:rsid w:val="7E9D5E92"/>
    <w:rsid w:val="7EA510B5"/>
    <w:rsid w:val="7EAC0CA5"/>
    <w:rsid w:val="7EAD0A15"/>
    <w:rsid w:val="7EB0433B"/>
    <w:rsid w:val="7EB61375"/>
    <w:rsid w:val="7EBE3E48"/>
    <w:rsid w:val="7EC10CBD"/>
    <w:rsid w:val="7EC73962"/>
    <w:rsid w:val="7EC849A4"/>
    <w:rsid w:val="7ECF792E"/>
    <w:rsid w:val="7ED1553A"/>
    <w:rsid w:val="7ED160F4"/>
    <w:rsid w:val="7ED4447F"/>
    <w:rsid w:val="7ED60321"/>
    <w:rsid w:val="7ED607A1"/>
    <w:rsid w:val="7ED700D8"/>
    <w:rsid w:val="7EE72E91"/>
    <w:rsid w:val="7EE852B4"/>
    <w:rsid w:val="7EEA2709"/>
    <w:rsid w:val="7EEB00C0"/>
    <w:rsid w:val="7EEB0C09"/>
    <w:rsid w:val="7EF13C09"/>
    <w:rsid w:val="7EF14F41"/>
    <w:rsid w:val="7F0A5611"/>
    <w:rsid w:val="7F0B657E"/>
    <w:rsid w:val="7F135AC9"/>
    <w:rsid w:val="7F1B1C9A"/>
    <w:rsid w:val="7F1E5F9B"/>
    <w:rsid w:val="7F243F95"/>
    <w:rsid w:val="7F262B76"/>
    <w:rsid w:val="7F2A03AF"/>
    <w:rsid w:val="7F2C68CD"/>
    <w:rsid w:val="7F2F259F"/>
    <w:rsid w:val="7F3867B7"/>
    <w:rsid w:val="7F4032A6"/>
    <w:rsid w:val="7F455CBE"/>
    <w:rsid w:val="7F4925E7"/>
    <w:rsid w:val="7F4A3B5C"/>
    <w:rsid w:val="7F4E33C6"/>
    <w:rsid w:val="7F513C75"/>
    <w:rsid w:val="7F577B90"/>
    <w:rsid w:val="7F607B4C"/>
    <w:rsid w:val="7F612174"/>
    <w:rsid w:val="7F6B5C69"/>
    <w:rsid w:val="7F751F2D"/>
    <w:rsid w:val="7F7C3F06"/>
    <w:rsid w:val="7F8521E5"/>
    <w:rsid w:val="7F85614D"/>
    <w:rsid w:val="7F8E485F"/>
    <w:rsid w:val="7F907993"/>
    <w:rsid w:val="7F912C95"/>
    <w:rsid w:val="7F954053"/>
    <w:rsid w:val="7F992818"/>
    <w:rsid w:val="7FA51CD2"/>
    <w:rsid w:val="7FAB740A"/>
    <w:rsid w:val="7FAC45AE"/>
    <w:rsid w:val="7FAD4AA2"/>
    <w:rsid w:val="7FC56204"/>
    <w:rsid w:val="7FC71B8B"/>
    <w:rsid w:val="7FCE45C8"/>
    <w:rsid w:val="7FD26A9C"/>
    <w:rsid w:val="7FD802CD"/>
    <w:rsid w:val="7FDF2F7B"/>
    <w:rsid w:val="7FE13ACA"/>
    <w:rsid w:val="7FE75A75"/>
    <w:rsid w:val="7FE96981"/>
    <w:rsid w:val="7FF2120C"/>
    <w:rsid w:val="7FF22A00"/>
    <w:rsid w:val="7FF61402"/>
    <w:rsid w:val="7FF86449"/>
    <w:rsid w:val="7FFC55F8"/>
    <w:rsid w:val="7FFF58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39"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640" w:firstLineChars="200"/>
      <w:jc w:val="both"/>
    </w:pPr>
    <w:rPr>
      <w:rFonts w:ascii="Times New Roman" w:hAnsi="Times New Roman" w:eastAsia="仿宋_GB2312" w:cs="Times New Roman"/>
      <w:kern w:val="2"/>
      <w:sz w:val="32"/>
      <w:szCs w:val="24"/>
      <w:lang w:val="en-US" w:eastAsia="zh-CN" w:bidi="ar-SA"/>
    </w:rPr>
  </w:style>
  <w:style w:type="paragraph" w:styleId="4">
    <w:name w:val="heading 1"/>
    <w:basedOn w:val="1"/>
    <w:next w:val="1"/>
    <w:qFormat/>
    <w:uiPriority w:val="0"/>
    <w:pPr>
      <w:keepNext/>
      <w:keepLines/>
      <w:spacing w:before="260" w:after="260"/>
      <w:ind w:firstLine="720"/>
      <w:jc w:val="left"/>
      <w:outlineLvl w:val="0"/>
    </w:pPr>
    <w:rPr>
      <w:rFonts w:eastAsia="黑体"/>
      <w:b/>
      <w:kern w:val="44"/>
    </w:rPr>
  </w:style>
  <w:style w:type="paragraph" w:styleId="5">
    <w:name w:val="heading 2"/>
    <w:basedOn w:val="1"/>
    <w:next w:val="1"/>
    <w:qFormat/>
    <w:uiPriority w:val="0"/>
    <w:pPr>
      <w:jc w:val="left"/>
      <w:outlineLvl w:val="1"/>
    </w:pPr>
    <w:rPr>
      <w:rFonts w:hint="eastAsia" w:eastAsia="楷体_GB2312"/>
      <w:b/>
      <w:kern w:val="0"/>
      <w:szCs w:val="32"/>
    </w:rPr>
  </w:style>
  <w:style w:type="paragraph" w:styleId="6">
    <w:name w:val="heading 3"/>
    <w:basedOn w:val="7"/>
    <w:next w:val="7"/>
    <w:qFormat/>
    <w:uiPriority w:val="0"/>
    <w:pPr>
      <w:ind w:firstLine="0" w:firstLineChars="0"/>
      <w:jc w:val="left"/>
      <w:outlineLvl w:val="2"/>
    </w:pPr>
    <w:rPr>
      <w:rFonts w:hint="eastAsia" w:ascii="宋体" w:hAnsi="宋体"/>
      <w:b/>
      <w:kern w:val="0"/>
      <w:szCs w:val="27"/>
    </w:rPr>
  </w:style>
  <w:style w:type="paragraph" w:styleId="8">
    <w:name w:val="heading 4"/>
    <w:basedOn w:val="1"/>
    <w:next w:val="1"/>
    <w:qFormat/>
    <w:uiPriority w:val="0"/>
    <w:pPr>
      <w:keepNext/>
      <w:keepLines/>
      <w:outlineLvl w:val="3"/>
    </w:pPr>
    <w:rPr>
      <w:b/>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left="0" w:leftChars="0" w:firstLine="0" w:firstLineChars="0"/>
      <w:jc w:val="left"/>
    </w:pPr>
  </w:style>
  <w:style w:type="paragraph" w:styleId="3">
    <w:name w:val="Body Text Indent"/>
    <w:basedOn w:val="1"/>
    <w:next w:val="2"/>
    <w:qFormat/>
    <w:uiPriority w:val="0"/>
    <w:pPr>
      <w:spacing w:after="120"/>
      <w:ind w:left="420" w:leftChars="200"/>
    </w:pPr>
  </w:style>
  <w:style w:type="paragraph" w:customStyle="1" w:styleId="7">
    <w:name w:val="引文目录1"/>
    <w:basedOn w:val="1"/>
    <w:next w:val="1"/>
    <w:qFormat/>
    <w:uiPriority w:val="99"/>
    <w:pPr>
      <w:ind w:left="200" w:leftChars="200"/>
    </w:pPr>
  </w:style>
  <w:style w:type="paragraph" w:styleId="9">
    <w:name w:val="Normal Indent"/>
    <w:basedOn w:val="1"/>
    <w:qFormat/>
    <w:uiPriority w:val="0"/>
    <w:pPr>
      <w:ind w:firstLine="420" w:firstLineChars="200"/>
    </w:pPr>
  </w:style>
  <w:style w:type="paragraph" w:styleId="10">
    <w:name w:val="Document Map"/>
    <w:basedOn w:val="1"/>
    <w:link w:val="45"/>
    <w:qFormat/>
    <w:uiPriority w:val="0"/>
    <w:rPr>
      <w:rFonts w:ascii="宋体" w:eastAsia="宋体"/>
      <w:sz w:val="18"/>
      <w:szCs w:val="18"/>
    </w:rPr>
  </w:style>
  <w:style w:type="paragraph" w:styleId="11">
    <w:name w:val="annotation text"/>
    <w:basedOn w:val="1"/>
    <w:qFormat/>
    <w:uiPriority w:val="0"/>
    <w:pPr>
      <w:jc w:val="left"/>
    </w:pPr>
  </w:style>
  <w:style w:type="paragraph" w:styleId="12">
    <w:name w:val="Body Text"/>
    <w:basedOn w:val="1"/>
    <w:link w:val="41"/>
    <w:qFormat/>
    <w:uiPriority w:val="1"/>
    <w:pPr>
      <w:spacing w:line="360" w:lineRule="auto"/>
      <w:jc w:val="left"/>
    </w:pPr>
    <w:rPr>
      <w:rFonts w:eastAsia="宋体" w:cs="微软雅黑"/>
      <w:sz w:val="24"/>
      <w:lang w:val="zh-CN" w:bidi="zh-CN"/>
    </w:rPr>
  </w:style>
  <w:style w:type="paragraph" w:styleId="13">
    <w:name w:val="toc 3"/>
    <w:basedOn w:val="1"/>
    <w:next w:val="1"/>
    <w:qFormat/>
    <w:uiPriority w:val="0"/>
    <w:pPr>
      <w:ind w:left="840" w:leftChars="400"/>
    </w:pPr>
  </w:style>
  <w:style w:type="paragraph" w:styleId="14">
    <w:name w:val="Balloon Text"/>
    <w:basedOn w:val="1"/>
    <w:link w:val="44"/>
    <w:qFormat/>
    <w:uiPriority w:val="0"/>
    <w:pPr>
      <w:spacing w:line="240" w:lineRule="auto"/>
    </w:pPr>
    <w:rPr>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7">
    <w:name w:val="toc 1"/>
    <w:basedOn w:val="1"/>
    <w:next w:val="1"/>
    <w:qFormat/>
    <w:uiPriority w:val="0"/>
  </w:style>
  <w:style w:type="paragraph" w:styleId="18">
    <w:name w:val="toc 4"/>
    <w:basedOn w:val="1"/>
    <w:next w:val="1"/>
    <w:qFormat/>
    <w:uiPriority w:val="39"/>
    <w:pPr>
      <w:ind w:left="1260" w:leftChars="600"/>
    </w:pPr>
  </w:style>
  <w:style w:type="paragraph" w:styleId="19">
    <w:name w:val="footnote text"/>
    <w:basedOn w:val="1"/>
    <w:qFormat/>
    <w:uiPriority w:val="0"/>
    <w:pPr>
      <w:snapToGrid w:val="0"/>
      <w:jc w:val="left"/>
    </w:pPr>
    <w:rPr>
      <w:sz w:val="18"/>
    </w:rPr>
  </w:style>
  <w:style w:type="paragraph" w:styleId="20">
    <w:name w:val="toc 6"/>
    <w:basedOn w:val="1"/>
    <w:next w:val="1"/>
    <w:unhideWhenUsed/>
    <w:qFormat/>
    <w:uiPriority w:val="39"/>
    <w:pPr>
      <w:ind w:left="2100" w:leftChars="1000"/>
    </w:pPr>
  </w:style>
  <w:style w:type="paragraph" w:styleId="21">
    <w:name w:val="toc 2"/>
    <w:basedOn w:val="1"/>
    <w:next w:val="1"/>
    <w:qFormat/>
    <w:uiPriority w:val="0"/>
    <w:pPr>
      <w:ind w:left="280"/>
      <w:jc w:val="left"/>
    </w:pPr>
    <w:rPr>
      <w:rFonts w:ascii="Calibri" w:hAnsi="Calibri" w:cs="Calibri"/>
      <w:b/>
      <w:smallCaps/>
      <w:sz w:val="30"/>
      <w:szCs w:val="20"/>
    </w:rPr>
  </w:style>
  <w:style w:type="paragraph" w:styleId="22">
    <w:name w:val="Normal (Web)"/>
    <w:basedOn w:val="1"/>
    <w:qFormat/>
    <w:uiPriority w:val="0"/>
    <w:pPr>
      <w:spacing w:before="100" w:beforeAutospacing="1" w:after="100" w:afterAutospacing="1"/>
      <w:jc w:val="left"/>
    </w:pPr>
    <w:rPr>
      <w:kern w:val="0"/>
      <w:sz w:val="28"/>
    </w:rPr>
  </w:style>
  <w:style w:type="paragraph" w:styleId="23">
    <w:name w:val="Body Text First Indent"/>
    <w:basedOn w:val="12"/>
    <w:qFormat/>
    <w:uiPriority w:val="0"/>
    <w:pPr>
      <w:ind w:firstLine="420"/>
    </w:pPr>
    <w:rPr>
      <w:rFonts w:eastAsia="黑体"/>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rPr>
  </w:style>
  <w:style w:type="character" w:styleId="28">
    <w:name w:val="FollowedHyperlink"/>
    <w:basedOn w:val="26"/>
    <w:qFormat/>
    <w:uiPriority w:val="0"/>
    <w:rPr>
      <w:color w:val="444444"/>
      <w:u w:val="none"/>
    </w:rPr>
  </w:style>
  <w:style w:type="character" w:styleId="29">
    <w:name w:val="Emphasis"/>
    <w:basedOn w:val="26"/>
    <w:qFormat/>
    <w:uiPriority w:val="0"/>
    <w:rPr>
      <w:i/>
    </w:rPr>
  </w:style>
  <w:style w:type="character" w:styleId="30">
    <w:name w:val="Hyperlink"/>
    <w:basedOn w:val="26"/>
    <w:qFormat/>
    <w:uiPriority w:val="0"/>
    <w:rPr>
      <w:color w:val="444444"/>
      <w:u w:val="none"/>
    </w:rPr>
  </w:style>
  <w:style w:type="character" w:styleId="31">
    <w:name w:val="HTML Cite"/>
    <w:basedOn w:val="26"/>
    <w:qFormat/>
    <w:uiPriority w:val="0"/>
    <w:rPr>
      <w:i/>
    </w:rPr>
  </w:style>
  <w:style w:type="character" w:styleId="32">
    <w:name w:val="footnote reference"/>
    <w:basedOn w:val="26"/>
    <w:qFormat/>
    <w:uiPriority w:val="0"/>
    <w:rPr>
      <w:vertAlign w:val="superscript"/>
    </w:rPr>
  </w:style>
  <w:style w:type="paragraph" w:customStyle="1" w:styleId="33">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34">
    <w:name w:val="我的图表目录"/>
    <w:basedOn w:val="1"/>
    <w:link w:val="40"/>
    <w:qFormat/>
    <w:uiPriority w:val="0"/>
    <w:pPr>
      <w:spacing w:line="240" w:lineRule="auto"/>
      <w:ind w:firstLine="0" w:firstLineChars="0"/>
      <w:jc w:val="center"/>
    </w:pPr>
    <w:rPr>
      <w:sz w:val="21"/>
    </w:rPr>
  </w:style>
  <w:style w:type="character" w:customStyle="1" w:styleId="35">
    <w:name w:val="font41"/>
    <w:qFormat/>
    <w:uiPriority w:val="0"/>
    <w:rPr>
      <w:rFonts w:hint="eastAsia" w:ascii="宋体" w:hAnsi="宋体" w:eastAsia="宋体" w:cs="宋体"/>
      <w:color w:val="000000"/>
      <w:sz w:val="20"/>
      <w:szCs w:val="20"/>
      <w:u w:val="none"/>
    </w:rPr>
  </w:style>
  <w:style w:type="paragraph" w:styleId="36">
    <w:name w:val="List Paragraph"/>
    <w:basedOn w:val="1"/>
    <w:qFormat/>
    <w:uiPriority w:val="34"/>
    <w:pPr>
      <w:ind w:firstLine="420"/>
    </w:pPr>
  </w:style>
  <w:style w:type="paragraph" w:customStyle="1" w:styleId="3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8">
    <w:name w:val="专栏"/>
    <w:basedOn w:val="1"/>
    <w:qFormat/>
    <w:uiPriority w:val="0"/>
    <w:pPr>
      <w:jc w:val="left"/>
    </w:pPr>
    <w:rPr>
      <w:sz w:val="21"/>
    </w:rPr>
  </w:style>
  <w:style w:type="paragraph" w:customStyle="1" w:styleId="39">
    <w:name w:val="WPSOffice手动目录 1"/>
    <w:qFormat/>
    <w:uiPriority w:val="0"/>
    <w:rPr>
      <w:rFonts w:ascii="Times New Roman" w:hAnsi="Times New Roman" w:eastAsia="宋体" w:cs="Times New Roman"/>
      <w:lang w:val="en-US" w:eastAsia="zh-CN" w:bidi="ar-SA"/>
    </w:rPr>
  </w:style>
  <w:style w:type="character" w:customStyle="1" w:styleId="40">
    <w:name w:val="我的图表目录 Char"/>
    <w:basedOn w:val="26"/>
    <w:link w:val="34"/>
    <w:qFormat/>
    <w:uiPriority w:val="0"/>
    <w:rPr>
      <w:rFonts w:eastAsia="仿宋_GB2312"/>
      <w:kern w:val="2"/>
      <w:sz w:val="21"/>
      <w:szCs w:val="24"/>
    </w:rPr>
  </w:style>
  <w:style w:type="character" w:customStyle="1" w:styleId="41">
    <w:name w:val="正文文本 Char"/>
    <w:basedOn w:val="40"/>
    <w:link w:val="12"/>
    <w:qFormat/>
    <w:uiPriority w:val="1"/>
    <w:rPr>
      <w:rFonts w:cs="微软雅黑"/>
      <w:sz w:val="24"/>
      <w:lang w:val="zh-CN" w:bidi="zh-CN"/>
    </w:rPr>
  </w:style>
  <w:style w:type="paragraph" w:customStyle="1" w:styleId="42">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43">
    <w:name w:val="正文文字"/>
    <w:next w:val="1"/>
    <w:qFormat/>
    <w:uiPriority w:val="99"/>
    <w:pPr>
      <w:widowControl w:val="0"/>
      <w:spacing w:line="360" w:lineRule="auto"/>
      <w:ind w:firstLine="200" w:firstLineChars="200"/>
    </w:pPr>
    <w:rPr>
      <w:rFonts w:ascii="仿宋_GB2312" w:hAnsi="Times New Roman" w:eastAsia="仿宋_GB2312" w:cs="Times New Roman"/>
      <w:szCs w:val="32"/>
      <w:lang w:val="zh-CN" w:eastAsia="zh-CN" w:bidi="ar-SA"/>
    </w:rPr>
  </w:style>
  <w:style w:type="character" w:customStyle="1" w:styleId="44">
    <w:name w:val="批注框文本 Char"/>
    <w:basedOn w:val="26"/>
    <w:link w:val="14"/>
    <w:qFormat/>
    <w:uiPriority w:val="0"/>
    <w:rPr>
      <w:rFonts w:ascii="Times New Roman" w:hAnsi="Times New Roman" w:eastAsia="仿宋_GB2312"/>
      <w:kern w:val="2"/>
      <w:sz w:val="18"/>
      <w:szCs w:val="18"/>
    </w:rPr>
  </w:style>
  <w:style w:type="character" w:customStyle="1" w:styleId="45">
    <w:name w:val="文档结构图 Char"/>
    <w:basedOn w:val="26"/>
    <w:link w:val="10"/>
    <w:qFormat/>
    <w:uiPriority w:val="0"/>
    <w:rPr>
      <w:rFonts w:ascii="宋体" w:hAnsi="Times New Roman"/>
      <w:kern w:val="2"/>
      <w:sz w:val="18"/>
      <w:szCs w:val="18"/>
    </w:rPr>
  </w:style>
  <w:style w:type="character" w:customStyle="1" w:styleId="46">
    <w:name w:val="font101"/>
    <w:basedOn w:val="26"/>
    <w:qFormat/>
    <w:uiPriority w:val="0"/>
    <w:rPr>
      <w:rFonts w:hint="eastAsia" w:ascii="宋体" w:hAnsi="宋体" w:eastAsia="宋体" w:cs="宋体"/>
      <w:color w:val="000000"/>
      <w:sz w:val="36"/>
      <w:szCs w:val="36"/>
      <w:u w:val="none"/>
    </w:rPr>
  </w:style>
  <w:style w:type="character" w:customStyle="1" w:styleId="47">
    <w:name w:val="font61"/>
    <w:basedOn w:val="26"/>
    <w:qFormat/>
    <w:uiPriority w:val="0"/>
    <w:rPr>
      <w:rFonts w:hint="default" w:ascii="Times New Roman" w:hAnsi="Times New Roman" w:cs="Times New Roman"/>
      <w:color w:val="000000"/>
      <w:sz w:val="36"/>
      <w:szCs w:val="36"/>
      <w:u w:val="none"/>
    </w:rPr>
  </w:style>
  <w:style w:type="character" w:customStyle="1" w:styleId="48">
    <w:name w:val="font01"/>
    <w:basedOn w:val="26"/>
    <w:qFormat/>
    <w:uiPriority w:val="0"/>
    <w:rPr>
      <w:rFonts w:hint="eastAsia" w:ascii="宋体" w:hAnsi="宋体" w:eastAsia="宋体" w:cs="宋体"/>
      <w:color w:val="000000"/>
      <w:sz w:val="36"/>
      <w:szCs w:val="3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101</Pages>
  <Words>50965</Words>
  <Characters>53131</Characters>
  <Lines>181</Lines>
  <Paragraphs>51</Paragraphs>
  <TotalTime>7</TotalTime>
  <ScaleCrop>false</ScaleCrop>
  <LinksUpToDate>false</LinksUpToDate>
  <CharactersWithSpaces>54593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2020-07-25T01:47:00Z</dcterms:created>
  <dc:creator>素心</dc:creator>
  <cp:lastModifiedBy>烦了</cp:lastModifiedBy>
  <cp:lastPrinted>2022-02-23T07:00:00Z</cp:lastPrinted>
  <dcterms:modified xsi:type="dcterms:W3CDTF">2022-06-21T07:27:58Z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EC56C4B8C2EA4781A18F06DAC795310B</vt:lpwstr>
  </property>
</Properties>
</file>