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仿宋_GB2312"/>
          <w:sz w:val="32"/>
          <w:szCs w:val="32"/>
        </w:rPr>
      </w:pPr>
      <w:r>
        <w:rPr>
          <w:rFonts w:hint="eastAsia" w:ascii="黑体" w:hAnsi="黑体" w:eastAsia="黑体" w:cs="仿宋_GB2312"/>
          <w:sz w:val="32"/>
          <w:szCs w:val="32"/>
        </w:rPr>
        <w:t>附件</w:t>
      </w:r>
    </w:p>
    <w:p>
      <w:pPr>
        <w:spacing w:line="720" w:lineRule="exact"/>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lang w:eastAsia="zh-CN"/>
        </w:rPr>
        <w:t>潜江</w:t>
      </w:r>
      <w:r>
        <w:rPr>
          <w:rFonts w:hint="eastAsia" w:ascii="方正小标宋简体" w:hAnsi="仿宋_GB2312" w:eastAsia="方正小标宋简体" w:cs="仿宋_GB2312"/>
          <w:sz w:val="44"/>
          <w:szCs w:val="44"/>
        </w:rPr>
        <w:t>市农业农村局行政处罚“三张清单”</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黑体" w:eastAsia="方正小标宋简体" w:cs="宋体"/>
          <w:bCs/>
          <w:color w:val="000000"/>
          <w:kern w:val="0"/>
          <w:sz w:val="44"/>
          <w:szCs w:val="44"/>
        </w:rPr>
        <w:t>不予处罚事项清单</w:t>
      </w:r>
    </w:p>
    <w:bookmarkEnd w:id="0"/>
    <w:tbl>
      <w:tblPr>
        <w:tblStyle w:val="7"/>
        <w:tblW w:w="0" w:type="auto"/>
        <w:jc w:val="center"/>
        <w:tblLayout w:type="fixed"/>
        <w:tblCellMar>
          <w:top w:w="0" w:type="dxa"/>
          <w:left w:w="0" w:type="dxa"/>
          <w:bottom w:w="0" w:type="dxa"/>
          <w:right w:w="0" w:type="dxa"/>
        </w:tblCellMar>
      </w:tblPr>
      <w:tblGrid>
        <w:gridCol w:w="744"/>
        <w:gridCol w:w="2275"/>
        <w:gridCol w:w="3716"/>
        <w:gridCol w:w="3603"/>
        <w:gridCol w:w="4439"/>
      </w:tblGrid>
      <w:tr>
        <w:tblPrEx>
          <w:tblCellMar>
            <w:top w:w="0" w:type="dxa"/>
            <w:left w:w="0" w:type="dxa"/>
            <w:bottom w:w="0" w:type="dxa"/>
            <w:right w:w="0" w:type="dxa"/>
          </w:tblCellMar>
        </w:tblPrEx>
        <w:trPr>
          <w:cantSplit/>
          <w:trHeight w:val="322" w:hRule="atLeast"/>
          <w:tblHeader/>
          <w:jc w:val="center"/>
        </w:trPr>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处罚事项</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不予处罚的情形</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不予处罚的依据</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备  注</w:t>
            </w:r>
          </w:p>
        </w:tc>
      </w:tr>
      <w:tr>
        <w:tblPrEx>
          <w:tblCellMar>
            <w:top w:w="0" w:type="dxa"/>
            <w:left w:w="0" w:type="dxa"/>
            <w:bottom w:w="0" w:type="dxa"/>
            <w:right w:w="0" w:type="dxa"/>
          </w:tblCellMar>
        </w:tblPrEx>
        <w:trPr>
          <w:cantSplit/>
          <w:trHeight w:val="2261" w:hRule="atLeast"/>
          <w:jc w:val="center"/>
        </w:trPr>
        <w:tc>
          <w:tcPr>
            <w:tcW w:w="744"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227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对未依法取得养殖证或者超越养殖证许可范围在全民所有的水域从事养殖生产，妨碍航运、行洪的行政处罚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当事人未依法取得养殖证，妨碍航运、行洪,情节轻微，没有造成危害后果，限期补办养殖证或者拆除养殖设施的。</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《中华人民共和国渔业法》第四十条第三款：未依法取得养殖证或者超越养殖证许可范围在全民所有的水域从事养殖生产，妨碍航运、行洪的，责令限期拆除养殖设施，可以并处一万元以下的罚款。</w:t>
            </w:r>
          </w:p>
        </w:tc>
      </w:tr>
      <w:tr>
        <w:tblPrEx>
          <w:tblCellMar>
            <w:top w:w="0" w:type="dxa"/>
            <w:left w:w="0" w:type="dxa"/>
            <w:bottom w:w="0" w:type="dxa"/>
            <w:right w:w="0" w:type="dxa"/>
          </w:tblCellMar>
        </w:tblPrEx>
        <w:trPr>
          <w:cantSplit/>
          <w:trHeight w:val="2048" w:hRule="atLeast"/>
          <w:jc w:val="center"/>
        </w:trPr>
        <w:tc>
          <w:tcPr>
            <w:tcW w:w="744"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2275"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对兽药包装上未附有标签和说明书，或者标签和说明书与批准的内容不一致的行政处罚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当事人兽药包装上未附有标签和说明书，或者标签和说明书与批准的内容不一致，初次违法且危害后果轻微并及时改正的</w:t>
            </w:r>
            <w:r>
              <w:rPr>
                <w:rFonts w:hint="eastAsia" w:ascii="宋体" w:hAnsi="宋体" w:cs="宋体"/>
                <w:color w:val="000000"/>
                <w:kern w:val="0"/>
                <w:sz w:val="20"/>
                <w:szCs w:val="20"/>
                <w:lang w:eastAsia="zh-CN" w:bidi="ar"/>
              </w:rPr>
              <w:t>。</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《兽药管理条例》第六十条 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r>
      <w:tr>
        <w:tblPrEx>
          <w:tblCellMar>
            <w:top w:w="0" w:type="dxa"/>
            <w:left w:w="0" w:type="dxa"/>
            <w:bottom w:w="0" w:type="dxa"/>
            <w:right w:w="0" w:type="dxa"/>
          </w:tblCellMar>
        </w:tblPrEx>
        <w:trPr>
          <w:cantSplit/>
          <w:trHeight w:val="2147" w:hRule="exact"/>
          <w:jc w:val="center"/>
        </w:trPr>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对销售的农产品未按照规定进行包装、标识的行政处罚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当事人销售的农产品未按照规定进行包装、标识，违法行为轻微并及时改正，没有造成危害后果的</w:t>
            </w:r>
            <w:r>
              <w:rPr>
                <w:rFonts w:hint="eastAsia" w:ascii="宋体" w:hAnsi="宋体" w:cs="宋体"/>
                <w:color w:val="000000"/>
                <w:kern w:val="0"/>
                <w:sz w:val="20"/>
                <w:szCs w:val="20"/>
                <w:lang w:eastAsia="zh-CN" w:bidi="ar"/>
              </w:rPr>
              <w:t>。</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《中华人民共和国农产品质量安全法》第四十八条：违反本法第二十八条规定，销售的农产品未按照规定进行包装、标识的，责令限期改正；逾期不改正的，可以处二千元以下罚款</w:t>
            </w:r>
          </w:p>
        </w:tc>
      </w:tr>
      <w:tr>
        <w:tblPrEx>
          <w:tblCellMar>
            <w:top w:w="0" w:type="dxa"/>
            <w:left w:w="0" w:type="dxa"/>
            <w:bottom w:w="0" w:type="dxa"/>
            <w:right w:w="0" w:type="dxa"/>
          </w:tblCellMar>
        </w:tblPrEx>
        <w:trPr>
          <w:cantSplit/>
          <w:trHeight w:val="2967" w:hRule="exact"/>
          <w:jc w:val="center"/>
        </w:trPr>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农药经营者不执行农药采购台账、销售台账制度；在卫生用农药以外的农药经营场所内经营食品、食用农产品、饲料；未将卫生用农药与其他商品分柜销售；不履行农药废弃物回收义务的行政处罚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当事人不执行农药采购台账、销售台账制度；在卫生用农药以外的农药经营场所内经营食品、食用农产品、饲料；未将卫生用农药与其他商品分柜销售；不履行农药废弃物回收义务，违法行为轻微并及时改正，没有造成危害后果的</w:t>
            </w:r>
            <w:r>
              <w:rPr>
                <w:rFonts w:hint="eastAsia" w:ascii="宋体" w:hAnsi="宋体" w:cs="宋体"/>
                <w:color w:val="000000"/>
                <w:kern w:val="0"/>
                <w:sz w:val="20"/>
                <w:szCs w:val="20"/>
                <w:lang w:eastAsia="zh-CN" w:bidi="ar"/>
              </w:rPr>
              <w:t>。</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adjustRightInd w:val="0"/>
              <w:snapToGrid w:val="0"/>
              <w:spacing w:after="225" w:line="300" w:lineRule="exact"/>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r>
      <w:tr>
        <w:tblPrEx>
          <w:tblCellMar>
            <w:top w:w="0" w:type="dxa"/>
            <w:left w:w="0" w:type="dxa"/>
            <w:bottom w:w="0" w:type="dxa"/>
            <w:right w:w="0" w:type="dxa"/>
          </w:tblCellMar>
        </w:tblPrEx>
        <w:trPr>
          <w:cantSplit/>
          <w:trHeight w:val="2422" w:hRule="exact"/>
          <w:jc w:val="center"/>
        </w:trPr>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shd w:val="clear" w:color="auto" w:fill="FFFFFF"/>
              </w:rPr>
              <w:t>对未按规定建立畜禽养殖记录的行政处罚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shd w:val="clear" w:color="auto" w:fill="FFFFFF"/>
              </w:rPr>
              <w:t>未按规定建立畜禽养殖记录，</w:t>
            </w:r>
            <w:r>
              <w:rPr>
                <w:rFonts w:hint="eastAsia" w:ascii="宋体" w:hAnsi="宋体" w:cs="宋体"/>
                <w:color w:val="000000"/>
                <w:kern w:val="0"/>
                <w:sz w:val="20"/>
                <w:szCs w:val="20"/>
                <w:lang w:bidi="ar"/>
              </w:rPr>
              <w:t>及时改正，没有造成危害后果的</w:t>
            </w:r>
            <w:r>
              <w:rPr>
                <w:rFonts w:hint="eastAsia" w:ascii="宋体" w:hAnsi="宋体" w:cs="宋体"/>
                <w:color w:val="000000"/>
                <w:kern w:val="0"/>
                <w:sz w:val="20"/>
                <w:szCs w:val="20"/>
                <w:lang w:eastAsia="zh-CN" w:bidi="ar"/>
              </w:rPr>
              <w:t>。</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《湖北省畜牧条例》第四十七条第二款：</w:t>
            </w:r>
            <w:r>
              <w:rPr>
                <w:rFonts w:hint="eastAsia" w:ascii="宋体" w:hAnsi="宋体" w:cs="宋体"/>
                <w:color w:val="000000"/>
                <w:sz w:val="20"/>
                <w:szCs w:val="20"/>
                <w:shd w:val="clear" w:color="auto" w:fill="FFFFFF"/>
              </w:rPr>
              <w:t>违反本条例第十八条第二款规定未建立养殖记录的，责令改正；逾期未改正的，给予警告，可以处2000元以下罚款。</w:t>
            </w:r>
          </w:p>
        </w:tc>
      </w:tr>
      <w:tr>
        <w:tblPrEx>
          <w:tblCellMar>
            <w:top w:w="0" w:type="dxa"/>
            <w:left w:w="0" w:type="dxa"/>
            <w:bottom w:w="0" w:type="dxa"/>
            <w:right w:w="0" w:type="dxa"/>
          </w:tblCellMar>
        </w:tblPrEx>
        <w:trPr>
          <w:cantSplit/>
          <w:trHeight w:val="2239" w:hRule="exact"/>
          <w:jc w:val="center"/>
        </w:trPr>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对生鲜乳收购站未建立生鲜乳收购、销售和检测记录的行政处罚</w:t>
            </w:r>
          </w:p>
        </w:tc>
        <w:tc>
          <w:tcPr>
            <w:tcW w:w="3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生鲜乳收购站未建立生鲜乳收购、销售和检测记录，初次违法且危害后果轻微并及时改正的</w:t>
            </w:r>
            <w:r>
              <w:rPr>
                <w:rFonts w:hint="eastAsia" w:ascii="宋体" w:hAnsi="宋体" w:cs="宋体"/>
                <w:color w:val="000000"/>
                <w:kern w:val="0"/>
                <w:sz w:val="20"/>
                <w:szCs w:val="20"/>
                <w:lang w:eastAsia="zh-CN" w:bidi="ar"/>
              </w:rPr>
              <w:t>。</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《中华人民共和国行政处罚法》第三十三条</w:t>
            </w:r>
            <w:r>
              <w:rPr>
                <w:rFonts w:ascii="宋体" w:hAnsi="宋体" w:cs="宋体"/>
                <w:color w:val="000000"/>
                <w:kern w:val="0"/>
                <w:sz w:val="20"/>
                <w:szCs w:val="20"/>
                <w:lang w:val="en" w:bidi="ar"/>
              </w:rPr>
              <w:t xml:space="preserve"> </w:t>
            </w:r>
            <w:r>
              <w:rPr>
                <w:rFonts w:hint="eastAsia" w:ascii="宋体" w:hAnsi="宋体" w:cs="宋体"/>
                <w:color w:val="000000"/>
                <w:kern w:val="0"/>
                <w:sz w:val="20"/>
                <w:szCs w:val="20"/>
                <w:lang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p>
        </w:tc>
        <w:tc>
          <w:tcPr>
            <w:tcW w:w="4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湖北省畜牧条例》第四十七条第一款：违反本条例第十八条第一款未建立养殖档案的，或者违反本条例第三十三条第二款和三十五条规定未建立记录的，由畜牧兽医行政主管部门责令限期改正;逾期未改正的，处2000元以上1万元以下罚款</w:t>
            </w:r>
            <w:r>
              <w:rPr>
                <w:rFonts w:hint="eastAsia" w:ascii="宋体" w:hAnsi="宋体" w:cs="宋体"/>
                <w:color w:val="000000"/>
                <w:kern w:val="0"/>
                <w:sz w:val="20"/>
                <w:szCs w:val="20"/>
                <w:lang w:eastAsia="zh-CN" w:bidi="ar"/>
              </w:rPr>
              <w:t>。</w:t>
            </w:r>
          </w:p>
        </w:tc>
      </w:tr>
    </w:tbl>
    <w:p>
      <w:pPr>
        <w:spacing w:line="600" w:lineRule="exact"/>
        <w:rPr>
          <w:rFonts w:hint="eastAsia" w:ascii="方正小标宋简体" w:hAnsi="黑体" w:eastAsia="方正小标宋简体" w:cs="宋体"/>
          <w:bCs/>
          <w:color w:val="000000"/>
          <w:kern w:val="0"/>
          <w:sz w:val="36"/>
          <w:szCs w:val="36"/>
        </w:rPr>
        <w:sectPr>
          <w:footerReference r:id="rId3" w:type="default"/>
          <w:pgSz w:w="16838" w:h="11906" w:orient="landscape"/>
          <w:pgMar w:top="1191" w:right="1021" w:bottom="1417" w:left="1021" w:header="851" w:footer="1021"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_GB2312" w:eastAsia="方正小标宋简体" w:cs="仿宋_GB2312"/>
          <w:bCs/>
          <w:color w:val="000000"/>
          <w:kern w:val="0"/>
          <w:sz w:val="44"/>
          <w:szCs w:val="44"/>
        </w:rPr>
      </w:pPr>
      <w:r>
        <w:rPr>
          <w:rFonts w:hint="eastAsia" w:ascii="方正小标宋简体" w:hAnsi="仿宋_GB2312" w:eastAsia="方正小标宋简体" w:cs="仿宋_GB2312"/>
          <w:bCs/>
          <w:color w:val="000000"/>
          <w:kern w:val="0"/>
          <w:sz w:val="44"/>
          <w:szCs w:val="44"/>
        </w:rPr>
        <w:t>减轻处罚事项清单</w:t>
      </w:r>
    </w:p>
    <w:tbl>
      <w:tblPr>
        <w:tblStyle w:val="7"/>
        <w:tblW w:w="0" w:type="auto"/>
        <w:jc w:val="center"/>
        <w:tblLayout w:type="fixed"/>
        <w:tblCellMar>
          <w:top w:w="0" w:type="dxa"/>
          <w:left w:w="0" w:type="dxa"/>
          <w:bottom w:w="0" w:type="dxa"/>
          <w:right w:w="0" w:type="dxa"/>
        </w:tblCellMar>
      </w:tblPr>
      <w:tblGrid>
        <w:gridCol w:w="821"/>
        <w:gridCol w:w="1527"/>
        <w:gridCol w:w="3124"/>
        <w:gridCol w:w="4744"/>
        <w:gridCol w:w="3691"/>
      </w:tblGrid>
      <w:tr>
        <w:tblPrEx>
          <w:tblCellMar>
            <w:top w:w="0" w:type="dxa"/>
            <w:left w:w="0" w:type="dxa"/>
            <w:bottom w:w="0" w:type="dxa"/>
            <w:right w:w="0" w:type="dxa"/>
          </w:tblCellMar>
        </w:tblPrEx>
        <w:trPr>
          <w:cantSplit/>
          <w:trHeight w:val="395" w:hRule="atLeast"/>
          <w:tblHeader/>
          <w:jc w:val="center"/>
        </w:trPr>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处罚事项</w:t>
            </w:r>
          </w:p>
        </w:tc>
        <w:tc>
          <w:tcPr>
            <w:tcW w:w="3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减轻处罚的情形</w:t>
            </w:r>
          </w:p>
        </w:tc>
        <w:tc>
          <w:tcPr>
            <w:tcW w:w="4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减轻处罚的依据</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备  注</w:t>
            </w:r>
          </w:p>
        </w:tc>
      </w:tr>
      <w:tr>
        <w:tblPrEx>
          <w:tblCellMar>
            <w:top w:w="0" w:type="dxa"/>
            <w:left w:w="0" w:type="dxa"/>
            <w:bottom w:w="0" w:type="dxa"/>
            <w:right w:w="0" w:type="dxa"/>
          </w:tblCellMar>
        </w:tblPrEx>
        <w:trPr>
          <w:cantSplit/>
          <w:trHeight w:val="2487" w:hRule="atLeast"/>
          <w:jc w:val="center"/>
        </w:trPr>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center"/>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1</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对未经兽医开具处方销售、购买、使用兽用处方药的行政处罚</w:t>
            </w:r>
          </w:p>
        </w:tc>
        <w:tc>
          <w:tcPr>
            <w:tcW w:w="3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当事人未经兽医开具处方，而购买、使用兽用处方药违法所得不足一万元的。</w:t>
            </w:r>
          </w:p>
        </w:tc>
        <w:tc>
          <w:tcPr>
            <w:tcW w:w="4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lang w:bidi="ar"/>
              </w:rPr>
              <w:t>《中华人民共和国行政处罚法</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 xml:space="preserve"> </w:t>
            </w:r>
            <w:r>
              <w:rPr>
                <w:rFonts w:hint="eastAsia" w:ascii="宋体" w:hAnsi="宋体" w:cs="宋体"/>
                <w:color w:val="auto"/>
                <w:kern w:val="0"/>
                <w:sz w:val="20"/>
                <w:szCs w:val="20"/>
              </w:rPr>
              <w:t>第三十二条　当事人有下列情形之一，应当从轻或者减轻行政处罚：</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（一）主动消除或者减轻违法行为危害后果的；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（二）受他人胁迫或者诱骗实施违法行为的；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（三）主动供述行政机关尚未掌握的违法行为的；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（四）配合行政机关查处违法行为有立功表现的；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（五）法律、法规、规章规定其他应当从轻或者减轻行政处罚的。</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shd w:val="clear" w:color="auto" w:fill="FFFFFF"/>
                <w:lang w:bidi="ar"/>
              </w:rPr>
              <w:t>《兽药管理条例》第六十六条 违反本条例规定，未经兽医开具处方销售、购买、使用兽用处方药的，责令其限期改正，没收违法所得，并处5万元以下罚款；给他人造成损失的，依法承担赔偿责任。</w:t>
            </w:r>
          </w:p>
        </w:tc>
      </w:tr>
      <w:tr>
        <w:tblPrEx>
          <w:tblCellMar>
            <w:top w:w="0" w:type="dxa"/>
            <w:left w:w="0" w:type="dxa"/>
            <w:bottom w:w="0" w:type="dxa"/>
            <w:right w:w="0" w:type="dxa"/>
          </w:tblCellMar>
        </w:tblPrEx>
        <w:trPr>
          <w:cantSplit/>
          <w:trHeight w:val="2354" w:hRule="atLeast"/>
          <w:jc w:val="center"/>
        </w:trPr>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center"/>
              <w:rPr>
                <w:rFonts w:hint="eastAsia" w:ascii="宋体" w:hAnsi="宋体" w:eastAsia="宋体" w:cs="宋体"/>
                <w:color w:val="auto"/>
                <w:kern w:val="0"/>
                <w:sz w:val="20"/>
                <w:szCs w:val="20"/>
                <w:shd w:val="clear" w:color="auto" w:fill="FFFFFF"/>
                <w:lang w:eastAsia="zh-CN" w:bidi="ar"/>
              </w:rPr>
            </w:pPr>
            <w:r>
              <w:rPr>
                <w:rFonts w:hint="eastAsia" w:ascii="宋体" w:hAnsi="宋体" w:cs="宋体"/>
                <w:color w:val="auto"/>
                <w:kern w:val="0"/>
                <w:sz w:val="20"/>
                <w:szCs w:val="20"/>
                <w:shd w:val="clear" w:color="auto" w:fill="FFFFFF"/>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对违反种子包装、标签、档案、备案规定的行政处罚</w:t>
            </w:r>
          </w:p>
        </w:tc>
        <w:tc>
          <w:tcPr>
            <w:tcW w:w="3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当事人已建立了档案但不完善。检查后按规定补充完善生产经营档案的相关内容的。</w:t>
            </w:r>
          </w:p>
        </w:tc>
        <w:tc>
          <w:tcPr>
            <w:tcW w:w="4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lang w:bidi="ar"/>
              </w:rPr>
              <w:t>《中华人民共和国行政处罚法</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 xml:space="preserve"> </w:t>
            </w:r>
            <w:r>
              <w:rPr>
                <w:rFonts w:hint="eastAsia" w:ascii="宋体" w:hAnsi="宋体" w:cs="宋体"/>
                <w:color w:val="auto"/>
                <w:kern w:val="0"/>
                <w:sz w:val="20"/>
                <w:szCs w:val="20"/>
              </w:rPr>
              <w:t>第三十二条　当事人有下列情形之一，应当从轻或者减轻行政处罚：</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（一）主动消除或者减轻违法行为危害后果的；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（二）受他人胁迫或者诱骗实施违法行为的；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（三）主动供述行政机关尚未掌握的违法行为的；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（四）配合行政机关查处违法行为有立功表现的；</w:t>
            </w:r>
          </w:p>
          <w:p>
            <w:pPr>
              <w:rPr>
                <w:rFonts w:hint="eastAsia"/>
                <w:color w:val="auto"/>
              </w:rPr>
            </w:pPr>
            <w:r>
              <w:rPr>
                <w:rFonts w:hint="eastAsia" w:ascii="宋体" w:hAnsi="宋体" w:cs="宋体"/>
                <w:color w:val="auto"/>
                <w:kern w:val="0"/>
                <w:sz w:val="20"/>
                <w:szCs w:val="20"/>
              </w:rPr>
              <w:t>（五）法律、法规、规章规定其他应当从轻或者减轻行政处罚的。</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中华人民共和国种子法》第八十条第（四）项违反本法第三十六条、第三十八条、第四十条、第四十一条规定，有下列行为之一的，由县级以上人民政府农业、林业主管部门责令改正，处二千元以上二万元以下罚款：（四）未按规定建立、保存种子生产经营档案的；</w:t>
            </w:r>
          </w:p>
        </w:tc>
      </w:tr>
      <w:tr>
        <w:tblPrEx>
          <w:tblCellMar>
            <w:top w:w="0" w:type="dxa"/>
            <w:left w:w="0" w:type="dxa"/>
            <w:bottom w:w="0" w:type="dxa"/>
            <w:right w:w="0" w:type="dxa"/>
          </w:tblCellMar>
        </w:tblPrEx>
        <w:trPr>
          <w:cantSplit/>
          <w:trHeight w:val="2655" w:hRule="atLeast"/>
          <w:jc w:val="center"/>
        </w:trPr>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center"/>
              <w:rPr>
                <w:rFonts w:hint="eastAsia" w:ascii="宋体" w:hAnsi="宋体" w:eastAsia="宋体" w:cs="宋体"/>
                <w:color w:val="auto"/>
                <w:kern w:val="0"/>
                <w:sz w:val="20"/>
                <w:szCs w:val="20"/>
                <w:shd w:val="clear" w:color="auto" w:fill="FFFFFF"/>
                <w:lang w:eastAsia="zh-CN" w:bidi="ar"/>
              </w:rPr>
            </w:pPr>
            <w:r>
              <w:rPr>
                <w:rFonts w:hint="eastAsia" w:ascii="宋体" w:hAnsi="宋体" w:cs="宋体"/>
                <w:color w:val="auto"/>
                <w:kern w:val="0"/>
                <w:sz w:val="20"/>
                <w:szCs w:val="20"/>
                <w:shd w:val="clear" w:color="auto" w:fill="FFFFFF"/>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对违反种子包装、标签、档案、备案规定的行政处罚</w:t>
            </w:r>
          </w:p>
        </w:tc>
        <w:tc>
          <w:tcPr>
            <w:tcW w:w="3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left"/>
              <w:rPr>
                <w:rFonts w:hint="eastAsia" w:ascii="宋体" w:hAnsi="宋体" w:eastAsia="宋体" w:cs="宋体"/>
                <w:color w:val="auto"/>
                <w:kern w:val="0"/>
                <w:sz w:val="20"/>
                <w:szCs w:val="20"/>
                <w:shd w:val="clear" w:color="auto" w:fill="FFFFFF"/>
                <w:lang w:eastAsia="zh-CN" w:bidi="ar"/>
              </w:rPr>
            </w:pPr>
            <w:r>
              <w:rPr>
                <w:rFonts w:hint="eastAsia" w:ascii="宋体" w:hAnsi="宋体" w:cs="宋体"/>
                <w:color w:val="auto"/>
                <w:kern w:val="0"/>
                <w:sz w:val="20"/>
                <w:szCs w:val="20"/>
                <w:shd w:val="clear" w:color="auto" w:fill="FFFFFF"/>
                <w:lang w:bidi="ar"/>
              </w:rPr>
              <w:t>当事人办理了营业执照，专门经营不再分装的包装种子或者受具有种子生产经营许可证的种子生产经营者以书面委托生产、代销其种子，不需要办理种子生产经营许可证，未向当地农业主管部门备案，检查后积极主动向当地农业主管部门申请备案的</w:t>
            </w:r>
            <w:r>
              <w:rPr>
                <w:rFonts w:hint="eastAsia" w:ascii="宋体" w:hAnsi="宋体" w:cs="宋体"/>
                <w:color w:val="auto"/>
                <w:kern w:val="0"/>
                <w:sz w:val="20"/>
                <w:szCs w:val="20"/>
                <w:shd w:val="clear" w:color="auto" w:fill="FFFFFF"/>
                <w:lang w:eastAsia="zh-CN" w:bidi="ar"/>
              </w:rPr>
              <w:t>。</w:t>
            </w:r>
          </w:p>
        </w:tc>
        <w:tc>
          <w:tcPr>
            <w:tcW w:w="4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lang w:bidi="ar"/>
              </w:rPr>
              <w:t>《中华人民共和国行政处罚法</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 xml:space="preserve"> </w:t>
            </w:r>
            <w:r>
              <w:rPr>
                <w:rFonts w:hint="eastAsia" w:ascii="宋体" w:hAnsi="宋体" w:cs="宋体"/>
                <w:color w:val="auto"/>
                <w:kern w:val="0"/>
                <w:sz w:val="20"/>
                <w:szCs w:val="20"/>
              </w:rPr>
              <w:t>第三十二条　当事人有下列情形之一，应当从轻或者减轻行政处罚：</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（一）主动消除或者减轻违法行为危害后果的；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（二）受他人胁迫或者诱骗实施违法行为的；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（三）主动供述行政机关尚未掌握的违法行为的；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（四）配合行政机关查处违法行为有立功表现的；</w:t>
            </w:r>
          </w:p>
          <w:p>
            <w:pPr>
              <w:rPr>
                <w:rFonts w:hint="eastAsia"/>
                <w:color w:val="auto"/>
              </w:rPr>
            </w:pPr>
            <w:r>
              <w:rPr>
                <w:rFonts w:hint="eastAsia" w:ascii="宋体" w:hAnsi="宋体" w:cs="宋体"/>
                <w:color w:val="auto"/>
                <w:kern w:val="0"/>
                <w:sz w:val="20"/>
                <w:szCs w:val="20"/>
              </w:rPr>
              <w:t>（五）法律、法规、规章规定其他应当从轻或者减轻行政处罚的。</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adjustRightInd w:val="0"/>
              <w:snapToGrid w:val="0"/>
              <w:spacing w:after="225" w:line="300" w:lineRule="exac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《中华人民共和国种子法》第八十条第（五）项    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r>
    </w:tbl>
    <w:p>
      <w:pPr>
        <w:spacing w:line="720" w:lineRule="exact"/>
        <w:jc w:val="center"/>
        <w:rPr>
          <w:rFonts w:hint="eastAsia" w:ascii="方正小标宋简体" w:hAnsi="仿宋_GB2312" w:eastAsia="方正小标宋简体" w:cs="仿宋_GB2312"/>
          <w:bCs/>
          <w:color w:val="auto"/>
          <w:kern w:val="0"/>
          <w:sz w:val="44"/>
          <w:szCs w:val="44"/>
        </w:rPr>
      </w:pPr>
      <w:r>
        <w:rPr>
          <w:rFonts w:hint="eastAsia" w:ascii="方正小标宋简体" w:hAnsi="仿宋_GB2312" w:eastAsia="方正小标宋简体" w:cs="仿宋_GB2312"/>
          <w:bCs/>
          <w:color w:val="auto"/>
          <w:kern w:val="0"/>
          <w:sz w:val="44"/>
          <w:szCs w:val="44"/>
        </w:rPr>
        <w:t>从轻处罚事项清单</w:t>
      </w:r>
    </w:p>
    <w:tbl>
      <w:tblPr>
        <w:tblStyle w:val="7"/>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1530"/>
        <w:gridCol w:w="3120"/>
        <w:gridCol w:w="391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blHeader/>
        </w:trPr>
        <w:tc>
          <w:tcPr>
            <w:tcW w:w="810" w:type="dxa"/>
            <w:tcBorders>
              <w:top w:val="single" w:color="auto"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
                <w:color w:val="auto"/>
                <w:sz w:val="20"/>
                <w:szCs w:val="20"/>
              </w:rPr>
            </w:pPr>
            <w:r>
              <w:rPr>
                <w:rFonts w:hint="eastAsia" w:ascii="宋体" w:hAnsi="宋体" w:cs="宋体"/>
                <w:b/>
                <w:color w:val="auto"/>
                <w:kern w:val="0"/>
                <w:sz w:val="20"/>
                <w:szCs w:val="20"/>
              </w:rPr>
              <w:t>序号</w:t>
            </w:r>
          </w:p>
        </w:tc>
        <w:tc>
          <w:tcPr>
            <w:tcW w:w="1530" w:type="dxa"/>
            <w:tcBorders>
              <w:top w:val="single" w:color="auto"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
                <w:color w:val="auto"/>
                <w:sz w:val="20"/>
                <w:szCs w:val="20"/>
              </w:rPr>
            </w:pPr>
            <w:r>
              <w:rPr>
                <w:rFonts w:hint="eastAsia" w:ascii="宋体" w:hAnsi="宋体" w:cs="宋体"/>
                <w:b/>
                <w:color w:val="auto"/>
                <w:kern w:val="0"/>
                <w:sz w:val="20"/>
                <w:szCs w:val="20"/>
              </w:rPr>
              <w:t>处罚事项</w:t>
            </w:r>
          </w:p>
        </w:tc>
        <w:tc>
          <w:tcPr>
            <w:tcW w:w="3120" w:type="dxa"/>
            <w:tcBorders>
              <w:top w:val="single" w:color="auto"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
                <w:color w:val="auto"/>
                <w:sz w:val="20"/>
                <w:szCs w:val="20"/>
              </w:rPr>
            </w:pPr>
            <w:r>
              <w:rPr>
                <w:rFonts w:hint="eastAsia" w:ascii="宋体" w:hAnsi="宋体" w:cs="宋体"/>
                <w:b/>
                <w:color w:val="auto"/>
                <w:kern w:val="0"/>
                <w:sz w:val="20"/>
                <w:szCs w:val="20"/>
              </w:rPr>
              <w:t>从轻处罚的情形</w:t>
            </w:r>
          </w:p>
        </w:tc>
        <w:tc>
          <w:tcPr>
            <w:tcW w:w="3913" w:type="dxa"/>
            <w:tcBorders>
              <w:top w:val="single" w:color="auto"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
                <w:color w:val="auto"/>
                <w:sz w:val="20"/>
                <w:szCs w:val="20"/>
              </w:rPr>
            </w:pPr>
            <w:r>
              <w:rPr>
                <w:rFonts w:hint="eastAsia" w:ascii="宋体" w:hAnsi="宋体" w:cs="宋体"/>
                <w:b/>
                <w:color w:val="auto"/>
                <w:kern w:val="0"/>
                <w:sz w:val="20"/>
                <w:szCs w:val="20"/>
              </w:rPr>
              <w:t>从轻处罚的依据</w:t>
            </w:r>
          </w:p>
        </w:tc>
        <w:tc>
          <w:tcPr>
            <w:tcW w:w="4541" w:type="dxa"/>
            <w:tcBorders>
              <w:top w:val="single" w:color="auto"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
                <w:color w:val="auto"/>
                <w:sz w:val="20"/>
                <w:szCs w:val="20"/>
              </w:rPr>
            </w:pPr>
            <w:r>
              <w:rPr>
                <w:rFonts w:hint="eastAsia" w:ascii="宋体" w:hAnsi="宋体" w:cs="宋体"/>
                <w:b/>
                <w:color w:val="auto"/>
                <w:kern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9" w:hRule="atLeast"/>
        </w:trPr>
        <w:tc>
          <w:tcPr>
            <w:tcW w:w="810" w:type="dxa"/>
            <w:noWrap w:val="0"/>
            <w:tcMar>
              <w:top w:w="15" w:type="dxa"/>
              <w:left w:w="15" w:type="dxa"/>
              <w:right w:w="15" w:type="dxa"/>
            </w:tcMar>
            <w:vAlign w:val="center"/>
          </w:tcPr>
          <w:p>
            <w:pPr>
              <w:widowControl/>
              <w:shd w:val="clear" w:color="auto" w:fill="FFFFFF"/>
              <w:spacing w:after="225" w:line="360" w:lineRule="atLeast"/>
              <w:jc w:val="center"/>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1</w:t>
            </w:r>
          </w:p>
        </w:tc>
        <w:tc>
          <w:tcPr>
            <w:tcW w:w="1530" w:type="dxa"/>
            <w:noWrap w:val="0"/>
            <w:tcMar>
              <w:top w:w="15" w:type="dxa"/>
              <w:left w:w="15" w:type="dxa"/>
              <w:right w:w="15" w:type="dxa"/>
            </w:tcMar>
            <w:vAlign w:val="center"/>
          </w:tcPr>
          <w:p>
            <w:pPr>
              <w:widowControl/>
              <w:shd w:val="clear" w:color="auto" w:fill="FFFFFF"/>
              <w:spacing w:after="225" w:line="360" w:lineRule="atLeas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对变更机构名称或者法定代表人未办理变更手续等行为的动物诊疗机构的行政处罚</w:t>
            </w:r>
          </w:p>
        </w:tc>
        <w:tc>
          <w:tcPr>
            <w:tcW w:w="3120" w:type="dxa"/>
            <w:noWrap w:val="0"/>
            <w:tcMar>
              <w:top w:w="15" w:type="dxa"/>
              <w:left w:w="15" w:type="dxa"/>
              <w:right w:w="15" w:type="dxa"/>
            </w:tcMar>
            <w:vAlign w:val="center"/>
          </w:tcPr>
          <w:p>
            <w:pPr>
              <w:widowControl/>
              <w:shd w:val="clear" w:color="auto" w:fill="FFFFFF"/>
              <w:spacing w:after="225" w:line="360" w:lineRule="atLeas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动物诊疗机构有变更机构名称或者法定代表人，未办理变更手续等行为。（按《湖北省农业行政处罚自由裁量权指导基准应用规则》不同适用情形相对应的裁量标准最低额度处罚）</w:t>
            </w:r>
          </w:p>
        </w:tc>
        <w:tc>
          <w:tcPr>
            <w:tcW w:w="3913" w:type="dxa"/>
            <w:noWrap w:val="0"/>
            <w:tcMar>
              <w:top w:w="15" w:type="dxa"/>
              <w:left w:w="15" w:type="dxa"/>
              <w:right w:w="15" w:type="dxa"/>
            </w:tcMar>
            <w:vAlign w:val="center"/>
          </w:tcPr>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lang w:bidi="ar"/>
              </w:rPr>
              <w:t>《中华人民共和国行政处罚法</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 xml:space="preserve"> </w:t>
            </w:r>
            <w:r>
              <w:rPr>
                <w:rFonts w:hint="eastAsia" w:ascii="宋体" w:hAnsi="宋体" w:cs="宋体"/>
                <w:color w:val="auto"/>
                <w:kern w:val="0"/>
                <w:sz w:val="20"/>
                <w:szCs w:val="20"/>
              </w:rPr>
              <w:t>第三十二条　当事人有下列情形之一，应当从轻或者减轻行政处罚：</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（一）主动消除或者减轻违法行为危害后果的；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（二）受他人胁迫或者诱骗实施违法行为的；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（三）主动供述行政机关尚未掌握的违法行为的；</w:t>
            </w:r>
          </w:p>
          <w:p>
            <w:pPr>
              <w:adjustRightInd w:val="0"/>
              <w:snapToGrid w:val="0"/>
              <w:spacing w:line="300" w:lineRule="exact"/>
              <w:textAlignment w:val="center"/>
              <w:rPr>
                <w:rFonts w:hint="eastAsia" w:ascii="宋体" w:hAnsi="宋体" w:cs="宋体"/>
                <w:color w:val="auto"/>
                <w:kern w:val="0"/>
                <w:sz w:val="20"/>
                <w:szCs w:val="20"/>
              </w:rPr>
            </w:pPr>
            <w:r>
              <w:rPr>
                <w:rFonts w:hint="eastAsia" w:ascii="宋体" w:hAnsi="宋体" w:cs="宋体"/>
                <w:color w:val="auto"/>
                <w:kern w:val="0"/>
                <w:sz w:val="20"/>
                <w:szCs w:val="20"/>
              </w:rPr>
              <w:t>（四）配合行政机关查处违法行为有立功表现的；</w:t>
            </w:r>
          </w:p>
          <w:p>
            <w:pPr>
              <w:rPr>
                <w:rFonts w:hint="eastAsia"/>
                <w:color w:val="auto"/>
              </w:rPr>
            </w:pPr>
            <w:r>
              <w:rPr>
                <w:rFonts w:hint="eastAsia" w:ascii="宋体" w:hAnsi="宋体" w:cs="宋体"/>
                <w:color w:val="auto"/>
                <w:kern w:val="0"/>
                <w:sz w:val="20"/>
                <w:szCs w:val="20"/>
              </w:rPr>
              <w:t>（五）法律、法规、规章规定其他应当从轻或者减轻行政处罚的。</w:t>
            </w:r>
          </w:p>
        </w:tc>
        <w:tc>
          <w:tcPr>
            <w:tcW w:w="4541" w:type="dxa"/>
            <w:noWrap w:val="0"/>
            <w:tcMar>
              <w:top w:w="15" w:type="dxa"/>
              <w:left w:w="15" w:type="dxa"/>
              <w:right w:w="15" w:type="dxa"/>
            </w:tcMar>
            <w:vAlign w:val="center"/>
          </w:tcPr>
          <w:p>
            <w:pPr>
              <w:widowControl/>
              <w:shd w:val="clear" w:color="auto" w:fill="FFFFFF"/>
              <w:spacing w:after="225" w:line="360" w:lineRule="atLeast"/>
              <w:jc w:val="left"/>
              <w:rPr>
                <w:rFonts w:hint="eastAsia" w:ascii="宋体" w:hAnsi="宋体" w:cs="宋体"/>
                <w:color w:val="auto"/>
                <w:kern w:val="0"/>
                <w:sz w:val="20"/>
                <w:szCs w:val="20"/>
                <w:shd w:val="clear" w:color="auto" w:fill="FFFFFF"/>
                <w:lang w:bidi="ar"/>
              </w:rPr>
            </w:pPr>
            <w:r>
              <w:rPr>
                <w:rFonts w:hint="eastAsia" w:ascii="宋体" w:hAnsi="宋体" w:cs="宋体"/>
                <w:color w:val="auto"/>
                <w:kern w:val="0"/>
                <w:sz w:val="20"/>
                <w:szCs w:val="20"/>
                <w:shd w:val="clear" w:color="auto" w:fill="FFFFFF"/>
                <w:lang w:bidi="ar"/>
              </w:rPr>
              <w:t>《动物诊疗机构管理办法》第三十二条第（一）项：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r>
    </w:tbl>
    <w:p>
      <w:pPr>
        <w:rPr>
          <w:rFonts w:hint="eastAsia" w:ascii="仿宋_GB2312" w:hAnsi="仿宋_GB2312" w:eastAsia="仿宋_GB2312" w:cs="仿宋_GB2312"/>
          <w:sz w:val="32"/>
          <w:szCs w:val="32"/>
        </w:rPr>
      </w:pPr>
    </w:p>
    <w:sectPr>
      <w:pgSz w:w="16838" w:h="11906" w:orient="landscape"/>
      <w:pgMar w:top="1417" w:right="1440" w:bottom="1474"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WQ5ODM5ZDI0MWEwODRhNDMyMmJhNDc4YTEzYzQifQ=="/>
  </w:docVars>
  <w:rsids>
    <w:rsidRoot w:val="72341810"/>
    <w:rsid w:val="01A22181"/>
    <w:rsid w:val="3C0E708A"/>
    <w:rsid w:val="56891ABB"/>
    <w:rsid w:val="72341810"/>
    <w:rsid w:val="792141DF"/>
    <w:rsid w:val="7F52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3813</Words>
  <Characters>3830</Characters>
  <Lines>0</Lines>
  <Paragraphs>0</Paragraphs>
  <TotalTime>6</TotalTime>
  <ScaleCrop>false</ScaleCrop>
  <LinksUpToDate>false</LinksUpToDate>
  <CharactersWithSpaces>3925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2022-07-25T09:05:00Z</dcterms:created>
  <dc:creator>瑶滚滚Fiona</dc:creator>
  <cp:lastModifiedBy>Administrator</cp:lastModifiedBy>
  <cp:lastPrinted>2022-10-26T07:20:00Z</cp:lastPrinted>
  <dcterms:modified xsi:type="dcterms:W3CDTF">2022-11-11T09:10:55Z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3B63E3409BB041889775EBA30210723F</vt:lpwstr>
  </property>
</Properties>
</file>