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ind w:left="-2"/>
        <w:jc w:val="center"/>
        <w:rPr>
          <w:rFonts w:eastAsia="华文中宋"/>
          <w:color w:val="auto"/>
          <w:spacing w:val="-6"/>
          <w:w w:val="98"/>
          <w:sz w:val="32"/>
          <w:szCs w:val="32"/>
        </w:rPr>
      </w:pPr>
    </w:p>
    <w:p>
      <w:pPr>
        <w:spacing w:line="360" w:lineRule="exact"/>
        <w:jc w:val="center"/>
        <w:rPr>
          <w:rFonts w:eastAsia="华文中宋"/>
          <w:color w:val="auto"/>
          <w:spacing w:val="20"/>
          <w:sz w:val="32"/>
          <w:szCs w:val="32"/>
        </w:rPr>
      </w:pPr>
    </w:p>
    <w:p>
      <w:pPr>
        <w:spacing w:line="600" w:lineRule="exact"/>
        <w:jc w:val="center"/>
        <w:rPr>
          <w:rFonts w:eastAsia="华文中宋"/>
          <w:color w:val="auto"/>
          <w:spacing w:val="20"/>
          <w:sz w:val="32"/>
          <w:szCs w:val="32"/>
        </w:rPr>
      </w:pPr>
      <w:r>
        <w:rPr>
          <w:color w:val="auto"/>
          <w:sz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52705</wp:posOffset>
                </wp:positionV>
                <wp:extent cx="737235" cy="379095"/>
                <wp:effectExtent l="0" t="0" r="0" b="0"/>
                <wp:wrapNone/>
                <wp:docPr id="102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235" cy="3790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distribute"/>
                              <w:rPr>
                                <w:rFonts w:ascii="楷体_GB2312" w:eastAsia="楷体_GB2312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23"/>
                              </w:rPr>
                              <w:t>内部资料</w:t>
                            </w:r>
                          </w:p>
                          <w:p>
                            <w:pPr>
                              <w:spacing w:before="31" w:beforeLines="10" w:line="240" w:lineRule="exact"/>
                              <w:jc w:val="distribute"/>
                              <w:rPr>
                                <w:rFonts w:ascii="楷体_GB2312" w:eastAsia="楷体_GB2312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23"/>
                              </w:rPr>
                              <w:t>注意保存</w:t>
                            </w:r>
                          </w:p>
                        </w:txbxContent>
                      </wps:txbx>
                      <wps:bodyPr lIns="53975" tIns="10795" rIns="53975" bIns="10795" upright="1"/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166.95pt;margin-top:4.15pt;height:29.85pt;width:58.05pt;z-index:251659264;mso-width-relative:page;mso-height-relative:page;" filled="f" stroked="f" coordsize="21600,21600" o:gfxdata="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qMmS4NgAAAAIAQAADwAAAAAAAAABACAAAAAiAAAAZHJzL2Rvd25yZXYueG1sUEsB&#10;AhQAFAAAAAgAh07iQHRH9yK8AQAAbwMAAA4AAAAAAAAAAQAgAAAAJw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4.25pt,0.85pt,4.25pt,0.85pt">
                  <w:txbxContent>
                    <w:p>
                      <w:pPr>
                        <w:spacing w:line="240" w:lineRule="exact"/>
                        <w:jc w:val="distribute"/>
                        <w:rPr>
                          <w:rFonts w:ascii="楷体_GB2312" w:eastAsia="楷体_GB2312"/>
                          <w:b/>
                          <w:sz w:val="23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sz w:val="23"/>
                        </w:rPr>
                        <w:t>内部资料</w:t>
                      </w:r>
                    </w:p>
                    <w:p>
                      <w:pPr>
                        <w:spacing w:before="31" w:beforeLines="10" w:line="240" w:lineRule="exact"/>
                        <w:jc w:val="distribute"/>
                        <w:rPr>
                          <w:rFonts w:ascii="楷体_GB2312" w:eastAsia="楷体_GB2312"/>
                          <w:b/>
                          <w:sz w:val="23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sz w:val="23"/>
                        </w:rPr>
                        <w:t>注意保存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00" w:lineRule="exact"/>
        <w:jc w:val="center"/>
        <w:rPr>
          <w:rFonts w:eastAsia="华文中宋"/>
          <w:color w:val="auto"/>
          <w:spacing w:val="20"/>
          <w:sz w:val="32"/>
          <w:szCs w:val="32"/>
        </w:rPr>
      </w:pPr>
    </w:p>
    <w:p>
      <w:pPr>
        <w:jc w:val="center"/>
        <w:rPr>
          <w:rFonts w:eastAsia="黑体"/>
          <w:b/>
          <w:bCs/>
          <w:color w:val="auto"/>
          <w:w w:val="80"/>
          <w:sz w:val="56"/>
        </w:rPr>
      </w:pPr>
      <w:r>
        <w:rPr>
          <w:rFonts w:eastAsia="黑体"/>
          <w:b/>
          <w:bCs/>
          <w:color w:val="auto"/>
          <w:w w:val="80"/>
          <w:sz w:val="56"/>
        </w:rPr>
        <w:t>潜</w:t>
      </w:r>
      <w:r>
        <w:rPr>
          <w:rFonts w:hint="eastAsia" w:eastAsia="黑体"/>
          <w:b/>
          <w:bCs/>
          <w:color w:val="auto"/>
          <w:w w:val="80"/>
          <w:sz w:val="40"/>
          <w:szCs w:val="40"/>
        </w:rPr>
        <w:t xml:space="preserve"> </w:t>
      </w:r>
      <w:r>
        <w:rPr>
          <w:rFonts w:eastAsia="黑体"/>
          <w:b/>
          <w:bCs/>
          <w:color w:val="auto"/>
          <w:w w:val="80"/>
          <w:sz w:val="56"/>
        </w:rPr>
        <w:t>江</w:t>
      </w:r>
      <w:r>
        <w:rPr>
          <w:rFonts w:hint="eastAsia" w:eastAsia="黑体"/>
          <w:b/>
          <w:bCs/>
          <w:color w:val="auto"/>
          <w:w w:val="80"/>
          <w:sz w:val="40"/>
          <w:szCs w:val="40"/>
        </w:rPr>
        <w:t xml:space="preserve"> </w:t>
      </w:r>
      <w:r>
        <w:rPr>
          <w:rFonts w:eastAsia="黑体"/>
          <w:b/>
          <w:bCs/>
          <w:color w:val="auto"/>
          <w:w w:val="80"/>
          <w:sz w:val="56"/>
        </w:rPr>
        <w:t>统</w:t>
      </w:r>
      <w:r>
        <w:rPr>
          <w:rFonts w:hint="eastAsia" w:eastAsia="黑体"/>
          <w:b/>
          <w:bCs/>
          <w:color w:val="auto"/>
          <w:w w:val="80"/>
          <w:sz w:val="40"/>
          <w:szCs w:val="40"/>
        </w:rPr>
        <w:t xml:space="preserve"> </w:t>
      </w:r>
      <w:r>
        <w:rPr>
          <w:rFonts w:eastAsia="黑体"/>
          <w:b/>
          <w:bCs/>
          <w:color w:val="auto"/>
          <w:w w:val="80"/>
          <w:sz w:val="56"/>
        </w:rPr>
        <w:t>计</w:t>
      </w:r>
      <w:r>
        <w:rPr>
          <w:rFonts w:hint="eastAsia" w:eastAsia="黑体"/>
          <w:b/>
          <w:bCs/>
          <w:color w:val="auto"/>
          <w:w w:val="80"/>
          <w:sz w:val="40"/>
          <w:szCs w:val="40"/>
        </w:rPr>
        <w:t xml:space="preserve"> </w:t>
      </w:r>
      <w:r>
        <w:rPr>
          <w:rFonts w:eastAsia="黑体"/>
          <w:b/>
          <w:bCs/>
          <w:color w:val="auto"/>
          <w:w w:val="80"/>
          <w:sz w:val="56"/>
        </w:rPr>
        <w:t>月</w:t>
      </w:r>
      <w:r>
        <w:rPr>
          <w:rFonts w:hint="eastAsia" w:eastAsia="黑体"/>
          <w:b/>
          <w:bCs/>
          <w:color w:val="auto"/>
          <w:w w:val="80"/>
          <w:sz w:val="40"/>
          <w:szCs w:val="40"/>
        </w:rPr>
        <w:t xml:space="preserve"> </w:t>
      </w:r>
      <w:r>
        <w:rPr>
          <w:rFonts w:eastAsia="黑体"/>
          <w:b/>
          <w:bCs/>
          <w:color w:val="auto"/>
          <w:w w:val="80"/>
          <w:sz w:val="56"/>
        </w:rPr>
        <w:t>报</w:t>
      </w:r>
    </w:p>
    <w:p>
      <w:pPr>
        <w:spacing w:line="420" w:lineRule="exact"/>
        <w:jc w:val="center"/>
        <w:rPr>
          <w:color w:val="auto"/>
          <w:sz w:val="18"/>
        </w:rPr>
      </w:pPr>
    </w:p>
    <w:p>
      <w:pPr>
        <w:spacing w:line="420" w:lineRule="exact"/>
        <w:jc w:val="center"/>
        <w:rPr>
          <w:color w:val="auto"/>
          <w:sz w:val="18"/>
        </w:rPr>
      </w:pPr>
    </w:p>
    <w:p>
      <w:pPr>
        <w:spacing w:line="420" w:lineRule="exact"/>
        <w:jc w:val="center"/>
        <w:rPr>
          <w:color w:val="auto"/>
          <w:sz w:val="18"/>
        </w:rPr>
      </w:pPr>
    </w:p>
    <w:p>
      <w:pPr>
        <w:spacing w:line="420" w:lineRule="exact"/>
        <w:jc w:val="center"/>
        <w:rPr>
          <w:color w:val="auto"/>
          <w:sz w:val="18"/>
        </w:rPr>
      </w:pPr>
    </w:p>
    <w:p>
      <w:pPr>
        <w:spacing w:line="420" w:lineRule="exact"/>
        <w:jc w:val="center"/>
        <w:rPr>
          <w:color w:val="auto"/>
          <w:sz w:val="18"/>
        </w:rPr>
      </w:pPr>
    </w:p>
    <w:p>
      <w:pPr>
        <w:spacing w:line="420" w:lineRule="exact"/>
        <w:jc w:val="center"/>
        <w:rPr>
          <w:color w:val="auto"/>
          <w:sz w:val="18"/>
        </w:rPr>
      </w:pPr>
    </w:p>
    <w:p>
      <w:pPr>
        <w:spacing w:line="420" w:lineRule="exact"/>
        <w:jc w:val="center"/>
        <w:rPr>
          <w:color w:val="auto"/>
          <w:sz w:val="18"/>
        </w:rPr>
      </w:pPr>
    </w:p>
    <w:p>
      <w:pPr>
        <w:spacing w:line="420" w:lineRule="exact"/>
        <w:jc w:val="center"/>
        <w:rPr>
          <w:color w:val="auto"/>
          <w:sz w:val="18"/>
        </w:rPr>
      </w:pPr>
    </w:p>
    <w:p>
      <w:pPr>
        <w:spacing w:line="420" w:lineRule="exact"/>
        <w:jc w:val="center"/>
        <w:rPr>
          <w:color w:val="auto"/>
          <w:sz w:val="18"/>
        </w:rPr>
      </w:pPr>
    </w:p>
    <w:p>
      <w:pPr>
        <w:spacing w:line="420" w:lineRule="exact"/>
        <w:jc w:val="center"/>
        <w:rPr>
          <w:color w:val="auto"/>
          <w:sz w:val="18"/>
        </w:rPr>
      </w:pPr>
    </w:p>
    <w:p>
      <w:pPr>
        <w:spacing w:line="500" w:lineRule="exact"/>
        <w:jc w:val="center"/>
        <w:rPr>
          <w:color w:val="auto"/>
          <w:sz w:val="18"/>
        </w:rPr>
      </w:pPr>
    </w:p>
    <w:p>
      <w:pPr>
        <w:spacing w:line="420" w:lineRule="exact"/>
        <w:ind w:firstLine="862" w:firstLineChars="308"/>
        <w:rPr>
          <w:color w:val="auto"/>
          <w:spacing w:val="16"/>
          <w:sz w:val="28"/>
        </w:rPr>
      </w:pPr>
      <w:r>
        <w:rPr>
          <w:color w:val="auto"/>
          <w:sz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2355850</wp:posOffset>
                </wp:positionH>
                <wp:positionV relativeFrom="paragraph">
                  <wp:posOffset>67945</wp:posOffset>
                </wp:positionV>
                <wp:extent cx="482600" cy="365760"/>
                <wp:effectExtent l="0" t="0" r="0" b="0"/>
                <wp:wrapNone/>
                <wp:docPr id="1027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36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20" w:lineRule="exact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编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文本框 1" o:spid="_x0000_s1026" o:spt="1" style="position:absolute;left:0pt;margin-left:185.5pt;margin-top:5.35pt;height:28.8pt;width:38pt;z-index:251659264;mso-width-relative:page;mso-height-relative:page;" filled="f" stroked="f" coordsize="21600,21600" o:gfxdata="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HkXiDbaAAAACQEAAA8A&#10;AAAAAAAAAQAgAAAAIgAAAGRycy9kb3ducmV2LnhtbFBLAQIUABQAAAAIAIdO4kAoDXJqowEAADsD&#10;AAAOAAAAAAAAAAEAIAAAACkBAABkcnMvZTJvRG9jLnhtbFBLBQYAAAAABgAGAFkBAAA+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20" w:lineRule="exact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spacing w:val="16"/>
          <w:sz w:val="28"/>
        </w:rPr>
        <w:t>潜 江 市 统 计 局</w:t>
      </w:r>
    </w:p>
    <w:p>
      <w:pPr>
        <w:spacing w:line="420" w:lineRule="exact"/>
        <w:ind w:firstLine="826" w:firstLineChars="295"/>
        <w:rPr>
          <w:color w:val="auto"/>
          <w:sz w:val="28"/>
        </w:rPr>
      </w:pPr>
      <w:r>
        <w:rPr>
          <w:color w:val="auto"/>
          <w:sz w:val="28"/>
        </w:rPr>
        <w:t>国家统计局潜江调查队</w:t>
      </w:r>
    </w:p>
    <w:p>
      <w:pPr>
        <w:spacing w:line="400" w:lineRule="exact"/>
        <w:jc w:val="center"/>
        <w:rPr>
          <w:color w:val="auto"/>
          <w:sz w:val="28"/>
        </w:rPr>
      </w:pPr>
      <w:r>
        <w:rPr>
          <w:rFonts w:hint="eastAsia"/>
          <w:color w:val="auto"/>
          <w:sz w:val="28"/>
        </w:rPr>
        <w:t>202</w:t>
      </w:r>
      <w:r>
        <w:rPr>
          <w:rFonts w:hint="eastAsia"/>
          <w:color w:val="auto"/>
          <w:sz w:val="28"/>
          <w:lang w:val="en-US" w:eastAsia="zh-CN"/>
        </w:rPr>
        <w:t>3</w:t>
      </w:r>
      <w:r>
        <w:rPr>
          <w:rFonts w:hint="eastAsia"/>
          <w:color w:val="auto"/>
          <w:sz w:val="28"/>
        </w:rPr>
        <w:t>年</w:t>
      </w:r>
      <w:r>
        <w:rPr>
          <w:rFonts w:hint="eastAsia"/>
          <w:color w:val="auto"/>
          <w:sz w:val="28"/>
          <w:lang w:val="en-US" w:eastAsia="zh-CN"/>
        </w:rPr>
        <w:t>7</w:t>
      </w:r>
      <w:r>
        <w:rPr>
          <w:rFonts w:hint="eastAsia"/>
          <w:color w:val="auto"/>
          <w:sz w:val="28"/>
          <w:lang w:eastAsia="zh-CN"/>
        </w:rPr>
        <w:t>月</w:t>
      </w:r>
    </w:p>
    <w:p>
      <w:pPr>
        <w:rPr>
          <w:rFonts w:hint="eastAsia" w:ascii="黑体" w:hAnsi="黑体" w:eastAsia="黑体" w:cs="黑体"/>
          <w:b/>
          <w:bCs/>
          <w:color w:val="auto"/>
          <w:spacing w:val="57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pacing w:val="57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shd w:val="clear" w:fill="E6FAF0"/>
        <w:kinsoku/>
        <w:wordWrap/>
        <w:overflowPunct w:val="0"/>
        <w:topLinePunct w:val="0"/>
        <w:autoSpaceDE/>
        <w:autoSpaceDN/>
        <w:bidi w:val="0"/>
        <w:adjustRightInd/>
        <w:snapToGrid/>
        <w:spacing w:line="370" w:lineRule="exact"/>
        <w:ind w:right="-218" w:rightChars="-104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  <w:t>全市主要经济指标</w:t>
      </w:r>
    </w:p>
    <w:tbl>
      <w:tblPr>
        <w:tblStyle w:val="9"/>
        <w:tblW w:w="5050" w:type="pct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89"/>
        <w:gridCol w:w="151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3458" w:type="pct"/>
            <w:vMerge w:val="restart"/>
            <w:tcBorders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指</w:t>
            </w:r>
            <w:r>
              <w:rPr>
                <w:rFonts w:hint="eastAsia" w:hAnsi="宋体"/>
                <w:b/>
                <w:bCs/>
                <w:color w:val="auto"/>
                <w:sz w:val="20"/>
              </w:rPr>
              <w:t xml:space="preserve">    </w:t>
            </w:r>
            <w:r>
              <w:rPr>
                <w:rFonts w:hint="default" w:hAnsi="宋体"/>
                <w:b/>
                <w:bCs/>
                <w:color w:val="auto"/>
                <w:sz w:val="20"/>
              </w:rPr>
              <w:t>标</w:t>
            </w:r>
            <w:r>
              <w:rPr>
                <w:rFonts w:hint="eastAsia" w:hAnsi="宋体"/>
                <w:b/>
                <w:bCs/>
                <w:color w:val="auto"/>
                <w:sz w:val="20"/>
              </w:rPr>
              <w:t>（1-</w:t>
            </w: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7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月</w:t>
            </w:r>
            <w:r>
              <w:rPr>
                <w:rFonts w:hint="eastAsia" w:hAnsi="宋体"/>
                <w:b/>
                <w:bCs/>
                <w:color w:val="auto"/>
                <w:sz w:val="20"/>
              </w:rPr>
              <w:t>）</w:t>
            </w:r>
          </w:p>
        </w:tc>
        <w:tc>
          <w:tcPr>
            <w:tcW w:w="1541" w:type="pct"/>
            <w:tcBorders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/>
                <w:b/>
                <w:bCs/>
                <w:color w:val="auto"/>
                <w:sz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潜江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3458" w:type="pct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6" w:lineRule="exact"/>
              <w:ind w:left="0" w:right="0"/>
              <w:jc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</w:p>
        </w:tc>
        <w:tc>
          <w:tcPr>
            <w:tcW w:w="1541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1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增速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1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(%)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  <w:jc w:val="center"/>
        </w:trPr>
        <w:tc>
          <w:tcPr>
            <w:tcW w:w="3458" w:type="pct"/>
            <w:tcBorders>
              <w:top w:val="single" w:color="000000" w:sz="4" w:space="0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center"/>
              <w:rPr>
                <w:rFonts w:hint="eastAsia" w:ascii="微软雅黑 Light" w:hAnsi="微软雅黑 Light" w:eastAsia="宋体" w:cs="微软雅黑 Light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/>
                <w:b/>
                <w:color w:val="auto"/>
                <w:sz w:val="20"/>
                <w:szCs w:val="20"/>
              </w:rPr>
              <w:t>一、地区生产总值</w:t>
            </w:r>
            <w:r>
              <w:rPr>
                <w:rFonts w:hint="default" w:ascii="宋体" w:hAnsi="宋体"/>
                <w:b/>
                <w:color w:val="auto"/>
                <w:sz w:val="15"/>
                <w:szCs w:val="15"/>
              </w:rPr>
              <w:t>（</w:t>
            </w:r>
            <w:r>
              <w:rPr>
                <w:rFonts w:hint="eastAsia" w:ascii="宋体" w:hAnsi="宋体"/>
                <w:b/>
                <w:color w:val="auto"/>
                <w:sz w:val="15"/>
                <w:szCs w:val="15"/>
                <w:lang w:eastAsia="zh-CN"/>
              </w:rPr>
              <w:t>上半年</w:t>
            </w:r>
            <w:r>
              <w:rPr>
                <w:rFonts w:hint="eastAsia" w:ascii="宋体" w:hAnsi="宋体"/>
                <w:b/>
                <w:color w:val="auto"/>
                <w:sz w:val="15"/>
                <w:szCs w:val="15"/>
                <w:lang w:val="en-US" w:eastAsia="zh-CN"/>
              </w:rPr>
              <w:t>GDP</w:t>
            </w:r>
            <w:r>
              <w:rPr>
                <w:rFonts w:hint="eastAsia" w:ascii="宋体" w:hAnsi="宋体"/>
                <w:b/>
                <w:color w:val="auto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1541" w:type="pct"/>
            <w:tcBorders>
              <w:top w:val="single" w:color="000000" w:sz="4" w:space="0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6.3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exact"/>
          <w:jc w:val="center"/>
        </w:trPr>
        <w:tc>
          <w:tcPr>
            <w:tcW w:w="3458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default" w:ascii="宋体" w:hAnsi="宋体"/>
                <w:color w:val="auto"/>
                <w:sz w:val="20"/>
                <w:szCs w:val="20"/>
              </w:rPr>
              <w:t>#第一产业</w:t>
            </w:r>
          </w:p>
        </w:tc>
        <w:tc>
          <w:tcPr>
            <w:tcW w:w="1541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2.9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exact"/>
          <w:jc w:val="center"/>
        </w:trPr>
        <w:tc>
          <w:tcPr>
            <w:tcW w:w="3458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第二产业</w:t>
            </w:r>
          </w:p>
        </w:tc>
        <w:tc>
          <w:tcPr>
            <w:tcW w:w="1541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exact"/>
          <w:jc w:val="center"/>
        </w:trPr>
        <w:tc>
          <w:tcPr>
            <w:tcW w:w="3458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第三产业</w:t>
            </w:r>
          </w:p>
        </w:tc>
        <w:tc>
          <w:tcPr>
            <w:tcW w:w="1541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4.1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exact"/>
          <w:jc w:val="center"/>
        </w:trPr>
        <w:tc>
          <w:tcPr>
            <w:tcW w:w="3458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b/>
                <w:color w:val="auto"/>
                <w:sz w:val="20"/>
                <w:szCs w:val="20"/>
              </w:rPr>
              <w:t>二、规模以上工业增加值</w:t>
            </w:r>
          </w:p>
        </w:tc>
        <w:tc>
          <w:tcPr>
            <w:tcW w:w="1541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6.1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exact"/>
          <w:jc w:val="center"/>
        </w:trPr>
        <w:tc>
          <w:tcPr>
            <w:tcW w:w="3458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eastAsia" w:ascii="微软雅黑 Light" w:hAnsi="微软雅黑 Light" w:eastAsia="宋体" w:cs="微软雅黑 Light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三、全社会用电量</w:t>
            </w:r>
            <w:r>
              <w:rPr>
                <w:rFonts w:hint="default" w:ascii="宋体" w:hAnsi="宋体"/>
                <w:b/>
                <w:color w:val="auto"/>
                <w:sz w:val="15"/>
                <w:szCs w:val="15"/>
              </w:rPr>
              <w:t>(亿千瓦时)</w:t>
            </w:r>
          </w:p>
        </w:tc>
        <w:tc>
          <w:tcPr>
            <w:tcW w:w="1541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3.0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exact"/>
          <w:jc w:val="center"/>
        </w:trPr>
        <w:tc>
          <w:tcPr>
            <w:tcW w:w="3458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#工业用电量</w:t>
            </w:r>
          </w:p>
        </w:tc>
        <w:tc>
          <w:tcPr>
            <w:tcW w:w="1541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1.5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exact"/>
          <w:jc w:val="center"/>
        </w:trPr>
        <w:tc>
          <w:tcPr>
            <w:tcW w:w="3458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四、进出口总额</w:t>
            </w:r>
          </w:p>
        </w:tc>
        <w:tc>
          <w:tcPr>
            <w:tcW w:w="1541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-18.5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exact"/>
          <w:jc w:val="center"/>
        </w:trPr>
        <w:tc>
          <w:tcPr>
            <w:tcW w:w="3458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  #进 口</w:t>
            </w:r>
          </w:p>
        </w:tc>
        <w:tc>
          <w:tcPr>
            <w:tcW w:w="1541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-16.0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exact"/>
          <w:jc w:val="center"/>
        </w:trPr>
        <w:tc>
          <w:tcPr>
            <w:tcW w:w="3458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出 口</w:t>
            </w:r>
          </w:p>
        </w:tc>
        <w:tc>
          <w:tcPr>
            <w:tcW w:w="1541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-31.9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exact"/>
          <w:jc w:val="center"/>
        </w:trPr>
        <w:tc>
          <w:tcPr>
            <w:tcW w:w="3458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五、财政总收入</w:t>
            </w:r>
          </w:p>
        </w:tc>
        <w:tc>
          <w:tcPr>
            <w:tcW w:w="1541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55.9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exact"/>
          <w:jc w:val="center"/>
        </w:trPr>
        <w:tc>
          <w:tcPr>
            <w:tcW w:w="3458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#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地方一般公共预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算收入</w:t>
            </w:r>
          </w:p>
        </w:tc>
        <w:tc>
          <w:tcPr>
            <w:tcW w:w="1541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20.1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exact"/>
          <w:jc w:val="center"/>
        </w:trPr>
        <w:tc>
          <w:tcPr>
            <w:tcW w:w="3458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税收收入</w:t>
            </w:r>
          </w:p>
        </w:tc>
        <w:tc>
          <w:tcPr>
            <w:tcW w:w="1541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22.7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exact"/>
          <w:jc w:val="center"/>
        </w:trPr>
        <w:tc>
          <w:tcPr>
            <w:tcW w:w="3458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b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地方一般公共预算支出</w:t>
            </w:r>
          </w:p>
        </w:tc>
        <w:tc>
          <w:tcPr>
            <w:tcW w:w="1541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-2.9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exact"/>
          <w:jc w:val="center"/>
        </w:trPr>
        <w:tc>
          <w:tcPr>
            <w:tcW w:w="3458" w:type="pct"/>
            <w:tcBorders>
              <w:top w:val="nil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六、金融机构存款余额</w:t>
            </w:r>
            <w:r>
              <w:rPr>
                <w:rFonts w:hint="eastAsia" w:ascii="宋体" w:hAnsi="宋体"/>
                <w:b/>
                <w:color w:val="auto"/>
                <w:sz w:val="15"/>
                <w:szCs w:val="15"/>
              </w:rPr>
              <w:t>（本外币）</w:t>
            </w:r>
          </w:p>
        </w:tc>
        <w:tc>
          <w:tcPr>
            <w:tcW w:w="1541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12.7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exact"/>
          <w:jc w:val="center"/>
        </w:trPr>
        <w:tc>
          <w:tcPr>
            <w:tcW w:w="3458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#住户存款</w:t>
            </w:r>
          </w:p>
        </w:tc>
        <w:tc>
          <w:tcPr>
            <w:tcW w:w="1541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17.3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exact"/>
          <w:jc w:val="center"/>
        </w:trPr>
        <w:tc>
          <w:tcPr>
            <w:tcW w:w="3458" w:type="pct"/>
            <w:tcBorders>
              <w:top w:val="nil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b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  <w:t>金融机构贷款余额</w:t>
            </w:r>
            <w:r>
              <w:rPr>
                <w:rFonts w:hint="eastAsia" w:ascii="宋体" w:hAnsi="宋体"/>
                <w:b/>
                <w:color w:val="auto"/>
                <w:sz w:val="15"/>
                <w:szCs w:val="15"/>
              </w:rPr>
              <w:t>（本外币）</w:t>
            </w:r>
          </w:p>
        </w:tc>
        <w:tc>
          <w:tcPr>
            <w:tcW w:w="1541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21.4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exact"/>
          <w:jc w:val="center"/>
        </w:trPr>
        <w:tc>
          <w:tcPr>
            <w:tcW w:w="3458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#短期贷款</w:t>
            </w:r>
          </w:p>
        </w:tc>
        <w:tc>
          <w:tcPr>
            <w:tcW w:w="1541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19.7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exact"/>
          <w:jc w:val="center"/>
        </w:trPr>
        <w:tc>
          <w:tcPr>
            <w:tcW w:w="3458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  <w:t>七、固定资产投资</w:t>
            </w:r>
          </w:p>
        </w:tc>
        <w:tc>
          <w:tcPr>
            <w:tcW w:w="1541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6.1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exact"/>
          <w:jc w:val="center"/>
        </w:trPr>
        <w:tc>
          <w:tcPr>
            <w:tcW w:w="3458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#民间投资</w:t>
            </w:r>
          </w:p>
        </w:tc>
        <w:tc>
          <w:tcPr>
            <w:tcW w:w="1541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19.6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exact"/>
          <w:jc w:val="center"/>
        </w:trPr>
        <w:tc>
          <w:tcPr>
            <w:tcW w:w="3458" w:type="pct"/>
            <w:tcBorders>
              <w:top w:val="nil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   工业投资</w:t>
            </w:r>
          </w:p>
        </w:tc>
        <w:tc>
          <w:tcPr>
            <w:tcW w:w="1541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3.7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exact"/>
          <w:jc w:val="center"/>
        </w:trPr>
        <w:tc>
          <w:tcPr>
            <w:tcW w:w="3458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     #工业技改投资</w:t>
            </w:r>
          </w:p>
        </w:tc>
        <w:tc>
          <w:tcPr>
            <w:tcW w:w="1541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3.5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exact"/>
          <w:jc w:val="center"/>
        </w:trPr>
        <w:tc>
          <w:tcPr>
            <w:tcW w:w="3458" w:type="pct"/>
            <w:tcBorders>
              <w:top w:val="nil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   基础设施投资</w:t>
            </w:r>
          </w:p>
        </w:tc>
        <w:tc>
          <w:tcPr>
            <w:tcW w:w="1541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-23.2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exact"/>
          <w:jc w:val="center"/>
        </w:trPr>
        <w:tc>
          <w:tcPr>
            <w:tcW w:w="3458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   改建与技术改造</w:t>
            </w:r>
          </w:p>
        </w:tc>
        <w:tc>
          <w:tcPr>
            <w:tcW w:w="1541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-16.7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exact"/>
          <w:jc w:val="center"/>
        </w:trPr>
        <w:tc>
          <w:tcPr>
            <w:tcW w:w="3458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  <w:t>八、社会消费品零售额</w:t>
            </w:r>
          </w:p>
        </w:tc>
        <w:tc>
          <w:tcPr>
            <w:tcW w:w="1541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9.2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exact"/>
          <w:jc w:val="center"/>
        </w:trPr>
        <w:tc>
          <w:tcPr>
            <w:tcW w:w="3458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  <w:t>九、实际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使用外资</w:t>
            </w:r>
            <w:r>
              <w:rPr>
                <w:rFonts w:hint="eastAsia" w:ascii="宋体" w:hAnsi="宋体"/>
                <w:b/>
                <w:color w:val="auto"/>
                <w:sz w:val="15"/>
                <w:szCs w:val="15"/>
              </w:rPr>
              <w:t>（</w:t>
            </w:r>
            <w:r>
              <w:rPr>
                <w:rFonts w:hint="eastAsia" w:ascii="宋体" w:hAnsi="宋体"/>
                <w:b/>
                <w:color w:val="auto"/>
                <w:sz w:val="15"/>
                <w:szCs w:val="15"/>
                <w:lang w:val="en-US" w:eastAsia="zh-CN"/>
              </w:rPr>
              <w:t>1-6月</w:t>
            </w:r>
            <w:r>
              <w:rPr>
                <w:rFonts w:hint="eastAsia" w:ascii="宋体" w:hAnsi="宋体"/>
                <w:b/>
                <w:color w:val="auto"/>
                <w:sz w:val="15"/>
                <w:szCs w:val="15"/>
              </w:rPr>
              <w:t>万美元）</w:t>
            </w:r>
          </w:p>
        </w:tc>
        <w:tc>
          <w:tcPr>
            <w:tcW w:w="1541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-28.0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  <w:jc w:val="center"/>
        </w:trPr>
        <w:tc>
          <w:tcPr>
            <w:tcW w:w="3458" w:type="pct"/>
            <w:tcBorders>
              <w:top w:val="nil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  <w:t>十、人均可支配收入</w:t>
            </w:r>
            <w:r>
              <w:rPr>
                <w:rFonts w:hint="eastAsia" w:ascii="宋体" w:hAnsi="宋体"/>
                <w:b/>
                <w:color w:val="auto"/>
                <w:sz w:val="15"/>
                <w:szCs w:val="15"/>
                <w:lang w:eastAsia="zh-CN"/>
              </w:rPr>
              <w:t>（上半年）</w:t>
            </w:r>
            <w:r>
              <w:rPr>
                <w:rFonts w:hint="default" w:ascii="宋体" w:hAnsi="宋体"/>
                <w:b/>
                <w:color w:val="auto"/>
                <w:sz w:val="15"/>
                <w:szCs w:val="15"/>
              </w:rPr>
              <w:t>（元）</w:t>
            </w:r>
          </w:p>
        </w:tc>
        <w:tc>
          <w:tcPr>
            <w:tcW w:w="1541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exact"/>
          <w:jc w:val="center"/>
        </w:trPr>
        <w:tc>
          <w:tcPr>
            <w:tcW w:w="3458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 #城镇常住居民</w:t>
            </w:r>
          </w:p>
        </w:tc>
        <w:tc>
          <w:tcPr>
            <w:tcW w:w="1541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6.0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  <w:jc w:val="center"/>
        </w:trPr>
        <w:tc>
          <w:tcPr>
            <w:tcW w:w="3458" w:type="pct"/>
            <w:tcBorders>
              <w:top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  农村常住居民</w:t>
            </w:r>
          </w:p>
        </w:tc>
        <w:tc>
          <w:tcPr>
            <w:tcW w:w="1541" w:type="pct"/>
            <w:tcBorders>
              <w:top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7.5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32" w:beforeLines="10" w:line="180" w:lineRule="exact"/>
        <w:jc w:val="both"/>
        <w:textAlignment w:val="auto"/>
        <w:rPr>
          <w:rFonts w:hint="eastAsia" w:ascii="Calibri" w:hAnsi="Calibri" w:eastAsia="仿宋" w:cs="Calibri"/>
          <w:b/>
          <w:bCs/>
          <w:color w:val="auto"/>
          <w:sz w:val="16"/>
          <w:szCs w:val="16"/>
          <w:lang w:eastAsia="zh-CN"/>
        </w:rPr>
      </w:pPr>
      <w:r>
        <w:rPr>
          <w:rFonts w:hint="eastAsia" w:ascii="Calibri" w:hAnsi="Calibri" w:eastAsia="仿宋" w:cs="Calibri"/>
          <w:b/>
          <w:bCs/>
          <w:color w:val="auto"/>
          <w:sz w:val="16"/>
          <w:szCs w:val="16"/>
          <w:lang w:eastAsia="zh-CN"/>
        </w:rPr>
        <w:t>注：①</w:t>
      </w:r>
      <w:r>
        <w:rPr>
          <w:rFonts w:hint="eastAsia" w:ascii="Calibri" w:hAnsi="Calibri" w:eastAsia="仿宋" w:cs="Calibri"/>
          <w:b/>
          <w:bCs/>
          <w:color w:val="auto"/>
          <w:kern w:val="2"/>
          <w:sz w:val="16"/>
          <w:szCs w:val="16"/>
          <w:lang w:val="en-US" w:eastAsia="zh-CN" w:bidi="ar-SA"/>
        </w:rPr>
        <w:t>GDP总量数据不等于各产业（行业）之和，是由于数值修约误差所致，未作机械调整</w:t>
      </w:r>
      <w:r>
        <w:rPr>
          <w:rFonts w:hint="eastAsia" w:ascii="Calibri" w:hAnsi="Calibri" w:eastAsia="仿宋" w:cs="Calibri"/>
          <w:b/>
          <w:bCs/>
          <w:color w:val="auto"/>
          <w:sz w:val="16"/>
          <w:szCs w:val="16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180" w:lineRule="exact"/>
        <w:ind w:firstLine="320" w:firstLineChars="200"/>
        <w:textAlignment w:val="auto"/>
        <w:rPr>
          <w:rFonts w:hint="eastAsia" w:ascii="Calibri" w:hAnsi="Calibri" w:eastAsia="仿宋" w:cs="Calibri"/>
          <w:b/>
          <w:bCs/>
          <w:color w:val="auto"/>
          <w:sz w:val="16"/>
          <w:szCs w:val="16"/>
          <w:lang w:eastAsia="zh-CN"/>
        </w:rPr>
      </w:pPr>
      <w:r>
        <w:rPr>
          <w:rFonts w:hint="eastAsia" w:ascii="Calibri" w:hAnsi="Calibri" w:eastAsia="仿宋" w:cs="Calibri"/>
          <w:b/>
          <w:bCs/>
          <w:color w:val="auto"/>
          <w:sz w:val="16"/>
          <w:szCs w:val="16"/>
          <w:lang w:eastAsia="zh-CN"/>
        </w:rPr>
        <w:t>②税收收入采用财政厅反馈数据，指地方级税收收入；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180" w:lineRule="exact"/>
        <w:ind w:firstLine="320" w:firstLineChars="200"/>
        <w:textAlignment w:val="auto"/>
        <w:rPr>
          <w:rFonts w:hint="eastAsia" w:ascii="Calibri" w:hAnsi="Calibri" w:eastAsia="仿宋" w:cs="Calibri"/>
          <w:b/>
          <w:bCs/>
          <w:color w:val="auto"/>
          <w:sz w:val="16"/>
          <w:szCs w:val="16"/>
          <w:lang w:eastAsia="zh-CN"/>
        </w:rPr>
      </w:pPr>
      <w:r>
        <w:rPr>
          <w:rFonts w:hint="eastAsia" w:ascii="Calibri" w:hAnsi="Calibri" w:eastAsia="仿宋" w:cs="Calibri"/>
          <w:b/>
          <w:bCs/>
          <w:color w:val="auto"/>
          <w:kern w:val="2"/>
          <w:sz w:val="16"/>
          <w:szCs w:val="16"/>
          <w:lang w:val="en-US" w:eastAsia="zh-CN" w:bidi="ar-SA"/>
        </w:rPr>
        <w:t>③</w:t>
      </w:r>
      <w:r>
        <w:rPr>
          <w:rFonts w:hint="eastAsia" w:ascii="Calibri" w:hAnsi="Calibri" w:eastAsia="仿宋" w:cs="Calibri"/>
          <w:b/>
          <w:bCs/>
          <w:color w:val="auto"/>
          <w:sz w:val="16"/>
          <w:szCs w:val="16"/>
          <w:lang w:eastAsia="zh-CN"/>
        </w:rPr>
        <w:t>自202</w:t>
      </w:r>
      <w:r>
        <w:rPr>
          <w:rFonts w:hint="eastAsia" w:ascii="Calibri" w:hAnsi="Calibri" w:eastAsia="仿宋" w:cs="Calibri"/>
          <w:b/>
          <w:bCs/>
          <w:color w:val="auto"/>
          <w:sz w:val="16"/>
          <w:szCs w:val="16"/>
          <w:lang w:val="en-US" w:eastAsia="zh-CN"/>
        </w:rPr>
        <w:t>2</w:t>
      </w:r>
      <w:r>
        <w:rPr>
          <w:rFonts w:hint="eastAsia" w:ascii="Calibri" w:hAnsi="Calibri" w:eastAsia="仿宋" w:cs="Calibri"/>
          <w:b/>
          <w:bCs/>
          <w:color w:val="auto"/>
          <w:sz w:val="16"/>
          <w:szCs w:val="16"/>
          <w:lang w:eastAsia="zh-CN"/>
        </w:rPr>
        <w:t>年7月起，实际使用外资采用商务厅反馈数据</w:t>
      </w:r>
      <w:r>
        <w:rPr>
          <w:rFonts w:hint="eastAsia" w:ascii="Calibri" w:hAnsi="Calibri" w:eastAsia="仿宋" w:cs="Calibri"/>
          <w:b/>
          <w:bCs/>
          <w:color w:val="auto"/>
          <w:kern w:val="2"/>
          <w:sz w:val="16"/>
          <w:szCs w:val="16"/>
          <w:lang w:val="en-US" w:eastAsia="zh-CN" w:bidi="ar-SA"/>
        </w:rPr>
        <w:t>。</w:t>
      </w:r>
    </w:p>
    <w:p>
      <w:pPr>
        <w:spacing w:line="180" w:lineRule="exact"/>
        <w:rPr>
          <w:rFonts w:hint="eastAsia" w:ascii="Calibri" w:hAnsi="Calibri" w:eastAsia="仿宋" w:cs="Calibri"/>
          <w:b/>
          <w:bCs/>
          <w:color w:val="auto"/>
          <w:sz w:val="16"/>
          <w:szCs w:val="16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57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shd w:val="clear" w:fill="E6FAF0"/>
        <w:kinsoku/>
        <w:wordWrap/>
        <w:overflowPunct w:val="0"/>
        <w:topLinePunct w:val="0"/>
        <w:autoSpaceDE/>
        <w:autoSpaceDN/>
        <w:bidi w:val="0"/>
        <w:adjustRightInd/>
        <w:snapToGrid/>
        <w:spacing w:line="370" w:lineRule="exact"/>
        <w:ind w:right="-218" w:rightChars="-104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val="en-US" w:eastAsia="zh-CN"/>
        </w:rPr>
        <w:t>2023年上半年</w:t>
      </w: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  <w:t>国民经济核算</w:t>
      </w:r>
    </w:p>
    <w:tbl>
      <w:tblPr>
        <w:tblStyle w:val="9"/>
        <w:tblW w:w="4799" w:type="dxa"/>
        <w:jc w:val="center"/>
        <w:tblBorders>
          <w:top w:val="none" w:color="auto" w:sz="0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single" w:color="000000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779"/>
        <w:gridCol w:w="1091"/>
        <w:gridCol w:w="929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8" w:hRule="atLeast"/>
          <w:jc w:val="center"/>
        </w:trPr>
        <w:tc>
          <w:tcPr>
            <w:tcW w:w="277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="宋体"/>
                <w:color w:val="auto"/>
                <w:sz w:val="20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指  标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（</w:t>
            </w: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上半年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）</w:t>
            </w:r>
          </w:p>
        </w:tc>
        <w:tc>
          <w:tcPr>
            <w:tcW w:w="2020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eastAsia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潜江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5" w:hRule="atLeast"/>
          <w:jc w:val="center"/>
        </w:trPr>
        <w:tc>
          <w:tcPr>
            <w:tcW w:w="277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0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总量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/>
                <w:b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（亿元）</w:t>
            </w:r>
          </w:p>
        </w:tc>
        <w:tc>
          <w:tcPr>
            <w:tcW w:w="9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增速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/>
                <w:b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(%)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3" w:hRule="atLeast"/>
          <w:jc w:val="center"/>
        </w:trPr>
        <w:tc>
          <w:tcPr>
            <w:tcW w:w="2779" w:type="dxa"/>
            <w:tcBorders>
              <w:top w:val="single" w:color="auto" w:sz="4" w:space="0"/>
            </w:tcBorders>
            <w:shd w:val="clear" w:color="auto" w:fill="E6FAF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68" w:rightChars="80"/>
              <w:rPr>
                <w:rFonts w:hint="default"/>
                <w:color w:val="auto"/>
                <w:sz w:val="20"/>
              </w:rPr>
            </w:pPr>
            <w:bookmarkStart w:id="0" w:name="OLE_LINK2" w:colFirst="0" w:colLast="0"/>
            <w:r>
              <w:rPr>
                <w:rFonts w:hint="default" w:hAnsi="宋体"/>
                <w:b/>
                <w:bCs/>
                <w:color w:val="auto"/>
                <w:sz w:val="20"/>
              </w:rPr>
              <w:t>潜江市</w:t>
            </w:r>
            <w:r>
              <w:rPr>
                <w:rFonts w:hint="eastAsia" w:hAnsi="宋体"/>
                <w:b/>
                <w:bCs/>
                <w:color w:val="auto"/>
                <w:sz w:val="20"/>
              </w:rPr>
              <w:t>地区</w:t>
            </w:r>
            <w:r>
              <w:rPr>
                <w:rFonts w:hint="default" w:hAnsi="宋体"/>
                <w:b/>
                <w:bCs/>
                <w:color w:val="auto"/>
                <w:sz w:val="20"/>
              </w:rPr>
              <w:t>生产总值</w:t>
            </w:r>
          </w:p>
        </w:tc>
        <w:tc>
          <w:tcPr>
            <w:tcW w:w="1091" w:type="dxa"/>
            <w:tcBorders>
              <w:top w:val="single" w:color="auto" w:sz="4" w:space="0"/>
            </w:tcBorders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449.34</w:t>
            </w:r>
          </w:p>
        </w:tc>
        <w:tc>
          <w:tcPr>
            <w:tcW w:w="929" w:type="dxa"/>
            <w:tcBorders>
              <w:top w:val="single" w:color="auto" w:sz="4" w:space="0"/>
            </w:tcBorders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3" w:hRule="atLeast"/>
          <w:jc w:val="center"/>
        </w:trPr>
        <w:tc>
          <w:tcPr>
            <w:tcW w:w="27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rPr>
                <w:rFonts w:hint="default" w:hAnsi="宋体"/>
                <w:color w:val="auto"/>
                <w:sz w:val="20"/>
              </w:rPr>
            </w:pPr>
            <w:r>
              <w:rPr>
                <w:rFonts w:hint="eastAsia" w:hAnsi="宋体"/>
                <w:color w:val="auto"/>
                <w:sz w:val="20"/>
              </w:rPr>
              <w:t>农林牧渔业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41.33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3" w:hRule="atLeast"/>
          <w:jc w:val="center"/>
        </w:trPr>
        <w:tc>
          <w:tcPr>
            <w:tcW w:w="2779" w:type="dxa"/>
            <w:shd w:val="clear" w:color="auto" w:fill="E6FAF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rPr>
                <w:rFonts w:hint="default" w:hAnsi="宋体"/>
                <w:color w:val="auto"/>
                <w:sz w:val="20"/>
              </w:rPr>
            </w:pPr>
            <w:r>
              <w:rPr>
                <w:rFonts w:hint="eastAsia" w:hAnsi="宋体"/>
                <w:color w:val="auto"/>
                <w:sz w:val="20"/>
              </w:rPr>
              <w:t>工业</w:t>
            </w:r>
          </w:p>
        </w:tc>
        <w:tc>
          <w:tcPr>
            <w:tcW w:w="1091" w:type="dxa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197.62</w:t>
            </w:r>
          </w:p>
        </w:tc>
        <w:tc>
          <w:tcPr>
            <w:tcW w:w="929" w:type="dxa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3" w:hRule="atLeast"/>
          <w:jc w:val="center"/>
        </w:trPr>
        <w:tc>
          <w:tcPr>
            <w:tcW w:w="27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rPr>
                <w:rFonts w:hint="default" w:hAnsi="宋体"/>
                <w:color w:val="auto"/>
                <w:sz w:val="20"/>
              </w:rPr>
            </w:pPr>
            <w:r>
              <w:rPr>
                <w:rFonts w:hint="eastAsia" w:hAnsi="宋体"/>
                <w:color w:val="auto"/>
                <w:sz w:val="20"/>
              </w:rPr>
              <w:t>建筑业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18.18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3" w:hRule="atLeast"/>
          <w:jc w:val="center"/>
        </w:trPr>
        <w:tc>
          <w:tcPr>
            <w:tcW w:w="2779" w:type="dxa"/>
            <w:shd w:val="clear" w:color="auto" w:fill="E6FAF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rPr>
                <w:rFonts w:hint="default" w:hAnsi="宋体"/>
                <w:color w:val="auto"/>
                <w:sz w:val="20"/>
              </w:rPr>
            </w:pPr>
            <w:r>
              <w:rPr>
                <w:rFonts w:hint="eastAsia" w:hAnsi="宋体"/>
                <w:color w:val="auto"/>
                <w:sz w:val="20"/>
              </w:rPr>
              <w:t>批发和零售业</w:t>
            </w:r>
          </w:p>
        </w:tc>
        <w:tc>
          <w:tcPr>
            <w:tcW w:w="1091" w:type="dxa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25.00</w:t>
            </w:r>
          </w:p>
        </w:tc>
        <w:tc>
          <w:tcPr>
            <w:tcW w:w="929" w:type="dxa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3" w:hRule="atLeast"/>
          <w:jc w:val="center"/>
        </w:trPr>
        <w:tc>
          <w:tcPr>
            <w:tcW w:w="27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rPr>
                <w:rFonts w:hint="default" w:hAnsi="宋体"/>
                <w:color w:val="auto"/>
                <w:sz w:val="20"/>
              </w:rPr>
            </w:pPr>
            <w:r>
              <w:rPr>
                <w:rFonts w:hint="eastAsia" w:hAnsi="宋体"/>
                <w:color w:val="auto"/>
                <w:sz w:val="20"/>
              </w:rPr>
              <w:t>交通运输、仓储及邮政业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29.00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3" w:hRule="atLeast"/>
          <w:jc w:val="center"/>
        </w:trPr>
        <w:tc>
          <w:tcPr>
            <w:tcW w:w="2779" w:type="dxa"/>
            <w:shd w:val="clear" w:color="auto" w:fill="E6FAF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rPr>
                <w:rFonts w:hint="default" w:hAnsi="宋体"/>
                <w:color w:val="auto"/>
                <w:sz w:val="20"/>
              </w:rPr>
            </w:pPr>
            <w:r>
              <w:rPr>
                <w:rFonts w:hint="eastAsia" w:hAnsi="宋体"/>
                <w:color w:val="auto"/>
                <w:sz w:val="20"/>
              </w:rPr>
              <w:t>住宿业和餐饮业</w:t>
            </w:r>
          </w:p>
        </w:tc>
        <w:tc>
          <w:tcPr>
            <w:tcW w:w="1091" w:type="dxa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13.25</w:t>
            </w:r>
          </w:p>
        </w:tc>
        <w:tc>
          <w:tcPr>
            <w:tcW w:w="929" w:type="dxa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3" w:hRule="atLeast"/>
          <w:jc w:val="center"/>
        </w:trPr>
        <w:tc>
          <w:tcPr>
            <w:tcW w:w="27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rPr>
                <w:rFonts w:hint="default" w:hAnsi="宋体"/>
                <w:color w:val="auto"/>
                <w:sz w:val="20"/>
              </w:rPr>
            </w:pPr>
            <w:r>
              <w:rPr>
                <w:rFonts w:hint="eastAsia" w:hAnsi="宋体"/>
                <w:color w:val="auto"/>
                <w:sz w:val="20"/>
              </w:rPr>
              <w:t>金融业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23.54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3" w:hRule="atLeast"/>
          <w:jc w:val="center"/>
        </w:trPr>
        <w:tc>
          <w:tcPr>
            <w:tcW w:w="2779" w:type="dxa"/>
            <w:shd w:val="clear" w:color="auto" w:fill="E6FAF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rPr>
                <w:rFonts w:hint="default" w:hAnsi="宋体"/>
                <w:color w:val="auto"/>
                <w:sz w:val="20"/>
              </w:rPr>
            </w:pPr>
            <w:r>
              <w:rPr>
                <w:rFonts w:hint="eastAsia" w:hAnsi="宋体"/>
                <w:color w:val="auto"/>
                <w:sz w:val="20"/>
              </w:rPr>
              <w:t>房地产业</w:t>
            </w:r>
          </w:p>
        </w:tc>
        <w:tc>
          <w:tcPr>
            <w:tcW w:w="1091" w:type="dxa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23.53</w:t>
            </w:r>
          </w:p>
        </w:tc>
        <w:tc>
          <w:tcPr>
            <w:tcW w:w="929" w:type="dxa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3" w:hRule="atLeast"/>
          <w:jc w:val="center"/>
        </w:trPr>
        <w:tc>
          <w:tcPr>
            <w:tcW w:w="27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rPr>
                <w:rFonts w:hint="default" w:hAnsi="宋体"/>
                <w:color w:val="auto"/>
                <w:sz w:val="20"/>
              </w:rPr>
            </w:pPr>
            <w:r>
              <w:rPr>
                <w:rFonts w:hint="eastAsia" w:hAnsi="宋体"/>
                <w:color w:val="auto"/>
                <w:sz w:val="20"/>
              </w:rPr>
              <w:t>其他服务业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77.89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3" w:hRule="atLeast"/>
          <w:jc w:val="center"/>
        </w:trPr>
        <w:tc>
          <w:tcPr>
            <w:tcW w:w="2779" w:type="dxa"/>
            <w:shd w:val="clear" w:color="auto" w:fill="E6FAF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68" w:rightChars="80" w:firstLine="600" w:firstLineChars="300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营利性服务业</w:t>
            </w:r>
          </w:p>
        </w:tc>
        <w:tc>
          <w:tcPr>
            <w:tcW w:w="1091" w:type="dxa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49.25</w:t>
            </w:r>
          </w:p>
        </w:tc>
        <w:tc>
          <w:tcPr>
            <w:tcW w:w="929" w:type="dxa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3" w:hRule="atLeast"/>
          <w:jc w:val="center"/>
        </w:trPr>
        <w:tc>
          <w:tcPr>
            <w:tcW w:w="27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68" w:rightChars="80" w:firstLine="600" w:firstLineChars="300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非营利性服务业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28.64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3" w:hRule="atLeast"/>
          <w:jc w:val="center"/>
        </w:trPr>
        <w:tc>
          <w:tcPr>
            <w:tcW w:w="2779" w:type="dxa"/>
            <w:shd w:val="clear" w:color="auto" w:fill="E6FAF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68" w:rightChars="80" w:firstLine="310" w:firstLineChars="155"/>
              <w:rPr>
                <w:rFonts w:hint="default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第一产业</w:t>
            </w:r>
          </w:p>
        </w:tc>
        <w:tc>
          <w:tcPr>
            <w:tcW w:w="1091" w:type="dxa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39.39</w:t>
            </w:r>
          </w:p>
        </w:tc>
        <w:tc>
          <w:tcPr>
            <w:tcW w:w="929" w:type="dxa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3" w:hRule="atLeast"/>
          <w:jc w:val="center"/>
        </w:trPr>
        <w:tc>
          <w:tcPr>
            <w:tcW w:w="27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68" w:rightChars="80" w:firstLine="310" w:firstLineChars="155"/>
              <w:rPr>
                <w:rFonts w:hint="default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第二产业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210.08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3" w:hRule="atLeast"/>
          <w:jc w:val="center"/>
        </w:trPr>
        <w:tc>
          <w:tcPr>
            <w:tcW w:w="2779" w:type="dxa"/>
            <w:tcBorders>
              <w:bottom w:val="single" w:color="000000" w:sz="6" w:space="0"/>
            </w:tcBorders>
            <w:shd w:val="clear" w:color="auto" w:fill="E6FAF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68" w:rightChars="80" w:firstLine="310" w:firstLineChars="155"/>
              <w:rPr>
                <w:rFonts w:hint="default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第三产业</w:t>
            </w:r>
          </w:p>
          <w:bookmarkEnd w:id="0"/>
        </w:tc>
        <w:tc>
          <w:tcPr>
            <w:tcW w:w="1091" w:type="dxa"/>
            <w:tcBorders>
              <w:bottom w:val="single" w:color="000000" w:sz="6" w:space="0"/>
            </w:tcBorders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199.88</w:t>
            </w:r>
          </w:p>
        </w:tc>
        <w:tc>
          <w:tcPr>
            <w:tcW w:w="929" w:type="dxa"/>
            <w:tcBorders>
              <w:bottom w:val="single" w:color="000000" w:sz="6" w:space="0"/>
            </w:tcBorders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6" w:hRule="atLeast"/>
          <w:jc w:val="center"/>
        </w:trPr>
        <w:tc>
          <w:tcPr>
            <w:tcW w:w="2779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68" w:rightChars="80" w:firstLine="294" w:firstLineChars="147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三次产业比重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68" w:rightChars="80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（一产：二产：三产）</w:t>
            </w:r>
          </w:p>
        </w:tc>
        <w:tc>
          <w:tcPr>
            <w:tcW w:w="2020" w:type="dxa"/>
            <w:gridSpan w:val="2"/>
            <w:tcBorders>
              <w:top w:val="single" w:color="000000" w:sz="6" w:space="0"/>
              <w:bottom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8.8:46.8:44.5</w:t>
            </w:r>
          </w:p>
        </w:tc>
      </w:tr>
    </w:tbl>
    <w:p>
      <w:pPr>
        <w:adjustRightInd w:val="0"/>
        <w:snapToGrid w:val="0"/>
        <w:spacing w:line="320" w:lineRule="exact"/>
        <w:jc w:val="left"/>
        <w:rPr>
          <w:rFonts w:hint="eastAsia" w:ascii="仿宋" w:hAnsi="仿宋" w:eastAsia="仿宋" w:cs="仿宋"/>
          <w:b/>
          <w:bCs/>
          <w:color w:val="auto"/>
          <w:w w:val="90"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color w:val="auto"/>
          <w:w w:val="90"/>
          <w:sz w:val="18"/>
          <w:szCs w:val="18"/>
        </w:rPr>
        <w:t>注：地区生产总值为季度核算。</w:t>
      </w:r>
    </w:p>
    <w:p>
      <w:pPr>
        <w:rPr>
          <w:rFonts w:eastAsia="黑体"/>
          <w:b/>
          <w:bCs/>
          <w:color w:val="auto"/>
          <w:spacing w:val="20"/>
          <w:sz w:val="28"/>
          <w:szCs w:val="28"/>
        </w:rPr>
      </w:pPr>
      <w:r>
        <w:rPr>
          <w:rFonts w:hint="eastAsia" w:eastAsia="黑体"/>
          <w:b/>
          <w:bCs/>
          <w:color w:val="auto"/>
          <w:spacing w:val="20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shd w:val="clear" w:fill="E6FAF0"/>
        <w:kinsoku/>
        <w:wordWrap/>
        <w:overflowPunct w:val="0"/>
        <w:topLinePunct w:val="0"/>
        <w:autoSpaceDE/>
        <w:autoSpaceDN/>
        <w:bidi w:val="0"/>
        <w:adjustRightInd/>
        <w:snapToGrid/>
        <w:spacing w:line="370" w:lineRule="exact"/>
        <w:ind w:right="-218" w:rightChars="-104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  <w:t>工  业</w:t>
      </w:r>
    </w:p>
    <w:tbl>
      <w:tblPr>
        <w:tblStyle w:val="9"/>
        <w:tblW w:w="4819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0"/>
        <w:gridCol w:w="1629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319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 w:eastAsia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指  标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（</w:t>
            </w: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1-7月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）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潜江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9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增速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(%)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3190" w:type="dxa"/>
            <w:tcBorders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一、</w:t>
            </w:r>
            <w:r>
              <w:rPr>
                <w:rFonts w:hint="default" w:hAnsi="宋体"/>
                <w:b/>
                <w:bCs/>
                <w:color w:val="auto"/>
                <w:sz w:val="20"/>
              </w:rPr>
              <w:t>规模以上工业增加值</w:t>
            </w:r>
          </w:p>
        </w:tc>
        <w:tc>
          <w:tcPr>
            <w:tcW w:w="1629" w:type="dxa"/>
            <w:tcBorders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6.1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319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#轻工业</w:t>
            </w:r>
          </w:p>
        </w:tc>
        <w:tc>
          <w:tcPr>
            <w:tcW w:w="1629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-15.1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3190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重工业</w:t>
            </w:r>
          </w:p>
        </w:tc>
        <w:tc>
          <w:tcPr>
            <w:tcW w:w="1629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12.6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319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#农副食品加工业</w:t>
            </w:r>
          </w:p>
        </w:tc>
        <w:tc>
          <w:tcPr>
            <w:tcW w:w="1629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-11.1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3190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105" w:leftChars="50" w:right="0" w:firstLine="180" w:firstLineChars="10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医药制造业</w:t>
            </w:r>
          </w:p>
        </w:tc>
        <w:tc>
          <w:tcPr>
            <w:tcW w:w="1629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-23.2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319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105" w:leftChars="5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食品制造业</w:t>
            </w:r>
          </w:p>
        </w:tc>
        <w:tc>
          <w:tcPr>
            <w:tcW w:w="1629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27.2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3190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105" w:leftChars="5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纺织服装、服饰业</w:t>
            </w:r>
          </w:p>
        </w:tc>
        <w:tc>
          <w:tcPr>
            <w:tcW w:w="1629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-37.1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319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105" w:leftChars="5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家具制造业</w:t>
            </w:r>
          </w:p>
        </w:tc>
        <w:tc>
          <w:tcPr>
            <w:tcW w:w="1629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-41.0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3190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105" w:leftChars="50" w:right="0" w:firstLine="180" w:firstLineChars="10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石油和天然气开采业</w:t>
            </w:r>
          </w:p>
        </w:tc>
        <w:tc>
          <w:tcPr>
            <w:tcW w:w="1629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0.7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319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105" w:leftChars="50" w:right="0" w:firstLine="180" w:firstLineChars="10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开采专业及辅助性活动</w:t>
            </w:r>
          </w:p>
        </w:tc>
        <w:tc>
          <w:tcPr>
            <w:tcW w:w="1629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1.1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3190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105" w:leftChars="5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 石油、煤炭及其他燃料加工业 </w:t>
            </w:r>
          </w:p>
        </w:tc>
        <w:tc>
          <w:tcPr>
            <w:tcW w:w="1629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26.6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319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105" w:leftChars="5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1629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13.9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3190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105" w:leftChars="5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电线、电缆、光缆及电工器材制造</w:t>
            </w:r>
          </w:p>
        </w:tc>
        <w:tc>
          <w:tcPr>
            <w:tcW w:w="1629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17.7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319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二、</w:t>
            </w:r>
            <w:r>
              <w:rPr>
                <w:rFonts w:hint="default" w:hAnsi="宋体"/>
                <w:b/>
                <w:bCs/>
                <w:color w:val="auto"/>
                <w:sz w:val="20"/>
              </w:rPr>
              <w:t>规模以上工业总产值</w:t>
            </w:r>
          </w:p>
        </w:tc>
        <w:tc>
          <w:tcPr>
            <w:tcW w:w="1629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3190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工业产销率（%）</w:t>
            </w:r>
          </w:p>
        </w:tc>
        <w:tc>
          <w:tcPr>
            <w:tcW w:w="1629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94.8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319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工业销售产值</w:t>
            </w:r>
          </w:p>
        </w:tc>
        <w:tc>
          <w:tcPr>
            <w:tcW w:w="1629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-5.7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3190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#出口交货值</w:t>
            </w:r>
          </w:p>
        </w:tc>
        <w:tc>
          <w:tcPr>
            <w:tcW w:w="1629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-17.5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319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三、工业经济效益（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1-6月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）</w:t>
            </w:r>
          </w:p>
        </w:tc>
        <w:tc>
          <w:tcPr>
            <w:tcW w:w="1629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3190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pict>
                <v:shape id="1042" o:spid="_x0000_s1026" o:spt="75" type="#_x0000_t75" style="position:absolute;left:0pt;margin-left:0pt;margin-top:0pt;height:0.85pt;width:203.25pt;z-index:251659264;mso-width-relative:page;mso-height-relative:page;" o:ole="t" filled="f" stroked="f" coordsize="21600,21600">
                  <v:path/>
                  <v:fill on="f" focussize="0,0"/>
                  <v:stroke on="f"/>
                  <v:imagedata r:id="rId7" embosscolor="#FFFFFF" o:title=""/>
                  <o:lock v:ext="edit" aspectratio="t"/>
                </v:shape>
                <o:OLEObject Type="Embed" ProgID="Excel.Chart.8" ShapeID="1042" DrawAspect="Content" ObjectID="_1468075725" r:id="rId6">
                  <o:LockedField>false</o:LockedField>
                </o:OLEObject>
              </w:pic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81275" cy="10795"/>
                  <wp:effectExtent l="0" t="0" r="0" b="0"/>
                  <wp:wrapNone/>
                  <wp:docPr id="1043" name="图表_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图表_2_SpCnt_3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10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81275" cy="10795"/>
                  <wp:effectExtent l="0" t="0" r="0" b="0"/>
                  <wp:wrapNone/>
                  <wp:docPr id="1044" name="图表_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图表_2_SpCnt_4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10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81275" cy="10795"/>
                  <wp:effectExtent l="0" t="0" r="0" b="0"/>
                  <wp:wrapNone/>
                  <wp:docPr id="1045" name="图表_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图表_2_SpCnt_5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10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81275" cy="10795"/>
                  <wp:effectExtent l="0" t="0" r="0" b="0"/>
                  <wp:wrapNone/>
                  <wp:docPr id="1046" name="图表_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图表_2_SpCnt_6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10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81275" cy="10795"/>
                  <wp:effectExtent l="0" t="0" r="0" b="0"/>
                  <wp:wrapNone/>
                  <wp:docPr id="1047" name="图表_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图表_2_SpCnt_7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10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营业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>收入</w:t>
            </w:r>
          </w:p>
        </w:tc>
        <w:tc>
          <w:tcPr>
            <w:tcW w:w="1629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-11.9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319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营业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>成本</w:t>
            </w:r>
          </w:p>
        </w:tc>
        <w:tc>
          <w:tcPr>
            <w:tcW w:w="1629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-12.4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190" w:type="dxa"/>
            <w:tcBorders>
              <w:top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>利润总额</w:t>
            </w:r>
          </w:p>
        </w:tc>
        <w:tc>
          <w:tcPr>
            <w:tcW w:w="1629" w:type="dxa"/>
            <w:tcBorders>
              <w:top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-59.5</w:t>
            </w:r>
          </w:p>
        </w:tc>
      </w:tr>
    </w:tbl>
    <w:p>
      <w:pPr>
        <w:jc w:val="center"/>
        <w:rPr>
          <w:rFonts w:ascii="黑体" w:hAnsi="黑体" w:eastAsia="黑体" w:cs="黑体"/>
          <w:b/>
          <w:bCs/>
          <w:color w:val="auto"/>
          <w:spacing w:val="57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pacing w:val="57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shd w:val="clear" w:fill="E6FAF0"/>
        <w:kinsoku/>
        <w:wordWrap/>
        <w:overflowPunct w:val="0"/>
        <w:topLinePunct w:val="0"/>
        <w:autoSpaceDE/>
        <w:autoSpaceDN/>
        <w:bidi w:val="0"/>
        <w:adjustRightInd/>
        <w:snapToGrid/>
        <w:spacing w:line="370" w:lineRule="exact"/>
        <w:ind w:right="-218" w:rightChars="-104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  <w:t>固定资产投资    房地产</w:t>
      </w:r>
    </w:p>
    <w:tbl>
      <w:tblPr>
        <w:tblStyle w:val="9"/>
        <w:tblW w:w="5071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09"/>
        <w:gridCol w:w="16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363" w:type="pct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 w:eastAsia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指  标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（</w:t>
            </w: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1-7月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）</w:t>
            </w:r>
          </w:p>
        </w:tc>
        <w:tc>
          <w:tcPr>
            <w:tcW w:w="1636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潜江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363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增速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363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15"/>
                <w:szCs w:val="15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一、固定资产投资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6.1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3363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#第一产业</w:t>
            </w:r>
          </w:p>
        </w:tc>
        <w:tc>
          <w:tcPr>
            <w:tcW w:w="1636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64.4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3363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第二产业</w:t>
            </w:r>
          </w:p>
        </w:tc>
        <w:tc>
          <w:tcPr>
            <w:tcW w:w="1636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4.4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3363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 #工业</w:t>
            </w:r>
          </w:p>
        </w:tc>
        <w:tc>
          <w:tcPr>
            <w:tcW w:w="1636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3.7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3363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540" w:firstLineChars="30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第三产业</w:t>
            </w:r>
          </w:p>
        </w:tc>
        <w:tc>
          <w:tcPr>
            <w:tcW w:w="1636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6.5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336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540" w:firstLineChars="30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房地产开发投资额（亿元）</w:t>
            </w:r>
          </w:p>
        </w:tc>
        <w:tc>
          <w:tcPr>
            <w:tcW w:w="1636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-21.2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336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#自筹资金</w:t>
            </w:r>
          </w:p>
        </w:tc>
        <w:tc>
          <w:tcPr>
            <w:tcW w:w="1636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-32.5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336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住宅类投资</w:t>
            </w:r>
          </w:p>
        </w:tc>
        <w:tc>
          <w:tcPr>
            <w:tcW w:w="1636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-26.3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336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二、项目建设</w:t>
            </w:r>
          </w:p>
        </w:tc>
        <w:tc>
          <w:tcPr>
            <w:tcW w:w="1636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336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540" w:firstLineChars="30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施工项目数（个）</w:t>
            </w:r>
          </w:p>
        </w:tc>
        <w:tc>
          <w:tcPr>
            <w:tcW w:w="1636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336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#新开工项目数</w:t>
            </w:r>
          </w:p>
        </w:tc>
        <w:tc>
          <w:tcPr>
            <w:tcW w:w="1636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-17.1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336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三、商品房建设与销售</w:t>
            </w:r>
          </w:p>
        </w:tc>
        <w:tc>
          <w:tcPr>
            <w:tcW w:w="1636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rPr>
          <w:trHeight w:val="343" w:hRule="atLeast"/>
        </w:trPr>
        <w:tc>
          <w:tcPr>
            <w:tcW w:w="336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360" w:firstLineChars="20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月末商品房施工面积（万平方米）</w:t>
            </w:r>
          </w:p>
        </w:tc>
        <w:tc>
          <w:tcPr>
            <w:tcW w:w="1636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336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#住宅</w:t>
            </w:r>
          </w:p>
        </w:tc>
        <w:tc>
          <w:tcPr>
            <w:tcW w:w="1636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336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360" w:firstLineChars="20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商品房竣工面积（万平方米）</w:t>
            </w:r>
          </w:p>
        </w:tc>
        <w:tc>
          <w:tcPr>
            <w:tcW w:w="1636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-97.3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336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540" w:firstLineChars="30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#住宅</w:t>
            </w:r>
          </w:p>
        </w:tc>
        <w:tc>
          <w:tcPr>
            <w:tcW w:w="1636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-96.7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336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360" w:firstLineChars="20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商品房销售面积（万平方米）</w:t>
            </w:r>
          </w:p>
        </w:tc>
        <w:tc>
          <w:tcPr>
            <w:tcW w:w="1636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336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#住宅</w:t>
            </w:r>
          </w:p>
        </w:tc>
        <w:tc>
          <w:tcPr>
            <w:tcW w:w="1636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-6.4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336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360" w:firstLineChars="20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月末商品房待售面积（万平方米）</w:t>
            </w:r>
          </w:p>
        </w:tc>
        <w:tc>
          <w:tcPr>
            <w:tcW w:w="1636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3363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#住宅</w:t>
            </w:r>
          </w:p>
        </w:tc>
        <w:tc>
          <w:tcPr>
            <w:tcW w:w="1636" w:type="pct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12.4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-159" w:rightChars="-76"/>
        <w:textAlignment w:val="auto"/>
        <w:rPr>
          <w:rFonts w:hint="eastAsia" w:ascii="仿宋" w:hAnsi="仿宋" w:eastAsia="仿宋" w:cs="仿宋"/>
          <w:b/>
          <w:bCs/>
          <w:color w:val="auto"/>
          <w:spacing w:val="-6"/>
          <w:w w:val="90"/>
          <w:sz w:val="16"/>
          <w:szCs w:val="16"/>
        </w:rPr>
      </w:pPr>
      <w:r>
        <w:rPr>
          <w:rFonts w:hint="eastAsia" w:ascii="仿宋" w:hAnsi="仿宋" w:eastAsia="仿宋" w:cs="仿宋"/>
          <w:b/>
          <w:bCs/>
          <w:color w:val="auto"/>
          <w:spacing w:val="-6"/>
          <w:w w:val="90"/>
          <w:sz w:val="16"/>
          <w:szCs w:val="16"/>
        </w:rPr>
        <w:t>注：项目个数为</w:t>
      </w:r>
      <w:r>
        <w:rPr>
          <w:rFonts w:hint="eastAsia" w:ascii="仿宋" w:hAnsi="仿宋" w:eastAsia="仿宋" w:cs="仿宋"/>
          <w:b/>
          <w:bCs/>
          <w:color w:val="auto"/>
          <w:spacing w:val="-6"/>
          <w:w w:val="90"/>
          <w:sz w:val="16"/>
          <w:szCs w:val="16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auto"/>
          <w:spacing w:val="-6"/>
          <w:w w:val="90"/>
          <w:sz w:val="16"/>
          <w:szCs w:val="16"/>
        </w:rPr>
        <w:t>00万元以上固定资产投资项目和房地产开发项目，施工项目为本年在建项目，新开工项目为本年开工项目。</w:t>
      </w:r>
      <w:r>
        <w:rPr>
          <w:rFonts w:hint="eastAsia" w:ascii="仿宋" w:hAnsi="仿宋" w:eastAsia="仿宋" w:cs="仿宋"/>
          <w:b/>
          <w:bCs/>
          <w:color w:val="auto"/>
          <w:spacing w:val="-6"/>
          <w:w w:val="90"/>
          <w:sz w:val="16"/>
          <w:szCs w:val="16"/>
        </w:rPr>
        <w:br w:type="page"/>
      </w:r>
    </w:p>
    <w:p>
      <w:pPr>
        <w:keepNext w:val="0"/>
        <w:keepLines w:val="0"/>
        <w:pageBreakBefore w:val="0"/>
        <w:widowControl w:val="0"/>
        <w:shd w:val="clear" w:fill="E6FAF0"/>
        <w:kinsoku/>
        <w:wordWrap/>
        <w:overflowPunct w:val="0"/>
        <w:topLinePunct w:val="0"/>
        <w:autoSpaceDE/>
        <w:autoSpaceDN/>
        <w:bidi w:val="0"/>
        <w:adjustRightInd/>
        <w:snapToGrid/>
        <w:spacing w:line="370" w:lineRule="exact"/>
        <w:ind w:right="-218" w:rightChars="-104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  <w:t xml:space="preserve"> 贸易   重点服务业</w:t>
      </w:r>
    </w:p>
    <w:tbl>
      <w:tblPr>
        <w:tblStyle w:val="9"/>
        <w:tblW w:w="49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3"/>
        <w:gridCol w:w="17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3243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hAnsi="宋体" w:eastAsia="宋体"/>
                <w:b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一、贸易（1-7月）</w:t>
            </w:r>
          </w:p>
        </w:tc>
        <w:tc>
          <w:tcPr>
            <w:tcW w:w="17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hAnsi="宋体" w:eastAsia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潜江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32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增速(%)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  <w:t>社会消费品零售额</w:t>
            </w:r>
          </w:p>
        </w:tc>
        <w:tc>
          <w:tcPr>
            <w:tcW w:w="173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9.2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#限额以上</w:t>
            </w:r>
          </w:p>
        </w:tc>
        <w:tc>
          <w:tcPr>
            <w:tcW w:w="173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9.5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jc w:val="left"/>
              <w:textAlignment w:val="center"/>
              <w:rPr>
                <w:rFonts w:hint="eastAsia" w:ascii="微软雅黑 Light" w:hAnsi="微软雅黑 Light" w:eastAsia="宋体" w:cs="微软雅黑 Light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限额以上</w:t>
            </w:r>
            <w:r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  <w:t>销售额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（营业额）</w:t>
            </w:r>
          </w:p>
        </w:tc>
        <w:tc>
          <w:tcPr>
            <w:tcW w:w="173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#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限上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批发业销售额</w:t>
            </w:r>
          </w:p>
        </w:tc>
        <w:tc>
          <w:tcPr>
            <w:tcW w:w="173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32.9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限上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零售业销售额</w:t>
            </w:r>
          </w:p>
        </w:tc>
        <w:tc>
          <w:tcPr>
            <w:tcW w:w="173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11.0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限上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住宿业营业额</w:t>
            </w:r>
          </w:p>
        </w:tc>
        <w:tc>
          <w:tcPr>
            <w:tcW w:w="173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6.0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3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限上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餐饮业营业额</w:t>
            </w:r>
          </w:p>
        </w:tc>
        <w:tc>
          <w:tcPr>
            <w:tcW w:w="173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-1.7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32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二、重点服务业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(1-6月）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潜江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3243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增速(%)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3243" w:type="dxa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规模以上服务业营业收入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5.0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jc w:val="left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>其他交通运输和仓储业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营业收入</w:t>
            </w:r>
          </w:p>
        </w:tc>
        <w:tc>
          <w:tcPr>
            <w:tcW w:w="173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324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jc w:val="left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>其他营利性服务业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营业收入</w:t>
            </w:r>
          </w:p>
        </w:tc>
        <w:tc>
          <w:tcPr>
            <w:tcW w:w="1736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15.2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" w:beforeLines="15" w:line="240" w:lineRule="exact"/>
        <w:ind w:right="-159" w:rightChars="-76"/>
        <w:textAlignment w:val="auto"/>
        <w:rPr>
          <w:rFonts w:ascii="仿宋" w:hAnsi="仿宋" w:eastAsia="仿宋" w:cs="仿宋"/>
          <w:b/>
          <w:bCs/>
          <w:color w:val="auto"/>
          <w:spacing w:val="-6"/>
          <w:w w:val="90"/>
          <w:sz w:val="16"/>
          <w:szCs w:val="16"/>
        </w:rPr>
      </w:pPr>
      <w:r>
        <w:rPr>
          <w:rFonts w:hint="eastAsia" w:ascii="仿宋" w:hAnsi="仿宋" w:eastAsia="仿宋" w:cs="仿宋"/>
          <w:b/>
          <w:bCs/>
          <w:color w:val="auto"/>
          <w:spacing w:val="-6"/>
          <w:w w:val="90"/>
          <w:sz w:val="16"/>
          <w:szCs w:val="16"/>
        </w:rPr>
        <w:t>注：</w:t>
      </w:r>
      <w:r>
        <w:rPr>
          <w:rFonts w:hint="eastAsia" w:ascii="仿宋" w:hAnsi="仿宋" w:eastAsia="仿宋" w:cs="仿宋"/>
          <w:b/>
          <w:bCs/>
          <w:color w:val="auto"/>
          <w:spacing w:val="-6"/>
          <w:w w:val="90"/>
          <w:sz w:val="16"/>
          <w:szCs w:val="16"/>
          <w:lang w:eastAsia="zh-CN"/>
        </w:rPr>
        <w:t>自202</w:t>
      </w:r>
      <w:r>
        <w:rPr>
          <w:rFonts w:hint="eastAsia" w:ascii="仿宋" w:hAnsi="仿宋" w:eastAsia="仿宋" w:cs="仿宋"/>
          <w:b/>
          <w:bCs/>
          <w:color w:val="auto"/>
          <w:spacing w:val="-6"/>
          <w:w w:val="90"/>
          <w:sz w:val="16"/>
          <w:szCs w:val="16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  <w:spacing w:val="-6"/>
          <w:w w:val="90"/>
          <w:sz w:val="16"/>
          <w:szCs w:val="16"/>
        </w:rPr>
        <w:t>年8月起，其他交通运输和仓储业统计口径为管道运输业、多式联运和运输代理业、装卸搬运和仓储业（剔除谷物、棉花等农产品仓储）。</w:t>
      </w:r>
    </w:p>
    <w:p>
      <w:pP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shd w:val="clear" w:fill="E6FAF0"/>
        <w:kinsoku/>
        <w:wordWrap/>
        <w:overflowPunct w:val="0"/>
        <w:topLinePunct w:val="0"/>
        <w:autoSpaceDE/>
        <w:autoSpaceDN/>
        <w:bidi w:val="0"/>
        <w:adjustRightInd/>
        <w:snapToGrid/>
        <w:spacing w:line="370" w:lineRule="exact"/>
        <w:ind w:right="-218" w:rightChars="-104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  <w:t xml:space="preserve">高新技术产业  文化产业   </w:t>
      </w:r>
    </w:p>
    <w:tbl>
      <w:tblPr>
        <w:tblStyle w:val="9"/>
        <w:tblW w:w="47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6"/>
        <w:gridCol w:w="1091"/>
        <w:gridCol w:w="10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2646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600" w:right="0" w:hanging="600" w:hangingChars="300"/>
              <w:jc w:val="left"/>
              <w:textAlignment w:val="center"/>
              <w:rPr>
                <w:rFonts w:hint="eastAsia" w:hAnsi="宋体" w:eastAsia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一、</w:t>
            </w: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规上</w:t>
            </w:r>
            <w:r>
              <w:rPr>
                <w:rFonts w:hint="eastAsia" w:hAnsi="宋体"/>
                <w:b/>
                <w:bCs/>
                <w:color w:val="auto"/>
                <w:sz w:val="20"/>
              </w:rPr>
              <w:t>高新技术产业</w:t>
            </w: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 xml:space="preserve">     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（上半年）</w:t>
            </w:r>
          </w:p>
        </w:tc>
        <w:tc>
          <w:tcPr>
            <w:tcW w:w="213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 w:eastAsia="宋体"/>
                <w:b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潜江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26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总量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（亿元）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增速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264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规上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高新技术产业增加值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69.82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13.3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264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#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制造业</w:t>
            </w: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60.6</w:t>
            </w:r>
          </w:p>
        </w:tc>
        <w:tc>
          <w:tcPr>
            <w:tcW w:w="104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14.7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264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建筑业</w:t>
            </w: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2.8</w:t>
            </w:r>
          </w:p>
        </w:tc>
        <w:tc>
          <w:tcPr>
            <w:tcW w:w="104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23.3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264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 服务业</w:t>
            </w: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6.5</w:t>
            </w:r>
          </w:p>
        </w:tc>
        <w:tc>
          <w:tcPr>
            <w:tcW w:w="104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-4.1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264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二、规上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文化产业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exact"/>
              <w:ind w:left="420" w:leftChars="200" w:right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上半年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潜江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2646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总量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（亿元）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增速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2646" w:type="dxa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 w:bidi="ar-SA"/>
              </w:rPr>
              <w:t>规上文化产业营业收入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6.1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62.7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64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 w:firstLine="400" w:firstLineChars="200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#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新闻信息服务</w:t>
            </w: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0.82</w:t>
            </w:r>
          </w:p>
        </w:tc>
        <w:tc>
          <w:tcPr>
            <w:tcW w:w="104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360.5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64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 w:firstLine="400" w:firstLineChars="200"/>
              <w:jc w:val="left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内容创作生产</w:t>
            </w: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0.52</w:t>
            </w:r>
          </w:p>
        </w:tc>
        <w:tc>
          <w:tcPr>
            <w:tcW w:w="104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84.0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264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00" w:firstLineChars="20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创意设计服务</w:t>
            </w: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0.19</w:t>
            </w:r>
          </w:p>
        </w:tc>
        <w:tc>
          <w:tcPr>
            <w:tcW w:w="104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-45.5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64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 w:firstLine="400" w:firstLineChars="200"/>
              <w:jc w:val="left"/>
              <w:textAlignment w:val="center"/>
              <w:rPr>
                <w:rFonts w:hint="default"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文化传播渠道</w:t>
            </w: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0.09</w:t>
            </w:r>
          </w:p>
        </w:tc>
        <w:tc>
          <w:tcPr>
            <w:tcW w:w="104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40.5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64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 w:firstLine="400" w:firstLineChars="200"/>
              <w:jc w:val="left"/>
              <w:textAlignment w:val="center"/>
              <w:rPr>
                <w:rFonts w:hint="default"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文化投资运营</w:t>
            </w: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04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64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 w:firstLine="400" w:firstLineChars="200"/>
              <w:jc w:val="left"/>
              <w:textAlignment w:val="center"/>
              <w:rPr>
                <w:rFonts w:hint="default"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文化娱乐休闲服务</w:t>
            </w: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0.02</w:t>
            </w:r>
          </w:p>
        </w:tc>
        <w:tc>
          <w:tcPr>
            <w:tcW w:w="104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-53.6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64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 w:firstLine="400" w:firstLineChars="200"/>
              <w:jc w:val="left"/>
              <w:textAlignment w:val="center"/>
              <w:rPr>
                <w:rFonts w:hint="default"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文化辅助生产和中介服务</w:t>
            </w: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3.21</w:t>
            </w:r>
          </w:p>
        </w:tc>
        <w:tc>
          <w:tcPr>
            <w:tcW w:w="104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138.2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264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00" w:firstLineChars="20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文化装备生产</w:t>
            </w: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04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264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00" w:firstLineChars="200"/>
              <w:jc w:val="both"/>
              <w:rPr>
                <w:rFonts w:hint="default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文化消费终端生产</w:t>
            </w: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1.24</w:t>
            </w:r>
          </w:p>
        </w:tc>
        <w:tc>
          <w:tcPr>
            <w:tcW w:w="1042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-16.3</w:t>
            </w:r>
          </w:p>
        </w:tc>
      </w:tr>
    </w:tbl>
    <w:p>
      <w:pP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shd w:val="clear" w:fill="E6FAF0"/>
        <w:kinsoku/>
        <w:wordWrap/>
        <w:overflowPunct w:val="0"/>
        <w:topLinePunct w:val="0"/>
        <w:autoSpaceDE/>
        <w:autoSpaceDN/>
        <w:bidi w:val="0"/>
        <w:adjustRightInd/>
        <w:snapToGrid/>
        <w:spacing w:line="370" w:lineRule="exact"/>
        <w:ind w:right="-218" w:rightChars="-104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  <w:t>供电  对外经济</w:t>
      </w:r>
    </w:p>
    <w:tbl>
      <w:tblPr>
        <w:tblStyle w:val="9"/>
        <w:tblW w:w="479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6"/>
        <w:gridCol w:w="19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2866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 w:eastAsia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指标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（</w:t>
            </w: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1-7月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）</w:t>
            </w:r>
          </w:p>
        </w:tc>
        <w:tc>
          <w:tcPr>
            <w:tcW w:w="193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潜江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28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增速</w:t>
            </w:r>
            <w:r>
              <w:rPr>
                <w:rFonts w:hint="eastAsia" w:hAnsi="宋体"/>
                <w:b/>
                <w:bCs/>
                <w:color w:val="auto"/>
                <w:sz w:val="20"/>
              </w:rPr>
              <w:t>(</w:t>
            </w:r>
            <w:r>
              <w:rPr>
                <w:rFonts w:hint="default" w:hAnsi="宋体"/>
                <w:b/>
                <w:bCs/>
                <w:color w:val="auto"/>
                <w:sz w:val="20"/>
              </w:rPr>
              <w:t>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866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left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一、全社会用电量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3.0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28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>#一产业</w:t>
            </w: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17.3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28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>二产业</w:t>
            </w: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28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#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>工业</w:t>
            </w: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28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三产业</w:t>
            </w: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4.8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2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微软雅黑 Light" w:hAnsi="微软雅黑 Light" w:eastAsia="微软雅黑 Light" w:cs="微软雅黑 Light"/>
                <w:bCs/>
                <w:color w:val="auto"/>
                <w:sz w:val="20"/>
                <w:szCs w:val="20"/>
              </w:rPr>
            </w:pP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 xml:space="preserve">  #城乡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>居民生活用电量</w:t>
            </w: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8.8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2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二、对外经济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增速（%）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28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>进出口总额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-18.5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28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  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>#进口</w:t>
            </w: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-16.0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28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  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出口</w:t>
            </w: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-31.9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286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实际使用外资（1-6月 万美元）</w:t>
            </w: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-28.0</w:t>
            </w:r>
          </w:p>
        </w:tc>
      </w:tr>
    </w:tbl>
    <w:p>
      <w:pPr>
        <w:spacing w:line="180" w:lineRule="exact"/>
        <w:rPr>
          <w:rFonts w:hint="eastAsia" w:ascii="Calibri" w:hAnsi="Calibri" w:eastAsia="仿宋" w:cs="Calibri"/>
          <w:b/>
          <w:bCs/>
          <w:color w:val="auto"/>
          <w:sz w:val="16"/>
          <w:szCs w:val="16"/>
        </w:rPr>
      </w:pPr>
      <w:r>
        <w:rPr>
          <w:rFonts w:hint="eastAsia" w:eastAsia="仿宋"/>
          <w:b/>
          <w:bCs/>
          <w:color w:val="auto"/>
          <w:sz w:val="16"/>
          <w:szCs w:val="16"/>
        </w:rPr>
        <w:t>注：</w:t>
      </w:r>
      <w:r>
        <w:rPr>
          <w:rFonts w:hint="eastAsia" w:ascii="Calibri" w:hAnsi="Calibri" w:eastAsia="仿宋" w:cs="Calibri"/>
          <w:b/>
          <w:bCs/>
          <w:color w:val="auto"/>
          <w:sz w:val="16"/>
          <w:szCs w:val="16"/>
        </w:rPr>
        <w:t>自</w:t>
      </w:r>
      <w:r>
        <w:rPr>
          <w:rFonts w:hint="eastAsia" w:ascii="Calibri" w:hAnsi="Calibri" w:eastAsia="仿宋" w:cs="Calibri"/>
          <w:b/>
          <w:bCs/>
          <w:color w:val="auto"/>
          <w:sz w:val="16"/>
          <w:szCs w:val="16"/>
          <w:lang w:eastAsia="zh-CN"/>
        </w:rPr>
        <w:t>202</w:t>
      </w:r>
      <w:r>
        <w:rPr>
          <w:rFonts w:hint="eastAsia" w:ascii="Calibri" w:hAnsi="Calibri" w:eastAsia="仿宋" w:cs="Calibri"/>
          <w:b/>
          <w:bCs/>
          <w:color w:val="auto"/>
          <w:sz w:val="16"/>
          <w:szCs w:val="16"/>
          <w:lang w:val="en-US" w:eastAsia="zh-CN"/>
        </w:rPr>
        <w:t>2</w:t>
      </w:r>
      <w:r>
        <w:rPr>
          <w:rFonts w:hint="eastAsia" w:ascii="Calibri" w:hAnsi="Calibri" w:eastAsia="仿宋" w:cs="Calibri"/>
          <w:b/>
          <w:bCs/>
          <w:color w:val="auto"/>
          <w:sz w:val="16"/>
          <w:szCs w:val="16"/>
        </w:rPr>
        <w:t>年7月起，实际使用外资采用商务厅反馈数据。</w:t>
      </w:r>
    </w:p>
    <w:p>
      <w:pPr>
        <w:keepNext w:val="0"/>
        <w:keepLines w:val="0"/>
        <w:pageBreakBefore w:val="0"/>
        <w:widowControl w:val="0"/>
        <w:shd w:val="clear" w:fill="E6FAF0"/>
        <w:kinsoku/>
        <w:wordWrap/>
        <w:overflowPunct w:val="0"/>
        <w:topLinePunct w:val="0"/>
        <w:autoSpaceDE/>
        <w:autoSpaceDN/>
        <w:bidi w:val="0"/>
        <w:adjustRightInd/>
        <w:snapToGrid/>
        <w:spacing w:line="370" w:lineRule="exact"/>
        <w:ind w:right="-218" w:rightChars="-104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  <w:t>财  政  收  支</w:t>
      </w:r>
      <w:bookmarkStart w:id="1" w:name="_GoBack"/>
      <w:bookmarkEnd w:id="1"/>
    </w:p>
    <w:tbl>
      <w:tblPr>
        <w:tblStyle w:val="9"/>
        <w:tblW w:w="4906" w:type="pct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19"/>
        <w:gridCol w:w="1940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2961" w:type="pct"/>
            <w:vMerge w:val="restart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 w:eastAsia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指标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（</w:t>
            </w: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1-7月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）</w:t>
            </w:r>
          </w:p>
        </w:tc>
        <w:tc>
          <w:tcPr>
            <w:tcW w:w="2038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潜江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2961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增速(%)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2961" w:type="pct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  <w:t>地方财政总收入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55.9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2961" w:type="pct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#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地方一般公共预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算收入</w:t>
            </w:r>
          </w:p>
        </w:tc>
        <w:tc>
          <w:tcPr>
            <w:tcW w:w="2038" w:type="pct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20.1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2961" w:type="pct"/>
            <w:tcBorders>
              <w:top w:val="nil"/>
              <w:bottom w:val="nil"/>
              <w:right w:val="single" w:color="000000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#税收收入</w:t>
            </w:r>
          </w:p>
        </w:tc>
        <w:tc>
          <w:tcPr>
            <w:tcW w:w="2038" w:type="pct"/>
            <w:tcBorders>
              <w:top w:val="nil"/>
              <w:left w:val="single" w:color="000000" w:sz="4" w:space="0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22.7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2961" w:type="pct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非税收收入</w:t>
            </w:r>
          </w:p>
        </w:tc>
        <w:tc>
          <w:tcPr>
            <w:tcW w:w="2038" w:type="pct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11.9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2961" w:type="pct"/>
            <w:tcBorders>
              <w:top w:val="nil"/>
              <w:bottom w:val="nil"/>
              <w:right w:val="single" w:color="000000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  <w:t>财政支出</w:t>
            </w:r>
          </w:p>
        </w:tc>
        <w:tc>
          <w:tcPr>
            <w:tcW w:w="2038" w:type="pct"/>
            <w:tcBorders>
              <w:top w:val="nil"/>
              <w:left w:val="single" w:color="000000" w:sz="4" w:space="0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-11.3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2961" w:type="pct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#一般公共服务</w:t>
            </w:r>
          </w:p>
        </w:tc>
        <w:tc>
          <w:tcPr>
            <w:tcW w:w="2038" w:type="pct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-49.6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2961" w:type="pct"/>
            <w:tcBorders>
              <w:top w:val="nil"/>
              <w:bottom w:val="nil"/>
              <w:right w:val="single" w:color="000000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公共安全</w:t>
            </w:r>
          </w:p>
        </w:tc>
        <w:tc>
          <w:tcPr>
            <w:tcW w:w="2038" w:type="pct"/>
            <w:tcBorders>
              <w:top w:val="nil"/>
              <w:left w:val="single" w:color="000000" w:sz="4" w:space="0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23.3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2961" w:type="pct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教育</w:t>
            </w:r>
          </w:p>
        </w:tc>
        <w:tc>
          <w:tcPr>
            <w:tcW w:w="2038" w:type="pct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-19.6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2961" w:type="pct"/>
            <w:tcBorders>
              <w:top w:val="nil"/>
              <w:bottom w:val="nil"/>
              <w:right w:val="single" w:color="000000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科学技术</w:t>
            </w:r>
          </w:p>
        </w:tc>
        <w:tc>
          <w:tcPr>
            <w:tcW w:w="2038" w:type="pct"/>
            <w:tcBorders>
              <w:top w:val="nil"/>
              <w:left w:val="single" w:color="000000" w:sz="4" w:space="0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78.6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2961" w:type="pct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社会保障与就业</w:t>
            </w:r>
          </w:p>
        </w:tc>
        <w:tc>
          <w:tcPr>
            <w:tcW w:w="2038" w:type="pct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-1.3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2961" w:type="pct"/>
            <w:tcBorders>
              <w:top w:val="nil"/>
              <w:bottom w:val="nil"/>
              <w:right w:val="single" w:color="000000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卫生健康</w:t>
            </w:r>
          </w:p>
        </w:tc>
        <w:tc>
          <w:tcPr>
            <w:tcW w:w="2038" w:type="pct"/>
            <w:tcBorders>
              <w:top w:val="nil"/>
              <w:left w:val="single" w:color="000000" w:sz="4" w:space="0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6.0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2961" w:type="pct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节能环保</w:t>
            </w:r>
          </w:p>
        </w:tc>
        <w:tc>
          <w:tcPr>
            <w:tcW w:w="2038" w:type="pct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764.0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2961" w:type="pct"/>
            <w:tcBorders>
              <w:top w:val="nil"/>
              <w:bottom w:val="nil"/>
              <w:right w:val="single" w:color="000000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城乡社区事务</w:t>
            </w:r>
          </w:p>
        </w:tc>
        <w:tc>
          <w:tcPr>
            <w:tcW w:w="2038" w:type="pct"/>
            <w:tcBorders>
              <w:top w:val="nil"/>
              <w:left w:val="single" w:color="000000" w:sz="4" w:space="0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-38.9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961" w:type="pct"/>
            <w:tcBorders>
              <w:top w:val="nil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文化旅游体育与传媒支出</w:t>
            </w:r>
          </w:p>
        </w:tc>
        <w:tc>
          <w:tcPr>
            <w:tcW w:w="2038" w:type="pct"/>
            <w:tcBorders>
              <w:top w:val="nil"/>
              <w:left w:val="single" w:color="000000" w:sz="4" w:space="0"/>
              <w:bottom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23.7</w:t>
            </w:r>
          </w:p>
        </w:tc>
      </w:tr>
    </w:tbl>
    <w:p>
      <w:pPr>
        <w:rPr>
          <w:rFonts w:ascii="黑体" w:hAnsi="黑体" w:eastAsia="黑体" w:cs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shd w:val="clear" w:fill="E6FAF0"/>
        <w:kinsoku/>
        <w:wordWrap/>
        <w:overflowPunct w:val="0"/>
        <w:topLinePunct w:val="0"/>
        <w:autoSpaceDE/>
        <w:autoSpaceDN/>
        <w:bidi w:val="0"/>
        <w:adjustRightInd/>
        <w:snapToGrid/>
        <w:spacing w:line="370" w:lineRule="exact"/>
        <w:ind w:right="-218" w:rightChars="-104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val="en-US" w:eastAsia="zh-CN"/>
        </w:rPr>
        <w:t>市场主体发展情况</w:t>
      </w:r>
    </w:p>
    <w:tbl>
      <w:tblPr>
        <w:tblStyle w:val="9"/>
        <w:tblW w:w="5185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1"/>
        <w:gridCol w:w="784"/>
        <w:gridCol w:w="926"/>
        <w:gridCol w:w="848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7" w:hRule="atLeast"/>
          <w:jc w:val="center"/>
        </w:trPr>
        <w:tc>
          <w:tcPr>
            <w:tcW w:w="2441" w:type="pct"/>
            <w:vMerge w:val="restart"/>
            <w:tcBorders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指标（1-7月）</w:t>
            </w:r>
          </w:p>
        </w:tc>
        <w:tc>
          <w:tcPr>
            <w:tcW w:w="784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774" w:type="pct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潜江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441" w:type="pct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8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总量</w:t>
            </w:r>
          </w:p>
        </w:tc>
        <w:tc>
          <w:tcPr>
            <w:tcW w:w="848" w:type="pct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增速（%）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441" w:type="pct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各类市场主体总户数</w:t>
            </w: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户</w:t>
            </w:r>
          </w:p>
        </w:tc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110852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14.8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2441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总注册资本(金)总额</w:t>
            </w:r>
          </w:p>
        </w:tc>
        <w:tc>
          <w:tcPr>
            <w:tcW w:w="78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9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17230622</w:t>
            </w:r>
          </w:p>
        </w:tc>
        <w:tc>
          <w:tcPr>
            <w:tcW w:w="848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30.9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2441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新发展户数</w:t>
            </w:r>
          </w:p>
        </w:tc>
        <w:tc>
          <w:tcPr>
            <w:tcW w:w="78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户</w:t>
            </w:r>
          </w:p>
        </w:tc>
        <w:tc>
          <w:tcPr>
            <w:tcW w:w="9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12850</w:t>
            </w:r>
          </w:p>
        </w:tc>
        <w:tc>
          <w:tcPr>
            <w:tcW w:w="848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21.0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2441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新发展注册资本(金)数</w:t>
            </w:r>
          </w:p>
        </w:tc>
        <w:tc>
          <w:tcPr>
            <w:tcW w:w="78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9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2105554</w:t>
            </w:r>
          </w:p>
        </w:tc>
        <w:tc>
          <w:tcPr>
            <w:tcW w:w="848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67.2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2441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Style w:val="23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3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 w:bidi="ar"/>
              </w:rPr>
              <w:t>一、国有集体及其控股企业</w:t>
            </w:r>
          </w:p>
        </w:tc>
        <w:tc>
          <w:tcPr>
            <w:tcW w:w="78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Style w:val="23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Style w:val="23"/>
                <w:rFonts w:hint="eastAsia" w:asciiTheme="minorEastAsia" w:hAnsiTheme="minorEastAsia" w:eastAsiaTheme="minorEastAsia" w:cstheme="minorEastAsia"/>
                <w:color w:val="auto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848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Style w:val="23"/>
                <w:rFonts w:hint="eastAsia" w:asciiTheme="minorEastAsia" w:hAnsiTheme="minorEastAsia" w:eastAsiaTheme="minorEastAsia" w:cstheme="minorEastAsia"/>
                <w:color w:val="auto"/>
                <w:sz w:val="16"/>
                <w:szCs w:val="16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2441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企业总数</w:t>
            </w:r>
          </w:p>
        </w:tc>
        <w:tc>
          <w:tcPr>
            <w:tcW w:w="78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户</w:t>
            </w:r>
          </w:p>
        </w:tc>
        <w:tc>
          <w:tcPr>
            <w:tcW w:w="9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900</w:t>
            </w:r>
          </w:p>
        </w:tc>
        <w:tc>
          <w:tcPr>
            <w:tcW w:w="848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5.5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2441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注册资本(金)总数</w:t>
            </w:r>
          </w:p>
        </w:tc>
        <w:tc>
          <w:tcPr>
            <w:tcW w:w="78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9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5108750</w:t>
            </w:r>
          </w:p>
        </w:tc>
        <w:tc>
          <w:tcPr>
            <w:tcW w:w="848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137.6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2441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新登记数</w:t>
            </w:r>
          </w:p>
        </w:tc>
        <w:tc>
          <w:tcPr>
            <w:tcW w:w="78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户</w:t>
            </w:r>
          </w:p>
        </w:tc>
        <w:tc>
          <w:tcPr>
            <w:tcW w:w="9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848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-43.1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2441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190" w:firstLineChars="1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w w:val="95"/>
                <w:kern w:val="0"/>
                <w:sz w:val="20"/>
                <w:szCs w:val="20"/>
                <w:u w:val="none"/>
                <w:lang w:val="en-US" w:eastAsia="zh-CN" w:bidi="ar"/>
              </w:rPr>
              <w:t>新登记注册资本(金)数</w:t>
            </w:r>
          </w:p>
        </w:tc>
        <w:tc>
          <w:tcPr>
            <w:tcW w:w="78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9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 xml:space="preserve">1168400 </w:t>
            </w:r>
          </w:p>
        </w:tc>
        <w:tc>
          <w:tcPr>
            <w:tcW w:w="848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442.7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2441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Style w:val="23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3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二、外商投资企业</w:t>
            </w:r>
          </w:p>
        </w:tc>
        <w:tc>
          <w:tcPr>
            <w:tcW w:w="78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Style w:val="23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48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Style w:val="23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2441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企业总数</w:t>
            </w:r>
          </w:p>
        </w:tc>
        <w:tc>
          <w:tcPr>
            <w:tcW w:w="78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户</w:t>
            </w:r>
          </w:p>
        </w:tc>
        <w:tc>
          <w:tcPr>
            <w:tcW w:w="9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  <w:tc>
          <w:tcPr>
            <w:tcW w:w="848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6.1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2441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注册资本总数</w:t>
            </w:r>
          </w:p>
        </w:tc>
        <w:tc>
          <w:tcPr>
            <w:tcW w:w="78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万美元</w:t>
            </w:r>
          </w:p>
        </w:tc>
        <w:tc>
          <w:tcPr>
            <w:tcW w:w="9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 xml:space="preserve">27770 </w:t>
            </w:r>
          </w:p>
        </w:tc>
        <w:tc>
          <w:tcPr>
            <w:tcW w:w="848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25.7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2441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新登记数</w:t>
            </w:r>
          </w:p>
        </w:tc>
        <w:tc>
          <w:tcPr>
            <w:tcW w:w="78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户</w:t>
            </w:r>
          </w:p>
        </w:tc>
        <w:tc>
          <w:tcPr>
            <w:tcW w:w="9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48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50.0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2441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新登记注册资本数</w:t>
            </w:r>
          </w:p>
        </w:tc>
        <w:tc>
          <w:tcPr>
            <w:tcW w:w="78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万美元</w:t>
            </w:r>
          </w:p>
        </w:tc>
        <w:tc>
          <w:tcPr>
            <w:tcW w:w="9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10737</w:t>
            </w:r>
          </w:p>
        </w:tc>
        <w:tc>
          <w:tcPr>
            <w:tcW w:w="848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3479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2441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Style w:val="23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3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三、私营企业</w:t>
            </w:r>
          </w:p>
        </w:tc>
        <w:tc>
          <w:tcPr>
            <w:tcW w:w="78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Style w:val="23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48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Style w:val="23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4" w:hRule="atLeast"/>
          <w:jc w:val="center"/>
        </w:trPr>
        <w:tc>
          <w:tcPr>
            <w:tcW w:w="2441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企业总数</w:t>
            </w:r>
          </w:p>
        </w:tc>
        <w:tc>
          <w:tcPr>
            <w:tcW w:w="78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户</w:t>
            </w:r>
          </w:p>
        </w:tc>
        <w:tc>
          <w:tcPr>
            <w:tcW w:w="9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19170</w:t>
            </w:r>
          </w:p>
        </w:tc>
        <w:tc>
          <w:tcPr>
            <w:tcW w:w="848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13.7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2441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注册资本(金)总数</w:t>
            </w:r>
          </w:p>
        </w:tc>
        <w:tc>
          <w:tcPr>
            <w:tcW w:w="78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9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 xml:space="preserve">10086506 </w:t>
            </w:r>
          </w:p>
        </w:tc>
        <w:tc>
          <w:tcPr>
            <w:tcW w:w="848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8.0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2441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新登记数</w:t>
            </w:r>
          </w:p>
        </w:tc>
        <w:tc>
          <w:tcPr>
            <w:tcW w:w="78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户</w:t>
            </w:r>
          </w:p>
        </w:tc>
        <w:tc>
          <w:tcPr>
            <w:tcW w:w="9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2370</w:t>
            </w:r>
          </w:p>
        </w:tc>
        <w:tc>
          <w:tcPr>
            <w:tcW w:w="848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6.5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2441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190" w:firstLineChars="1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w w:val="95"/>
                <w:kern w:val="0"/>
                <w:sz w:val="20"/>
                <w:szCs w:val="20"/>
                <w:u w:val="none"/>
                <w:lang w:val="en-US" w:eastAsia="zh-CN" w:bidi="ar"/>
              </w:rPr>
              <w:t>新登记注册资本(金)数</w:t>
            </w:r>
          </w:p>
        </w:tc>
        <w:tc>
          <w:tcPr>
            <w:tcW w:w="78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9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638997</w:t>
            </w:r>
          </w:p>
        </w:tc>
        <w:tc>
          <w:tcPr>
            <w:tcW w:w="848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24.6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2441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23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四、个体工商户</w:t>
            </w:r>
          </w:p>
        </w:tc>
        <w:tc>
          <w:tcPr>
            <w:tcW w:w="78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rPr>
                <w:rStyle w:val="23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48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rPr>
                <w:rStyle w:val="23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2441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个体工商户总数</w:t>
            </w:r>
          </w:p>
        </w:tc>
        <w:tc>
          <w:tcPr>
            <w:tcW w:w="78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户</w:t>
            </w:r>
          </w:p>
        </w:tc>
        <w:tc>
          <w:tcPr>
            <w:tcW w:w="9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88951</w:t>
            </w:r>
          </w:p>
        </w:tc>
        <w:tc>
          <w:tcPr>
            <w:tcW w:w="848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15.2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2441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资金数额</w:t>
            </w:r>
          </w:p>
        </w:tc>
        <w:tc>
          <w:tcPr>
            <w:tcW w:w="78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9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1263917</w:t>
            </w:r>
          </w:p>
        </w:tc>
        <w:tc>
          <w:tcPr>
            <w:tcW w:w="848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27.7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2441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新登记数</w:t>
            </w:r>
          </w:p>
        </w:tc>
        <w:tc>
          <w:tcPr>
            <w:tcW w:w="78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户</w:t>
            </w:r>
          </w:p>
        </w:tc>
        <w:tc>
          <w:tcPr>
            <w:tcW w:w="9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10290</w:t>
            </w:r>
          </w:p>
        </w:tc>
        <w:tc>
          <w:tcPr>
            <w:tcW w:w="848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24.2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2441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新登记资金数额</w:t>
            </w:r>
          </w:p>
        </w:tc>
        <w:tc>
          <w:tcPr>
            <w:tcW w:w="78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9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195964</w:t>
            </w:r>
          </w:p>
        </w:tc>
        <w:tc>
          <w:tcPr>
            <w:tcW w:w="848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14.6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2441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Style w:val="23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3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五、农民专业合作社</w:t>
            </w:r>
          </w:p>
        </w:tc>
        <w:tc>
          <w:tcPr>
            <w:tcW w:w="78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Style w:val="23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48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Style w:val="23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2441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农民专业合作社总数</w:t>
            </w:r>
          </w:p>
        </w:tc>
        <w:tc>
          <w:tcPr>
            <w:tcW w:w="78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户</w:t>
            </w:r>
          </w:p>
        </w:tc>
        <w:tc>
          <w:tcPr>
            <w:tcW w:w="9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1739</w:t>
            </w:r>
          </w:p>
        </w:tc>
        <w:tc>
          <w:tcPr>
            <w:tcW w:w="848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11.6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441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出资总额</w:t>
            </w:r>
          </w:p>
        </w:tc>
        <w:tc>
          <w:tcPr>
            <w:tcW w:w="78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9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570752</w:t>
            </w:r>
          </w:p>
        </w:tc>
        <w:tc>
          <w:tcPr>
            <w:tcW w:w="848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7.3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441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新登记数</w:t>
            </w:r>
          </w:p>
        </w:tc>
        <w:tc>
          <w:tcPr>
            <w:tcW w:w="78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户</w:t>
            </w:r>
          </w:p>
        </w:tc>
        <w:tc>
          <w:tcPr>
            <w:tcW w:w="9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147</w:t>
            </w:r>
          </w:p>
        </w:tc>
        <w:tc>
          <w:tcPr>
            <w:tcW w:w="848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56.4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2441" w:type="pct"/>
            <w:tcBorders>
              <w:top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新登记出资总额</w:t>
            </w:r>
          </w:p>
        </w:tc>
        <w:tc>
          <w:tcPr>
            <w:tcW w:w="784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926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30496</w:t>
            </w:r>
          </w:p>
        </w:tc>
        <w:tc>
          <w:tcPr>
            <w:tcW w:w="848" w:type="pct"/>
            <w:tcBorders>
              <w:top w:val="nil"/>
              <w:left w:val="single" w:color="auto" w:sz="4" w:space="0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27.9</w:t>
            </w:r>
          </w:p>
        </w:tc>
      </w:tr>
    </w:tbl>
    <w:p>
      <w:pPr>
        <w:rPr>
          <w:rFonts w:ascii="黑体" w:hAnsi="黑体" w:eastAsia="黑体" w:cs="黑体"/>
          <w:b/>
          <w:bCs/>
          <w:color w:val="auto"/>
          <w:w w:val="90"/>
          <w:sz w:val="28"/>
          <w:szCs w:val="28"/>
        </w:rPr>
      </w:pPr>
    </w:p>
    <w:sectPr>
      <w:headerReference r:id="rId3" w:type="default"/>
      <w:footerReference r:id="rId4" w:type="default"/>
      <w:pgSz w:w="5954" w:h="10773"/>
      <w:pgMar w:top="851" w:right="567" w:bottom="851" w:left="567" w:header="567" w:footer="68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  <w:sz w:val="24"/>
        <w:szCs w:val="24"/>
      </w:rPr>
    </w:pPr>
    <w:r>
      <w:rPr>
        <w:rStyle w:val="12"/>
        <w:rFonts w:hint="eastAsia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rStyle w:val="12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12"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12"/>
        <w:rFonts w:hint="eastAsia"/>
        <w:sz w:val="24"/>
        <w:szCs w:val="24"/>
      </w:rPr>
      <w:t>—</w:t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3NzY0NDE5YjA3ZDBiZjEwN2YwY2ExOGVkMDg4ODAifQ=="/>
  </w:docVars>
  <w:rsids>
    <w:rsidRoot w:val="00172A27"/>
    <w:rsid w:val="01543BEF"/>
    <w:rsid w:val="017710AB"/>
    <w:rsid w:val="02851C9B"/>
    <w:rsid w:val="02B32C00"/>
    <w:rsid w:val="040B6FCE"/>
    <w:rsid w:val="047B1F91"/>
    <w:rsid w:val="05A67AFC"/>
    <w:rsid w:val="06293905"/>
    <w:rsid w:val="06B56F46"/>
    <w:rsid w:val="07A121DD"/>
    <w:rsid w:val="085D0280"/>
    <w:rsid w:val="09021736"/>
    <w:rsid w:val="0A1B7A08"/>
    <w:rsid w:val="0AC41E1B"/>
    <w:rsid w:val="0B196722"/>
    <w:rsid w:val="0BB65263"/>
    <w:rsid w:val="0BC415A1"/>
    <w:rsid w:val="0BFD2B47"/>
    <w:rsid w:val="0F3B7B62"/>
    <w:rsid w:val="0F8B2F3A"/>
    <w:rsid w:val="0FB07699"/>
    <w:rsid w:val="10234902"/>
    <w:rsid w:val="103D38D0"/>
    <w:rsid w:val="118045F5"/>
    <w:rsid w:val="11820B01"/>
    <w:rsid w:val="118F0B22"/>
    <w:rsid w:val="11CF6595"/>
    <w:rsid w:val="12BD4994"/>
    <w:rsid w:val="14BA5FFE"/>
    <w:rsid w:val="15C9565D"/>
    <w:rsid w:val="17460C33"/>
    <w:rsid w:val="18E83E76"/>
    <w:rsid w:val="18EB1A7D"/>
    <w:rsid w:val="190457AB"/>
    <w:rsid w:val="19377469"/>
    <w:rsid w:val="19B551B0"/>
    <w:rsid w:val="1A186FD9"/>
    <w:rsid w:val="1A817D55"/>
    <w:rsid w:val="1AE130F7"/>
    <w:rsid w:val="1B624B6F"/>
    <w:rsid w:val="1F1D18F8"/>
    <w:rsid w:val="1FDA4BCC"/>
    <w:rsid w:val="20191E9C"/>
    <w:rsid w:val="20CE44DB"/>
    <w:rsid w:val="20F722A3"/>
    <w:rsid w:val="21BD0E94"/>
    <w:rsid w:val="232A5278"/>
    <w:rsid w:val="23C30DB2"/>
    <w:rsid w:val="2504689A"/>
    <w:rsid w:val="25524FC9"/>
    <w:rsid w:val="258A7EA5"/>
    <w:rsid w:val="26B80694"/>
    <w:rsid w:val="28026CE3"/>
    <w:rsid w:val="2B901A77"/>
    <w:rsid w:val="2C4C7922"/>
    <w:rsid w:val="2C943EFE"/>
    <w:rsid w:val="2CDA5BDB"/>
    <w:rsid w:val="2CEA6FAA"/>
    <w:rsid w:val="2D7E316D"/>
    <w:rsid w:val="2D82548F"/>
    <w:rsid w:val="2DB63420"/>
    <w:rsid w:val="2E112CD6"/>
    <w:rsid w:val="2EE80616"/>
    <w:rsid w:val="2F11215B"/>
    <w:rsid w:val="30553A0F"/>
    <w:rsid w:val="31FF6F73"/>
    <w:rsid w:val="32327989"/>
    <w:rsid w:val="34BF6F6B"/>
    <w:rsid w:val="351D5B33"/>
    <w:rsid w:val="35D45B33"/>
    <w:rsid w:val="38697508"/>
    <w:rsid w:val="39654354"/>
    <w:rsid w:val="39BD35F3"/>
    <w:rsid w:val="3AC03149"/>
    <w:rsid w:val="3B5B6C9E"/>
    <w:rsid w:val="3C532273"/>
    <w:rsid w:val="3CB7115D"/>
    <w:rsid w:val="3D18326E"/>
    <w:rsid w:val="3F327B4A"/>
    <w:rsid w:val="3F7E3672"/>
    <w:rsid w:val="3FE625AC"/>
    <w:rsid w:val="403826EC"/>
    <w:rsid w:val="40694872"/>
    <w:rsid w:val="40A35A86"/>
    <w:rsid w:val="42894E4A"/>
    <w:rsid w:val="436B7220"/>
    <w:rsid w:val="438F5E4E"/>
    <w:rsid w:val="43B9111D"/>
    <w:rsid w:val="47797541"/>
    <w:rsid w:val="4907227F"/>
    <w:rsid w:val="49756B31"/>
    <w:rsid w:val="49764E0E"/>
    <w:rsid w:val="49EB23FF"/>
    <w:rsid w:val="49EF6445"/>
    <w:rsid w:val="4A565917"/>
    <w:rsid w:val="4B582862"/>
    <w:rsid w:val="4B9D3341"/>
    <w:rsid w:val="4C2C2DD4"/>
    <w:rsid w:val="4C514462"/>
    <w:rsid w:val="4D3D309D"/>
    <w:rsid w:val="4D8C0196"/>
    <w:rsid w:val="4DA77061"/>
    <w:rsid w:val="4E63720E"/>
    <w:rsid w:val="50B12C64"/>
    <w:rsid w:val="51373E66"/>
    <w:rsid w:val="516A462D"/>
    <w:rsid w:val="5228546A"/>
    <w:rsid w:val="54505667"/>
    <w:rsid w:val="5511256A"/>
    <w:rsid w:val="57472717"/>
    <w:rsid w:val="582814B7"/>
    <w:rsid w:val="588004A0"/>
    <w:rsid w:val="5A497F02"/>
    <w:rsid w:val="5A5C40A0"/>
    <w:rsid w:val="5AA75818"/>
    <w:rsid w:val="5C9775E6"/>
    <w:rsid w:val="5CDA5F34"/>
    <w:rsid w:val="5CF1160E"/>
    <w:rsid w:val="5E0163C3"/>
    <w:rsid w:val="5FB545B6"/>
    <w:rsid w:val="602F7EE1"/>
    <w:rsid w:val="60A85036"/>
    <w:rsid w:val="60CC028A"/>
    <w:rsid w:val="610106E5"/>
    <w:rsid w:val="618B5BFB"/>
    <w:rsid w:val="620533CD"/>
    <w:rsid w:val="620E5ADB"/>
    <w:rsid w:val="62AF4CB7"/>
    <w:rsid w:val="62C36A68"/>
    <w:rsid w:val="647E43C3"/>
    <w:rsid w:val="64E02555"/>
    <w:rsid w:val="64E40333"/>
    <w:rsid w:val="6563551C"/>
    <w:rsid w:val="66196D31"/>
    <w:rsid w:val="661C1CBF"/>
    <w:rsid w:val="67C40519"/>
    <w:rsid w:val="69720691"/>
    <w:rsid w:val="69754928"/>
    <w:rsid w:val="6AC326FD"/>
    <w:rsid w:val="6AEA7136"/>
    <w:rsid w:val="6B642453"/>
    <w:rsid w:val="70B00B12"/>
    <w:rsid w:val="71ED3C0C"/>
    <w:rsid w:val="71F52175"/>
    <w:rsid w:val="726B684E"/>
    <w:rsid w:val="74076127"/>
    <w:rsid w:val="74651483"/>
    <w:rsid w:val="753339B8"/>
    <w:rsid w:val="786234D4"/>
    <w:rsid w:val="78EF3FE8"/>
    <w:rsid w:val="798C015E"/>
    <w:rsid w:val="79A262FF"/>
    <w:rsid w:val="7B65510B"/>
    <w:rsid w:val="7BA423AE"/>
    <w:rsid w:val="7BEC2E96"/>
    <w:rsid w:val="7CE41C9E"/>
    <w:rsid w:val="7FCB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qFormat/>
    <w:uiPriority w:val="1"/>
  </w:style>
  <w:style w:type="table" w:default="1" w:styleId="9">
    <w:name w:val="Normal Table"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  <w:rPr>
      <w:rFonts w:ascii="Calibri" w:hAnsi="Calibri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6">
    <w:name w:val="Body Text First Indent 2"/>
    <w:basedOn w:val="5"/>
    <w:next w:val="1"/>
    <w:qFormat/>
    <w:uiPriority w:val="0"/>
    <w:pPr>
      <w:ind w:firstLine="420" w:firstLine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正文文本缩进 2 Char Char"/>
    <w:basedOn w:val="1"/>
    <w:qFormat/>
    <w:uiPriority w:val="0"/>
    <w:pPr>
      <w:spacing w:beforeAutospacing="1" w:line="480" w:lineRule="auto"/>
      <w:ind w:left="420" w:leftChars="200"/>
    </w:pPr>
    <w:rPr>
      <w:sz w:val="32"/>
      <w:szCs w:val="32"/>
    </w:rPr>
  </w:style>
  <w:style w:type="character" w:customStyle="1" w:styleId="14">
    <w:name w:val="font01"/>
    <w:basedOn w:val="11"/>
    <w:qFormat/>
    <w:uiPriority w:val="0"/>
    <w:rPr>
      <w:rFonts w:ascii="Malgun Gothic Semilight" w:hAnsi="Malgun Gothic Semilight" w:eastAsia="Malgun Gothic Semilight" w:cs="Malgun Gothic Semilight"/>
      <w:b/>
      <w:color w:val="000000"/>
      <w:sz w:val="24"/>
      <w:szCs w:val="24"/>
      <w:u w:val="none"/>
    </w:rPr>
  </w:style>
  <w:style w:type="character" w:customStyle="1" w:styleId="15">
    <w:name w:val="font71"/>
    <w:basedOn w:val="1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6">
    <w:name w:val="font51"/>
    <w:basedOn w:val="11"/>
    <w:qFormat/>
    <w:uiPriority w:val="0"/>
    <w:rPr>
      <w:rFonts w:ascii="Malgun Gothic Semilight" w:hAnsi="Malgun Gothic Semilight" w:eastAsia="Malgun Gothic Semilight" w:cs="Malgun Gothic Semilight"/>
      <w:b/>
      <w:color w:val="000000"/>
      <w:sz w:val="24"/>
      <w:szCs w:val="24"/>
      <w:u w:val="none"/>
    </w:rPr>
  </w:style>
  <w:style w:type="character" w:customStyle="1" w:styleId="17">
    <w:name w:val="font11"/>
    <w:basedOn w:val="1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8">
    <w:name w:val="font61"/>
    <w:basedOn w:val="11"/>
    <w:qFormat/>
    <w:uiPriority w:val="0"/>
    <w:rPr>
      <w:rFonts w:hint="default" w:ascii="微软雅黑 Light" w:hAnsi="微软雅黑 Light" w:eastAsia="微软雅黑 Light" w:cs="微软雅黑 Light"/>
      <w:color w:val="000000"/>
      <w:sz w:val="20"/>
      <w:szCs w:val="20"/>
      <w:u w:val="none"/>
    </w:rPr>
  </w:style>
  <w:style w:type="character" w:customStyle="1" w:styleId="19">
    <w:name w:val="font151"/>
    <w:basedOn w:val="11"/>
    <w:qFormat/>
    <w:uiPriority w:val="0"/>
    <w:rPr>
      <w:rFonts w:ascii="黑体" w:hAnsi="宋体" w:eastAsia="黑体" w:cs="黑体"/>
      <w:b/>
      <w:color w:val="000000"/>
      <w:sz w:val="24"/>
      <w:szCs w:val="24"/>
      <w:u w:val="none"/>
    </w:rPr>
  </w:style>
  <w:style w:type="character" w:customStyle="1" w:styleId="20">
    <w:name w:val="font91"/>
    <w:basedOn w:val="11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1">
    <w:name w:val="font111"/>
    <w:basedOn w:val="11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22">
    <w:name w:val="font10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3">
    <w:name w:val="font41"/>
    <w:basedOn w:val="11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4">
    <w:name w:val="font121"/>
    <w:basedOn w:val="11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41</Pages>
  <Words>7477</Words>
  <Characters>11337</Characters>
  <Lines>1</Lines>
  <Paragraphs>1</Paragraphs>
  <TotalTime>67</TotalTime>
  <ScaleCrop>false</ScaleCrop>
  <LinksUpToDate>false</LinksUpToDate>
  <CharactersWithSpaces>12775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2020-01-06T02:18:00Z</dcterms:created>
  <dc:creator>yumengyaqin</dc:creator>
  <cp:lastModifiedBy>❄️❄️</cp:lastModifiedBy>
  <cp:lastPrinted>2023-08-24T01:30:00Z</cp:lastPrinted>
  <dcterms:modified xsi:type="dcterms:W3CDTF">2023-08-30T03:02:41Z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73109FD9E8D74645B258C854D9E119F9</vt:lpwstr>
  </property>
</Properties>
</file>