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-2"/>
        <w:jc w:val="center"/>
        <w:rPr>
          <w:rFonts w:eastAsia="华文中宋"/>
          <w:color w:val="auto"/>
          <w:spacing w:val="-6"/>
          <w:w w:val="98"/>
          <w:sz w:val="32"/>
          <w:szCs w:val="32"/>
        </w:rPr>
      </w:pPr>
    </w:p>
    <w:p>
      <w:pPr>
        <w:spacing w:line="36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</w:p>
    <w:p>
      <w:pPr>
        <w:spacing w:line="60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52705</wp:posOffset>
                </wp:positionV>
                <wp:extent cx="737235" cy="379095"/>
                <wp:effectExtent l="0" t="0" r="0" b="0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379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distribute"/>
                              <w:rPr>
                                <w:rFonts w:ascii="楷体_GB2312" w:eastAsia="楷体_GB2312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3"/>
                              </w:rPr>
                              <w:t>内部资料</w:t>
                            </w:r>
                          </w:p>
                          <w:p>
                            <w:pPr>
                              <w:spacing w:before="31" w:beforeLines="10" w:line="240" w:lineRule="exact"/>
                              <w:jc w:val="distribute"/>
                              <w:rPr>
                                <w:rFonts w:ascii="楷体_GB2312" w:eastAsia="楷体_GB2312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3"/>
                              </w:rPr>
                              <w:t>注意保存</w:t>
                            </w:r>
                          </w:p>
                        </w:txbxContent>
                      </wps:txbx>
                      <wps:bodyPr lIns="53975" tIns="10795" rIns="53975" bIns="10795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66.95pt;margin-top:4.15pt;height:29.85pt;width:58.05pt;z-index:251659264;mso-width-relative:page;mso-height-relative:page;" filled="f" stroked="f" coordsize="21600,21600" o:gfxdata="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MmS4NgAAAAIAQAADwAAAAAAAAABACAAAAAiAAAAZHJzL2Rvd25yZXYueG1sUEsB&#10;AhQAFAAAAAgAh07iQHRH9yK8AQAAb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4.25pt,0.85pt,4.25pt,0.85pt">
                  <w:txbxContent>
                    <w:p>
                      <w:pPr>
                        <w:spacing w:line="240" w:lineRule="exact"/>
                        <w:jc w:val="distribute"/>
                        <w:rPr>
                          <w:rFonts w:ascii="楷体_GB2312" w:eastAsia="楷体_GB2312"/>
                          <w:b/>
                          <w:sz w:val="23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3"/>
                        </w:rPr>
                        <w:t>内部资料</w:t>
                      </w:r>
                    </w:p>
                    <w:p>
                      <w:pPr>
                        <w:spacing w:before="31" w:beforeLines="10" w:line="240" w:lineRule="exact"/>
                        <w:jc w:val="distribute"/>
                        <w:rPr>
                          <w:rFonts w:ascii="楷体_GB2312" w:eastAsia="楷体_GB2312"/>
                          <w:b/>
                          <w:sz w:val="23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3"/>
                        </w:rPr>
                        <w:t>注意保存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</w:p>
    <w:p>
      <w:pPr>
        <w:jc w:val="center"/>
        <w:rPr>
          <w:rFonts w:eastAsia="黑体"/>
          <w:b/>
          <w:bCs/>
          <w:color w:val="auto"/>
          <w:w w:val="80"/>
          <w:sz w:val="56"/>
        </w:rPr>
      </w:pPr>
      <w:r>
        <w:rPr>
          <w:rFonts w:eastAsia="黑体"/>
          <w:b/>
          <w:bCs/>
          <w:color w:val="auto"/>
          <w:w w:val="80"/>
          <w:sz w:val="56"/>
        </w:rPr>
        <w:t>潜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江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统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计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月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报</w:t>
      </w: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500" w:lineRule="exact"/>
        <w:jc w:val="center"/>
        <w:rPr>
          <w:color w:val="auto"/>
          <w:sz w:val="18"/>
        </w:rPr>
      </w:pPr>
    </w:p>
    <w:p>
      <w:pPr>
        <w:spacing w:line="420" w:lineRule="exact"/>
        <w:ind w:firstLine="862" w:firstLineChars="308"/>
        <w:rPr>
          <w:color w:val="auto"/>
          <w:spacing w:val="16"/>
          <w:sz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67945</wp:posOffset>
                </wp:positionV>
                <wp:extent cx="482600" cy="365760"/>
                <wp:effectExtent l="0" t="0" r="0" b="0"/>
                <wp:wrapNone/>
                <wp:docPr id="102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185.5pt;margin-top:5.35pt;height:28.8pt;width:38pt;z-index:251659264;mso-width-relative:page;mso-height-relative:page;" filled="f" stroked="f" coordsize="21600,21600" o:gfxdata="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kXiDbaAAAACQEAAA8A&#10;AAAAAAAAAQAgAAAAIgAAAGRycy9kb3ducmV2LnhtbFBLAQIUABQAAAAIAIdO4kAoDXJqowEAADs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pacing w:val="16"/>
          <w:sz w:val="28"/>
        </w:rPr>
        <w:t>潜 江 市 统 计 局</w:t>
      </w:r>
    </w:p>
    <w:p>
      <w:pPr>
        <w:spacing w:line="420" w:lineRule="exact"/>
        <w:ind w:firstLine="826" w:firstLineChars="295"/>
        <w:rPr>
          <w:color w:val="auto"/>
          <w:sz w:val="28"/>
        </w:rPr>
      </w:pPr>
      <w:r>
        <w:rPr>
          <w:color w:val="auto"/>
          <w:sz w:val="28"/>
        </w:rPr>
        <w:t>国家统计局潜江调查队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</w:pPr>
      <w:r>
        <w:rPr>
          <w:rFonts w:hint="eastAsia"/>
          <w:color w:val="auto"/>
          <w:sz w:val="28"/>
        </w:rPr>
        <w:t>202</w:t>
      </w:r>
      <w:r>
        <w:rPr>
          <w:rFonts w:hint="eastAsia"/>
          <w:color w:val="auto"/>
          <w:sz w:val="28"/>
          <w:lang w:val="en-US" w:eastAsia="zh-CN"/>
        </w:rPr>
        <w:t>3</w:t>
      </w:r>
      <w:r>
        <w:rPr>
          <w:rFonts w:hint="eastAsia"/>
          <w:color w:val="auto"/>
          <w:sz w:val="28"/>
        </w:rPr>
        <w:t>年</w:t>
      </w:r>
      <w:r>
        <w:rPr>
          <w:rFonts w:hint="eastAsia"/>
          <w:color w:val="auto"/>
          <w:sz w:val="28"/>
          <w:lang w:val="en-US" w:eastAsia="zh-CN"/>
        </w:rPr>
        <w:t>8</w:t>
      </w:r>
      <w:r>
        <w:rPr>
          <w:rFonts w:hint="eastAsia"/>
          <w:color w:val="auto"/>
          <w:sz w:val="28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全市主要经</w:t>
      </w:r>
      <w:bookmarkStart w:id="1" w:name="_GoBack"/>
      <w:bookmarkEnd w:id="1"/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济指标</w:t>
      </w:r>
    </w:p>
    <w:tbl>
      <w:tblPr>
        <w:tblStyle w:val="5"/>
        <w:tblW w:w="4885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0"/>
        <w:gridCol w:w="1298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3630" w:type="pct"/>
            <w:vMerge w:val="restart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 xml:space="preserve">    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标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（1-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8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月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）</w:t>
            </w:r>
          </w:p>
        </w:tc>
        <w:tc>
          <w:tcPr>
            <w:tcW w:w="1369" w:type="pct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潜江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630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eastAsia" w:ascii="微软雅黑 Light" w:hAnsi="微软雅黑 Light" w:eastAsia="宋体" w:cs="微软雅黑 Light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b/>
                <w:color w:val="auto"/>
                <w:sz w:val="20"/>
                <w:szCs w:val="20"/>
              </w:rPr>
              <w:t>一、地区生产总值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上半年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val="en-US" w:eastAsia="zh-CN"/>
              </w:rPr>
              <w:t>GDP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369" w:type="pct"/>
            <w:tcBorders>
              <w:top w:val="single" w:color="000000" w:sz="4" w:space="0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/>
                <w:color w:val="auto"/>
                <w:sz w:val="20"/>
                <w:szCs w:val="20"/>
              </w:rPr>
              <w:t>#第一产业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第二产业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第三产业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/>
                <w:color w:val="auto"/>
                <w:sz w:val="20"/>
                <w:szCs w:val="20"/>
              </w:rPr>
              <w:t>二、规模以上工业增加值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微软雅黑 Light" w:hAnsi="微软雅黑 Light" w:eastAsia="宋体" w:cs="微软雅黑 Light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三、全社会用电量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(亿千瓦时)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3.4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#工业用电量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3.3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四、进出口总额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-17.4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#进 口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-15.3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出 口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-29.2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五、财政总收入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57.0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地方一般公共预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算收入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税收收入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b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地方一般公共预算支出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六、金融机构存款余额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（本外币）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#住户存款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17.1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b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金融机构贷款余额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（本外币）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21.0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#短期贷款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七、固定资产投资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#民间投资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21.8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工业投资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  #工业技改投资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基础设施投资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-23.4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改建与技术改造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-17.2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八、社会消费品零售额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九、实际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使用外资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val="en-US" w:eastAsia="zh-CN"/>
              </w:rPr>
              <w:t>1-7月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万美元）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-78.7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十、人均可支配收入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（上半年）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（元）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exact"/>
          <w:jc w:val="center"/>
        </w:trPr>
        <w:tc>
          <w:tcPr>
            <w:tcW w:w="3630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#城镇常住居民</w:t>
            </w:r>
          </w:p>
        </w:tc>
        <w:tc>
          <w:tcPr>
            <w:tcW w:w="1369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3630" w:type="pct"/>
            <w:tcBorders>
              <w:top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农村常住居民</w:t>
            </w:r>
          </w:p>
        </w:tc>
        <w:tc>
          <w:tcPr>
            <w:tcW w:w="1369" w:type="pct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32" w:beforeLines="10" w:line="180" w:lineRule="exact"/>
        <w:jc w:val="both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注：①</w:t>
      </w: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GDP总量数据不等于各产业（行业）之和，是由于数值修约误差所致，未作机械调整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180" w:lineRule="exact"/>
        <w:ind w:firstLine="320" w:firstLineChars="200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②税收收入采用财政厅反馈数据，指地方级税收收入；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180" w:lineRule="exact"/>
        <w:ind w:firstLine="320" w:firstLineChars="200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③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自202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年7月起，实际使用外资采用商务厅反馈数据</w:t>
      </w: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。</w:t>
      </w:r>
    </w:p>
    <w:p>
      <w:pPr>
        <w:spacing w:line="180" w:lineRule="exact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>2023年上半年</w:t>
      </w: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国民经济核算</w:t>
      </w:r>
    </w:p>
    <w:tbl>
      <w:tblPr>
        <w:tblStyle w:val="5"/>
        <w:tblW w:w="4699" w:type="dxa"/>
        <w:jc w:val="center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88"/>
        <w:gridCol w:w="1019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1" w:hRule="atLeast"/>
          <w:jc w:val="center"/>
        </w:trPr>
        <w:tc>
          <w:tcPr>
            <w:tcW w:w="298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上半年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711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1" w:hRule="atLeast"/>
          <w:jc w:val="center"/>
        </w:trPr>
        <w:tc>
          <w:tcPr>
            <w:tcW w:w="29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总量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（亿元）</w:t>
            </w:r>
          </w:p>
        </w:tc>
        <w:tc>
          <w:tcPr>
            <w:tcW w:w="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  <w:jc w:val="center"/>
        </w:trPr>
        <w:tc>
          <w:tcPr>
            <w:tcW w:w="2988" w:type="dxa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/>
              <w:rPr>
                <w:rFonts w:hint="default"/>
                <w:color w:val="auto"/>
                <w:sz w:val="20"/>
              </w:rPr>
            </w:pPr>
            <w:bookmarkStart w:id="0" w:name="OLE_LINK2" w:colFirst="0" w:colLast="0"/>
            <w:r>
              <w:rPr>
                <w:rFonts w:hint="default" w:hAnsi="宋体"/>
                <w:b/>
                <w:bCs/>
                <w:color w:val="auto"/>
                <w:sz w:val="20"/>
              </w:rPr>
              <w:t>潜江市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地区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生产总值</w:t>
            </w:r>
          </w:p>
        </w:tc>
        <w:tc>
          <w:tcPr>
            <w:tcW w:w="1019" w:type="dxa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449.34</w:t>
            </w:r>
          </w:p>
        </w:tc>
        <w:tc>
          <w:tcPr>
            <w:tcW w:w="692" w:type="dxa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2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农林牧渔业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41.33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2988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工业</w:t>
            </w:r>
          </w:p>
        </w:tc>
        <w:tc>
          <w:tcPr>
            <w:tcW w:w="1019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197.62</w:t>
            </w:r>
          </w:p>
        </w:tc>
        <w:tc>
          <w:tcPr>
            <w:tcW w:w="692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2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建筑业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18.18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2988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批发和零售业</w:t>
            </w:r>
          </w:p>
        </w:tc>
        <w:tc>
          <w:tcPr>
            <w:tcW w:w="1019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25.00</w:t>
            </w:r>
          </w:p>
        </w:tc>
        <w:tc>
          <w:tcPr>
            <w:tcW w:w="692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2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交通运输、仓储及邮政业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29.00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2988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住宿业和餐饮业</w:t>
            </w:r>
          </w:p>
        </w:tc>
        <w:tc>
          <w:tcPr>
            <w:tcW w:w="1019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13.25</w:t>
            </w:r>
          </w:p>
        </w:tc>
        <w:tc>
          <w:tcPr>
            <w:tcW w:w="692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2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金融业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23.54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2988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房地产业</w:t>
            </w:r>
          </w:p>
        </w:tc>
        <w:tc>
          <w:tcPr>
            <w:tcW w:w="1019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23.53</w:t>
            </w:r>
          </w:p>
        </w:tc>
        <w:tc>
          <w:tcPr>
            <w:tcW w:w="692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2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其他服务业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77.89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2988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600" w:firstLineChars="300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营利性服务业</w:t>
            </w:r>
          </w:p>
        </w:tc>
        <w:tc>
          <w:tcPr>
            <w:tcW w:w="1019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49.25</w:t>
            </w:r>
          </w:p>
        </w:tc>
        <w:tc>
          <w:tcPr>
            <w:tcW w:w="692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2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600" w:firstLineChars="300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非营利性服务业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28.64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2988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第一产业</w:t>
            </w:r>
          </w:p>
        </w:tc>
        <w:tc>
          <w:tcPr>
            <w:tcW w:w="1019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39.39</w:t>
            </w:r>
          </w:p>
        </w:tc>
        <w:tc>
          <w:tcPr>
            <w:tcW w:w="692" w:type="dxa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2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第二产业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210.08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  <w:jc w:val="center"/>
        </w:trPr>
        <w:tc>
          <w:tcPr>
            <w:tcW w:w="2988" w:type="dxa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第三产业</w:t>
            </w:r>
          </w:p>
          <w:bookmarkEnd w:id="0"/>
        </w:tc>
        <w:tc>
          <w:tcPr>
            <w:tcW w:w="1019" w:type="dxa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199.88</w:t>
            </w:r>
          </w:p>
        </w:tc>
        <w:tc>
          <w:tcPr>
            <w:tcW w:w="692" w:type="dxa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8" w:hRule="atLeast"/>
          <w:jc w:val="center"/>
        </w:trPr>
        <w:tc>
          <w:tcPr>
            <w:tcW w:w="2988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294" w:firstLineChars="147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三次产业比重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（一产：二产：三产）</w:t>
            </w:r>
          </w:p>
        </w:tc>
        <w:tc>
          <w:tcPr>
            <w:tcW w:w="1711" w:type="dxa"/>
            <w:gridSpan w:val="2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8.8:46.8:44.5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hint="eastAsia" w:ascii="仿宋" w:hAnsi="仿宋" w:eastAsia="仿宋" w:cs="仿宋"/>
          <w:b/>
          <w:bCs/>
          <w:color w:val="auto"/>
          <w:w w:val="9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color w:val="auto"/>
          <w:w w:val="90"/>
          <w:sz w:val="18"/>
          <w:szCs w:val="18"/>
        </w:rPr>
        <w:t>注：地区生产总值为季度核算。</w:t>
      </w:r>
    </w:p>
    <w:p>
      <w:pPr>
        <w:rPr>
          <w:rFonts w:eastAsia="黑体"/>
          <w:b/>
          <w:bCs/>
          <w:color w:val="auto"/>
          <w:spacing w:val="20"/>
          <w:sz w:val="28"/>
          <w:szCs w:val="28"/>
        </w:rPr>
      </w:pPr>
      <w:r>
        <w:rPr>
          <w:rFonts w:hint="eastAsia" w:eastAsia="黑体"/>
          <w:b/>
          <w:bCs/>
          <w:color w:val="auto"/>
          <w:spacing w:val="2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工  业</w:t>
      </w:r>
    </w:p>
    <w:tbl>
      <w:tblPr>
        <w:tblStyle w:val="5"/>
        <w:tblW w:w="455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0"/>
        <w:gridCol w:w="130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32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1-8月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2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250" w:type="dxa"/>
            <w:tcBorders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规模以上工业增加值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6.9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#轻工业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-10.3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重工业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12.0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#农副食品加工业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-1.9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-19.8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23.0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-32.3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家具制造业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-39.6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石油和天然气开采业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0.2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开采专业及辅助性活动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3.0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石油、煤炭及其他燃料加工业 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22.2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14.2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电线、电缆、光缆及电工器材制造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17.1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二、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规模以上工业总产值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1.7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工业产销率（%）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95.5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工业销售产值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-4.5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#出口交货值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-15.3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三、工业经济效益（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1-7月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pict>
                <v:shape id="1042" o:spid="_x0000_s1026" o:spt="75" type="#_x0000_t75" style="position:absolute;left:0pt;margin-left:0pt;margin-top:0pt;height:0.85pt;width:203.25pt;z-index:251659264;mso-width-relative:page;mso-height-relative:page;" o:ole="t" filled="f" stroked="f" coordsize="21600,21600">
                  <v:path/>
                  <v:fill on="f" focussize="0,0"/>
                  <v:stroke on="f"/>
                  <v:imagedata r:id="rId7" embosscolor="#FFFFFF" o:title=""/>
                  <o:lock v:ext="edit" aspectratio="t"/>
                </v:shape>
                <o:OLEObject Type="Embed" ProgID="Excel.Chart.8" ShapeID="1042" DrawAspect="Content" ObjectID="_1468075725" r:id="rId6">
                  <o:LockedField>false</o:LockedField>
                </o:OLEObject>
              </w:pic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3" name="图表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表_2_SpCnt_3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4" name="图表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表_2_SpCnt_4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5" name="图表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表_2_SpCnt_5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6" name="图表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表_2_SpCnt_6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7" name="图表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表_2_SpCnt_7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营业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收入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-13.2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250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营业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成本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-14.0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3250" w:type="dxa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-58.1 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color w:val="auto"/>
          <w:spacing w:val="57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固定资产投资    房地产</w:t>
      </w:r>
    </w:p>
    <w:tbl>
      <w:tblPr>
        <w:tblStyle w:val="5"/>
        <w:tblW w:w="494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2"/>
        <w:gridCol w:w="11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752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1-8月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247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75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5"/>
                <w:szCs w:val="15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一、固定资产投资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#第一产业</w:t>
            </w:r>
          </w:p>
        </w:tc>
        <w:tc>
          <w:tcPr>
            <w:tcW w:w="124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第二产业</w:t>
            </w:r>
          </w:p>
        </w:tc>
        <w:tc>
          <w:tcPr>
            <w:tcW w:w="124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#工业</w:t>
            </w:r>
          </w:p>
        </w:tc>
        <w:tc>
          <w:tcPr>
            <w:tcW w:w="124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第三产业</w:t>
            </w:r>
          </w:p>
        </w:tc>
        <w:tc>
          <w:tcPr>
            <w:tcW w:w="1247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房地产开发投资额（亿元）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-11.2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#自筹资金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-28.2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住宅类投资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-24.7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二、项目建设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施工项目数（个）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#新开工项目数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-14.2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三、商品房建设与销售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月末商品房施工面积（万平方米）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商品房竣工面积（万平方米）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-97.3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-96.7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商品房销售面积（万平方米）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-7.4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月末商品房待售面积（万平方米）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-16.6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752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247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-32.3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159" w:rightChars="-76"/>
        <w:textAlignment w:val="auto"/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注：项目个数为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00万元以上固定资产投资项目和房地产开发项目，施工项目为本年在建项目，新开工项目为本年开工项目。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 xml:space="preserve"> 贸易   重点服务业</w:t>
      </w:r>
    </w:p>
    <w:tbl>
      <w:tblPr>
        <w:tblStyle w:val="5"/>
        <w:tblW w:w="45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0"/>
        <w:gridCol w:w="1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150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hAnsi="宋体" w:eastAsia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一、贸易（1-8月）</w:t>
            </w:r>
          </w:p>
        </w:tc>
        <w:tc>
          <w:tcPr>
            <w:tcW w:w="14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31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社会消费品零售额</w:t>
            </w: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#限额以上</w:t>
            </w: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eastAsia" w:ascii="微软雅黑 Light" w:hAnsi="微软雅黑 Light" w:eastAsia="宋体" w:cs="微软雅黑 Ligh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限额以上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销售额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（营业额）</w:t>
            </w: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批发业销售额</w:t>
            </w: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零售业销售额</w:t>
            </w: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住宿业营业额</w:t>
            </w: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餐饮业营业额</w:t>
            </w: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31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二、重点服务业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(1-7月）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315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15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规模以上服务业营业收入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其他交通运输和仓储业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31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其他营利性服务业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15" w:line="240" w:lineRule="exact"/>
        <w:ind w:right="-159" w:rightChars="-76"/>
        <w:textAlignment w:val="auto"/>
        <w:rPr>
          <w:rFonts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eastAsia="zh-CN"/>
        </w:rPr>
        <w:t>自202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年8月起，其他交通运输和仓储业统计口径为管道运输业、多式联运和运输代理业、装卸搬运和仓储业（剔除谷物、棉花等农产品仓储）。</w:t>
      </w:r>
    </w:p>
    <w:p>
      <w:pP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 xml:space="preserve">高新技术产业  文化产业   </w:t>
      </w:r>
    </w:p>
    <w:tbl>
      <w:tblPr>
        <w:tblStyle w:val="5"/>
        <w:tblW w:w="45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2"/>
        <w:gridCol w:w="1151"/>
        <w:gridCol w:w="7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632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600" w:right="0" w:hanging="600" w:hangingChars="300"/>
              <w:jc w:val="left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规上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高新技术产业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（上半年）</w:t>
            </w:r>
          </w:p>
        </w:tc>
        <w:tc>
          <w:tcPr>
            <w:tcW w:w="192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 w:eastAsia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6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总量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（亿元）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规上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高新技术产业增加值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69.82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60.6</w:t>
            </w: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2.8</w:t>
            </w: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服务业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二、规上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文化产业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420" w:leftChars="200" w:right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上半年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632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总量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（亿元）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632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  <w:t>规上文化产业营业收入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#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新闻信息服务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0.82</w:t>
            </w: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360.5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内容创作生产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0.52</w:t>
            </w: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创意设计服务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0.19</w:t>
            </w: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-45.5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文化传播渠道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文化投资运营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文化娱乐休闲服务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0.02</w:t>
            </w: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-53.6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文化辅助生产和中介服务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3.21</w:t>
            </w: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6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文化装备生产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63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文化消费终端生产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1.24</w:t>
            </w: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-16.3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供电  对外经济</w:t>
      </w:r>
    </w:p>
    <w:tbl>
      <w:tblPr>
        <w:tblStyle w:val="5"/>
        <w:tblW w:w="44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3"/>
        <w:gridCol w:w="1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3123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1"/>
                <w:szCs w:val="21"/>
              </w:rPr>
              <w:t>指标</w:t>
            </w: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1-8月</w:t>
            </w: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hAnsi="宋体"/>
                <w:b/>
                <w:bCs/>
                <w:color w:val="auto"/>
                <w:sz w:val="21"/>
                <w:szCs w:val="21"/>
              </w:rPr>
              <w:t>增速</w:t>
            </w: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(</w:t>
            </w:r>
            <w:r>
              <w:rPr>
                <w:rFonts w:hint="default" w:hAnsi="宋体"/>
                <w:b/>
                <w:bCs/>
                <w:color w:val="auto"/>
                <w:sz w:val="21"/>
                <w:szCs w:val="21"/>
              </w:rPr>
              <w:t>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一、全社会用电量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3.4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>#一产业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11.7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>二产业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3.1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#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>工业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3.3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三产业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4.8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Cs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#城乡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>居民生活用电量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4.4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二、对外经济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增速（%）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>进出口总额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-17.4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>#进口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-15.3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</w:rPr>
              <w:t xml:space="preserve"> 出口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-29.2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12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实际使用外资（1-7月 万美元）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-79.0</w:t>
            </w:r>
          </w:p>
        </w:tc>
      </w:tr>
    </w:tbl>
    <w:p>
      <w:pPr>
        <w:spacing w:line="180" w:lineRule="exact"/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</w:pPr>
      <w:r>
        <w:rPr>
          <w:rFonts w:hint="eastAsia" w:eastAsia="仿宋"/>
          <w:b/>
          <w:bCs/>
          <w:color w:val="auto"/>
          <w:sz w:val="16"/>
          <w:szCs w:val="16"/>
        </w:rPr>
        <w:t>注：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  <w:t>自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202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  <w:t>年7月起，实际使用外资采用商务厅反馈数据。</w:t>
      </w:r>
    </w:p>
    <w:p>
      <w:pPr>
        <w:spacing w:line="180" w:lineRule="exact"/>
        <w:rPr>
          <w:rFonts w:ascii="黑体" w:hAnsi="黑体" w:eastAsia="黑体" w:cs="黑体"/>
          <w:b/>
          <w:bCs/>
          <w:color w:val="auto"/>
          <w:spacing w:val="57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财  政  收  支</w:t>
      </w:r>
    </w:p>
    <w:tbl>
      <w:tblPr>
        <w:tblStyle w:val="5"/>
        <w:tblW w:w="4326" w:type="pct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4"/>
        <w:gridCol w:w="147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3245" w:type="pct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1-8月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754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245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增速(%)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245" w:type="pc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地方财政总收入</w:t>
            </w:r>
          </w:p>
        </w:tc>
        <w:tc>
          <w:tcPr>
            <w:tcW w:w="1754" w:type="pc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57.0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45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地方一般公共预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算收入</w:t>
            </w:r>
          </w:p>
        </w:tc>
        <w:tc>
          <w:tcPr>
            <w:tcW w:w="1754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20.6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45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#税收收入</w:t>
            </w:r>
          </w:p>
        </w:tc>
        <w:tc>
          <w:tcPr>
            <w:tcW w:w="1754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20.8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45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非税收收入</w:t>
            </w:r>
          </w:p>
        </w:tc>
        <w:tc>
          <w:tcPr>
            <w:tcW w:w="1754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20.1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45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财政支出</w:t>
            </w:r>
          </w:p>
        </w:tc>
        <w:tc>
          <w:tcPr>
            <w:tcW w:w="1754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-11.3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45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#一般公共服务</w:t>
            </w:r>
          </w:p>
        </w:tc>
        <w:tc>
          <w:tcPr>
            <w:tcW w:w="1754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-45.8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45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公共安全</w:t>
            </w:r>
          </w:p>
        </w:tc>
        <w:tc>
          <w:tcPr>
            <w:tcW w:w="1754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30.0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45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教育</w:t>
            </w:r>
          </w:p>
        </w:tc>
        <w:tc>
          <w:tcPr>
            <w:tcW w:w="1754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-15.2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45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科学技术</w:t>
            </w:r>
          </w:p>
        </w:tc>
        <w:tc>
          <w:tcPr>
            <w:tcW w:w="1754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133.6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45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社会保障与就业</w:t>
            </w:r>
          </w:p>
        </w:tc>
        <w:tc>
          <w:tcPr>
            <w:tcW w:w="1754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45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卫生健康</w:t>
            </w:r>
          </w:p>
        </w:tc>
        <w:tc>
          <w:tcPr>
            <w:tcW w:w="1754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45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节能环保</w:t>
            </w:r>
          </w:p>
        </w:tc>
        <w:tc>
          <w:tcPr>
            <w:tcW w:w="1754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645.9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245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城乡社区事务</w:t>
            </w:r>
          </w:p>
        </w:tc>
        <w:tc>
          <w:tcPr>
            <w:tcW w:w="1754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-35.3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45" w:type="pct"/>
            <w:tcBorders>
              <w:top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754" w:type="pct"/>
            <w:tcBorders>
              <w:top w:val="nil"/>
              <w:left w:val="single" w:color="000000" w:sz="4" w:space="0"/>
              <w:bottom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23.0</w:t>
            </w:r>
          </w:p>
        </w:tc>
      </w:tr>
    </w:tbl>
    <w:p>
      <w:pPr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>市场主体发展情况</w:t>
      </w:r>
    </w:p>
    <w:tbl>
      <w:tblPr>
        <w:tblStyle w:val="5"/>
        <w:tblW w:w="470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703"/>
        <w:gridCol w:w="895"/>
        <w:gridCol w:w="59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587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指标（1-8月）</w:t>
            </w:r>
          </w:p>
        </w:tc>
        <w:tc>
          <w:tcPr>
            <w:tcW w:w="774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38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潜江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8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总量</w:t>
            </w:r>
          </w:p>
        </w:tc>
        <w:tc>
          <w:tcPr>
            <w:tcW w:w="652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增速（%）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587" w:type="pc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各类市场主体总户数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111606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总注册资本(金)总额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17638709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25.2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新发展户数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14182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-20.9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新发展注册资本(金)数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2201249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66.6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一、国有集体及其控股企业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902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注册资本(金)总数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5462907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154.6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-43.8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19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w w:val="95"/>
                <w:kern w:val="0"/>
                <w:sz w:val="20"/>
                <w:szCs w:val="20"/>
                <w:u w:val="none"/>
                <w:lang w:val="en-US" w:eastAsia="zh-CN" w:bidi="ar"/>
              </w:rPr>
              <w:t>新登记注册资本(金)数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1186400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446.6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二、外商投资企业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-6.1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注册资本总数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万美元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27770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25.9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新登记注册资本数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万美元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10737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3479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三、私营企业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19332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注册资本(金)总数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10126987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2655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-4.3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19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w w:val="95"/>
                <w:kern w:val="0"/>
                <w:sz w:val="20"/>
                <w:szCs w:val="20"/>
                <w:u w:val="none"/>
                <w:lang w:val="en-US" w:eastAsia="zh-CN" w:bidi="ar"/>
              </w:rPr>
              <w:t>新登记注册资本(金)数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699480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-20.7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四、个体工商户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个体工商户总数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89525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14.1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资金数额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1272725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26.1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11313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-24.5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新登记资金数额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209213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五、农民专业合作社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农民专业合作社总数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1754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12.0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出资总额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573665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87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166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58.1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87" w:type="pct"/>
            <w:tcBorders>
              <w:top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新登记出资总额</w:t>
            </w:r>
          </w:p>
        </w:tc>
        <w:tc>
          <w:tcPr>
            <w:tcW w:w="774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85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34459 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0"/>
                <w:szCs w:val="20"/>
                <w:lang w:val="en-US" w:eastAsia="zh-CN"/>
              </w:rPr>
              <w:t>28.3</w:t>
            </w:r>
          </w:p>
        </w:tc>
      </w:tr>
    </w:tbl>
    <w:p>
      <w:pPr>
        <w:rPr>
          <w:rFonts w:ascii="黑体" w:hAnsi="黑体" w:eastAsia="黑体" w:cs="黑体"/>
          <w:b/>
          <w:bCs/>
          <w:color w:val="auto"/>
          <w:w w:val="90"/>
          <w:sz w:val="28"/>
          <w:szCs w:val="28"/>
        </w:rPr>
      </w:pPr>
    </w:p>
    <w:p/>
    <w:sectPr>
      <w:headerReference r:id="rId3" w:type="default"/>
      <w:footerReference r:id="rId4" w:type="default"/>
      <w:pgSz w:w="5954" w:h="10773"/>
      <w:pgMar w:top="851" w:right="567" w:bottom="851" w:left="567" w:header="567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ZWVhZGM1ZTgxNDMwMTdiMjA5Y2VkZDNjOWJkNzkifQ=="/>
  </w:docVars>
  <w:rsids>
    <w:rsidRoot w:val="17CE044A"/>
    <w:rsid w:val="17CE044A"/>
    <w:rsid w:val="4F80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2023-10-09T08:37:00Z</dcterms:created>
  <dc:creator>曾俊杰</dc:creator>
  <cp:lastModifiedBy>曾俊杰</cp:lastModifiedBy>
  <dcterms:modified xsi:type="dcterms:W3CDTF">2023-10-09T08:40:47Z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A5F99A5E1A17459496CC5889F7174627_11</vt:lpwstr>
  </property>
</Properties>
</file>