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left="-2"/>
        <w:jc w:val="center"/>
        <w:rPr>
          <w:rFonts w:eastAsia="华文中宋"/>
          <w:color w:val="auto"/>
          <w:spacing w:val="-6"/>
          <w:w w:val="98"/>
          <w:sz w:val="32"/>
          <w:szCs w:val="32"/>
        </w:rPr>
      </w:pPr>
    </w:p>
    <w:p>
      <w:pPr>
        <w:spacing w:line="360" w:lineRule="exact"/>
        <w:jc w:val="center"/>
        <w:rPr>
          <w:rFonts w:eastAsia="华文中宋"/>
          <w:color w:val="auto"/>
          <w:spacing w:val="20"/>
          <w:sz w:val="32"/>
          <w:szCs w:val="32"/>
        </w:rPr>
      </w:pPr>
    </w:p>
    <w:p>
      <w:pPr>
        <w:spacing w:line="600" w:lineRule="exact"/>
        <w:jc w:val="center"/>
        <w:rPr>
          <w:rFonts w:eastAsia="华文中宋"/>
          <w:color w:val="auto"/>
          <w:spacing w:val="20"/>
          <w:sz w:val="32"/>
          <w:szCs w:val="32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52705</wp:posOffset>
                </wp:positionV>
                <wp:extent cx="737235" cy="379095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" cy="379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distribute"/>
                              <w:rPr>
                                <w:rFonts w:ascii="楷体_GB2312" w:eastAsia="楷体_GB2312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3"/>
                              </w:rPr>
                              <w:t>内部资料</w:t>
                            </w:r>
                          </w:p>
                          <w:p>
                            <w:pPr>
                              <w:spacing w:before="31" w:beforeLines="10" w:line="240" w:lineRule="exact"/>
                              <w:jc w:val="distribute"/>
                              <w:rPr>
                                <w:rFonts w:ascii="楷体_GB2312" w:eastAsia="楷体_GB2312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3"/>
                              </w:rPr>
                              <w:t>注意保存</w:t>
                            </w:r>
                          </w:p>
                        </w:txbxContent>
                      </wps:txbx>
                      <wps:bodyPr lIns="53975" tIns="10795" rIns="53975" bIns="10795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66.95pt;margin-top:4.15pt;height:29.85pt;width:58.05pt;z-index:251659264;mso-width-relative:page;mso-height-relative:page;" filled="f" stroked="f" coordsize="21600,21600" o:gfxdata="UEsDBAoAAAAAAIdO4kAAAAAAAAAAAAAAAAAEAAAAZHJzL1BLAwQUAAAACACHTuJAqMmS4NgAAAAI&#10;AQAADwAAAGRycy9kb3ducmV2LnhtbE2PMU/DMBSEdyT+g/WQWBC1i6FKQ5wKITGBBASWbm78mkTY&#10;z5Htpg2/HjPBeLrT3XfV5uQsmzDEwZOC5UIAQ2q9GahT8PnxdF0Ai0mT0dYTKpgxwqY+P6t0afyR&#10;3nFqUsdyCcVSK+hTGkvOY9uj03HhR6Ts7X1wOmUZOm6CPuZyZ/mNECvu9EB5odcjPvbYfjUHp6DZ&#10;yvCN+3E24/PVy8P8Nk3Wvip1ebEU98ASntJfGH7xMzrUmWnnD2QiswqklOscVVBIYNm/vRP5207B&#10;qhDA64r/P1D/AFBLAwQUAAAACACHTuJAdEf3IrwBAABvAwAADgAAAGRycy9lMm9Eb2MueG1srVNL&#10;btswEN0X6B0I7mPJMhzVguVsjBQFijZAmgPQFGUR4A9D2pIv0N6gq26677l8jg4p1THSTRbZjGY4&#10;1ON7b8j13aAVOQrw0pqazmc5JcJw20izr+nTt/ubD5T4wEzDlDWipifh6d3m/bt17ypR2M6qRgBB&#10;EOOr3tW0C8FVWeZ5JzTzM+uEwWZrQbOAJeyzBliP6FplRZ7fZr2FxoHlwntc3Y5NOiHCawBt20ou&#10;tpYftDBhRAWhWEBJvpPO001i27aCh69t60UgqqaoNKSIh2C+izHbrFm1B+Y6yScK7DUUXmjSTBo8&#10;9AK1ZYGRA8j/oLTkYL1tw4xbnY1CkiOoYp6/8OaxY04kLWi1dxfT/dvB8i/HByCywZuQF7eUGKZx&#10;5uefP86//px/fydFdKh3vsKNj+4BpspjGuUOLej4RSFkSK6eLq6KIRCOi+WiLBZLSji2FuUqXy0j&#10;Zvb8swMfPgqrSUxqCji05CU7fvZh3PpvSzxLmRiNvZdKjd24kkWSI62YhWE3TFx3tjmhRvXJoG/L&#10;xapELiEV87xEMgSuO7vrzsGB3HfIaZ4oR2CcQyI/3Zk46Os6EXl+J5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MmS4NgAAAAIAQAADwAAAAAAAAABACAAAAAiAAAAZHJzL2Rvd25yZXYueG1sUEsB&#10;AhQAFAAAAAgAh07iQHRH9yK8AQAAb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4.25pt,0.85pt,4.25pt,0.85pt">
                  <w:txbxContent>
                    <w:p>
                      <w:pPr>
                        <w:spacing w:line="240" w:lineRule="exact"/>
                        <w:jc w:val="distribute"/>
                        <w:rPr>
                          <w:rFonts w:ascii="楷体_GB2312" w:eastAsia="楷体_GB2312"/>
                          <w:b/>
                          <w:sz w:val="23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3"/>
                        </w:rPr>
                        <w:t>内部资料</w:t>
                      </w:r>
                    </w:p>
                    <w:p>
                      <w:pPr>
                        <w:spacing w:before="31" w:beforeLines="10" w:line="240" w:lineRule="exact"/>
                        <w:jc w:val="distribute"/>
                        <w:rPr>
                          <w:rFonts w:ascii="楷体_GB2312" w:eastAsia="楷体_GB2312"/>
                          <w:b/>
                          <w:sz w:val="23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3"/>
                        </w:rPr>
                        <w:t>注意保存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jc w:val="center"/>
        <w:rPr>
          <w:rFonts w:eastAsia="华文中宋"/>
          <w:color w:val="auto"/>
          <w:spacing w:val="20"/>
          <w:sz w:val="32"/>
          <w:szCs w:val="32"/>
        </w:rPr>
      </w:pPr>
    </w:p>
    <w:p>
      <w:pPr>
        <w:jc w:val="center"/>
        <w:rPr>
          <w:rFonts w:eastAsia="黑体"/>
          <w:b/>
          <w:bCs/>
          <w:color w:val="auto"/>
          <w:w w:val="80"/>
          <w:sz w:val="56"/>
        </w:rPr>
      </w:pPr>
      <w:r>
        <w:rPr>
          <w:rFonts w:eastAsia="黑体"/>
          <w:b/>
          <w:bCs/>
          <w:color w:val="auto"/>
          <w:w w:val="80"/>
          <w:sz w:val="56"/>
        </w:rPr>
        <w:t>潜</w:t>
      </w:r>
      <w:r>
        <w:rPr>
          <w:rFonts w:hint="eastAsia" w:eastAsia="黑体"/>
          <w:b/>
          <w:bCs/>
          <w:color w:val="auto"/>
          <w:w w:val="80"/>
          <w:sz w:val="40"/>
          <w:szCs w:val="40"/>
        </w:rPr>
        <w:t xml:space="preserve"> </w:t>
      </w:r>
      <w:r>
        <w:rPr>
          <w:rFonts w:eastAsia="黑体"/>
          <w:b/>
          <w:bCs/>
          <w:color w:val="auto"/>
          <w:w w:val="80"/>
          <w:sz w:val="56"/>
        </w:rPr>
        <w:t>江</w:t>
      </w:r>
      <w:r>
        <w:rPr>
          <w:rFonts w:hint="eastAsia" w:eastAsia="黑体"/>
          <w:b/>
          <w:bCs/>
          <w:color w:val="auto"/>
          <w:w w:val="80"/>
          <w:sz w:val="40"/>
          <w:szCs w:val="40"/>
        </w:rPr>
        <w:t xml:space="preserve"> </w:t>
      </w:r>
      <w:r>
        <w:rPr>
          <w:rFonts w:eastAsia="黑体"/>
          <w:b/>
          <w:bCs/>
          <w:color w:val="auto"/>
          <w:w w:val="80"/>
          <w:sz w:val="56"/>
        </w:rPr>
        <w:t>统</w:t>
      </w:r>
      <w:r>
        <w:rPr>
          <w:rFonts w:hint="eastAsia" w:eastAsia="黑体"/>
          <w:b/>
          <w:bCs/>
          <w:color w:val="auto"/>
          <w:w w:val="80"/>
          <w:sz w:val="40"/>
          <w:szCs w:val="40"/>
        </w:rPr>
        <w:t xml:space="preserve"> </w:t>
      </w:r>
      <w:r>
        <w:rPr>
          <w:rFonts w:eastAsia="黑体"/>
          <w:b/>
          <w:bCs/>
          <w:color w:val="auto"/>
          <w:w w:val="80"/>
          <w:sz w:val="56"/>
        </w:rPr>
        <w:t>计</w:t>
      </w:r>
      <w:r>
        <w:rPr>
          <w:rFonts w:hint="eastAsia" w:eastAsia="黑体"/>
          <w:b/>
          <w:bCs/>
          <w:color w:val="auto"/>
          <w:w w:val="80"/>
          <w:sz w:val="40"/>
          <w:szCs w:val="40"/>
        </w:rPr>
        <w:t xml:space="preserve"> </w:t>
      </w:r>
      <w:r>
        <w:rPr>
          <w:rFonts w:eastAsia="黑体"/>
          <w:b/>
          <w:bCs/>
          <w:color w:val="auto"/>
          <w:w w:val="80"/>
          <w:sz w:val="56"/>
        </w:rPr>
        <w:t>月</w:t>
      </w:r>
      <w:r>
        <w:rPr>
          <w:rFonts w:hint="eastAsia" w:eastAsia="黑体"/>
          <w:b/>
          <w:bCs/>
          <w:color w:val="auto"/>
          <w:w w:val="80"/>
          <w:sz w:val="40"/>
          <w:szCs w:val="40"/>
        </w:rPr>
        <w:t xml:space="preserve"> </w:t>
      </w:r>
      <w:r>
        <w:rPr>
          <w:rFonts w:eastAsia="黑体"/>
          <w:b/>
          <w:bCs/>
          <w:color w:val="auto"/>
          <w:w w:val="80"/>
          <w:sz w:val="56"/>
        </w:rPr>
        <w:t>报</w:t>
      </w: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420" w:lineRule="exact"/>
        <w:jc w:val="center"/>
        <w:rPr>
          <w:color w:val="auto"/>
          <w:sz w:val="18"/>
        </w:rPr>
      </w:pPr>
    </w:p>
    <w:p>
      <w:pPr>
        <w:spacing w:line="500" w:lineRule="exact"/>
        <w:jc w:val="center"/>
        <w:rPr>
          <w:color w:val="auto"/>
          <w:sz w:val="18"/>
        </w:rPr>
      </w:pPr>
    </w:p>
    <w:p>
      <w:pPr>
        <w:spacing w:line="420" w:lineRule="exact"/>
        <w:ind w:firstLine="862" w:firstLineChars="308"/>
        <w:rPr>
          <w:color w:val="auto"/>
          <w:spacing w:val="16"/>
          <w:sz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67945</wp:posOffset>
                </wp:positionV>
                <wp:extent cx="482600" cy="365760"/>
                <wp:effectExtent l="0" t="0" r="0" b="0"/>
                <wp:wrapNone/>
                <wp:docPr id="10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185.5pt;margin-top:5.35pt;height:28.8pt;width:38pt;z-index:251659264;mso-width-relative:page;mso-height-relative:page;" filled="f" stroked="f" coordsize="21600,21600" o:gfxdata="UEsDBAoAAAAAAIdO4kAAAAAAAAAAAAAAAAAEAAAAZHJzL1BLAwQUAAAACACHTuJAeReINtoAAAAJ&#10;AQAADwAAAGRycy9kb3ducmV2LnhtbE2PwU7DMBBE70j8g7VIXBC1Q6umCnF6qISoEFJFCj278ZJE&#10;xOs0dpPy9ywnOO7MaPZNvr64Tow4hNaThmSmQCBV3rZUa3jfP92vQIRoyJrOE2r4xgDr4voqN5n1&#10;E73hWMZacAmFzGhoYuwzKUPVoDNh5nsk9j794Ezkc6ilHczE5a6TD0otpTMt8YfG9LhpsPoqz07D&#10;VO3Gw/71We7uDltPp+1pU368aH17k6hHEBEv8S8Mv/iMDgUzHf2ZbBCdhnma8JbIhkpBcGCxSFk4&#10;aliu5iCLXP5fUPwAUEsDBBQAAAAIAIdO4kAoDXJqowEAADsDAAAOAAAAZHJzL2Uyb0RvYy54bWyt&#10;Uktu2zAQ3RfoHQjua8pO6wSC5WyMZBO0AdIegKZIiwB/4NCWfIHkBl11033P5XN0SClOkW6yyGY0&#10;P72Z94ar68EacpARtHcNnc8qSqQTvtVu19Af328+XVECibuWG+9kQ48S6PX644dVH2q58J03rYwE&#10;QRzUfWhol1KoGQPRScth5oN0WFQ+Wp4wjDvWRt4jujVsUVVL1vvYhuiFBMDsZizSCTG+BdArpYXc&#10;eLG30qURNUrDE1KCTgeg67KtUlKkb0qBTMQ0FJmmYnEI+tts2XrF613kodNiWoG/ZYVXnCzXDoee&#10;oTY8cbKP+j8oq0X04FWaCW/ZSKQogizm1SttHjoeZOGCUkM4iw7vByu+Hu4j0S2+hGpxSYnjFm9+&#10;+vl0+vXn9PuRzLNCfYAaGx/CfZwiQDfTHVS0+YtEyFBUPZ5VlUMiApOfrxbLCvUWWLpYfrlcFtXZ&#10;y88hQrqV3pLsNDTi0YqW/HAHCQdi63NLnmVcts7faGPGas6wvOS4VvbSsB2mXbe+PSLHfYh61yF+&#10;oVTaUdOCPt0/H+3fuIC+vPn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kXiDbaAAAACQEAAA8A&#10;AAAAAAAAAQAgAAAAIgAAAGRycy9kb3ducmV2LnhtbFBLAQIUABQAAAAIAIdO4kAoDXJqowEAADs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pacing w:val="16"/>
          <w:sz w:val="28"/>
        </w:rPr>
        <w:t>潜 江 市 统 计 局</w:t>
      </w:r>
    </w:p>
    <w:p>
      <w:pPr>
        <w:spacing w:line="420" w:lineRule="exact"/>
        <w:ind w:firstLine="826" w:firstLineChars="295"/>
        <w:rPr>
          <w:color w:val="auto"/>
          <w:sz w:val="28"/>
        </w:rPr>
      </w:pPr>
      <w:r>
        <w:rPr>
          <w:color w:val="auto"/>
          <w:sz w:val="28"/>
        </w:rPr>
        <w:t>国家统计局潜江调查队</w:t>
      </w:r>
    </w:p>
    <w:p>
      <w:pPr>
        <w:spacing w:line="400" w:lineRule="exact"/>
        <w:jc w:val="center"/>
        <w:rPr>
          <w:color w:val="auto"/>
          <w:sz w:val="28"/>
        </w:rPr>
      </w:pPr>
      <w:r>
        <w:rPr>
          <w:rFonts w:hint="eastAsia"/>
          <w:color w:val="auto"/>
          <w:sz w:val="28"/>
        </w:rPr>
        <w:t>202</w:t>
      </w:r>
      <w:r>
        <w:rPr>
          <w:rFonts w:hint="eastAsia"/>
          <w:color w:val="auto"/>
          <w:sz w:val="28"/>
          <w:lang w:val="en-US" w:eastAsia="zh-CN"/>
        </w:rPr>
        <w:t>3</w:t>
      </w:r>
      <w:r>
        <w:rPr>
          <w:rFonts w:hint="eastAsia"/>
          <w:color w:val="auto"/>
          <w:sz w:val="28"/>
        </w:rPr>
        <w:t>年</w:t>
      </w:r>
      <w:r>
        <w:rPr>
          <w:rFonts w:hint="eastAsia"/>
          <w:color w:val="auto"/>
          <w:sz w:val="28"/>
          <w:lang w:val="en-US" w:eastAsia="zh-CN"/>
        </w:rPr>
        <w:t>9</w:t>
      </w:r>
      <w:r>
        <w:rPr>
          <w:rFonts w:hint="eastAsia"/>
          <w:color w:val="auto"/>
          <w:sz w:val="28"/>
          <w:lang w:eastAsia="zh-CN"/>
        </w:rPr>
        <w:t>月</w:t>
      </w:r>
    </w:p>
    <w:p>
      <w:pPr>
        <w:rPr>
          <w:rFonts w:hint="eastAsia" w:ascii="黑体" w:hAnsi="黑体" w:eastAsia="黑体" w:cs="黑体"/>
          <w:b/>
          <w:bCs/>
          <w:color w:val="auto"/>
          <w:spacing w:val="57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5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全市主要经济指标</w:t>
      </w:r>
    </w:p>
    <w:tbl>
      <w:tblPr>
        <w:tblStyle w:val="5"/>
        <w:tblW w:w="4702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6"/>
        <w:gridCol w:w="1845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77" w:type="pct"/>
            <w:vMerge w:val="restart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指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 xml:space="preserve">    </w:t>
            </w:r>
            <w:r>
              <w:rPr>
                <w:rFonts w:hint="default" w:hAnsi="宋体"/>
                <w:b/>
                <w:bCs/>
                <w:color w:val="auto"/>
                <w:sz w:val="20"/>
              </w:rPr>
              <w:t>标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>（1-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9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月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>）</w:t>
            </w:r>
          </w:p>
        </w:tc>
        <w:tc>
          <w:tcPr>
            <w:tcW w:w="2022" w:type="pct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977" w:type="pct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2022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center"/>
              <w:rPr>
                <w:rFonts w:hint="eastAsia" w:ascii="微软雅黑 Light" w:hAnsi="微软雅黑 Light" w:eastAsia="宋体" w:cs="微软雅黑 Light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/>
                <w:b/>
                <w:color w:val="auto"/>
                <w:sz w:val="20"/>
                <w:szCs w:val="20"/>
              </w:rPr>
              <w:t>一、地区生产总值</w:t>
            </w:r>
            <w:r>
              <w:rPr>
                <w:rFonts w:hint="default" w:ascii="宋体" w:hAnsi="宋体"/>
                <w:b/>
                <w:color w:val="auto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  <w:lang w:eastAsia="zh-CN"/>
              </w:rPr>
              <w:t>前三季度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  <w:lang w:val="en-US" w:eastAsia="zh-CN"/>
              </w:rPr>
              <w:t>GDP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022" w:type="pct"/>
            <w:tcBorders>
              <w:top w:val="single" w:color="000000" w:sz="4" w:space="0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default" w:ascii="宋体" w:hAnsi="宋体"/>
                <w:color w:val="auto"/>
                <w:sz w:val="20"/>
                <w:szCs w:val="20"/>
              </w:rPr>
              <w:t>#第一产业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/>
                <w:bCs/>
                <w:color w:val="auto"/>
                <w:sz w:val="20"/>
                <w:szCs w:val="20"/>
              </w:rPr>
              <w:t>第二产业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第三产业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b/>
                <w:color w:val="auto"/>
                <w:sz w:val="20"/>
                <w:szCs w:val="20"/>
              </w:rPr>
              <w:t>二、规模以上工业增加值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微软雅黑 Light" w:hAnsi="微软雅黑 Light" w:eastAsia="宋体" w:cs="微软雅黑 Light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三、全社会用电量</w:t>
            </w:r>
            <w:r>
              <w:rPr>
                <w:rFonts w:hint="default" w:ascii="宋体" w:hAnsi="宋体"/>
                <w:b/>
                <w:color w:val="auto"/>
                <w:sz w:val="15"/>
                <w:szCs w:val="15"/>
              </w:rPr>
              <w:t>(亿千瓦时)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5.1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#工业用电量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5.4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四、进出口总额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-11.0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#进 口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-7.9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出 口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-28.5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五、财政总收入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58.5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地方一般公共预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算收入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20.1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税收收入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20.1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b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地方一般公共预算支出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六、金融机构存款余额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（本外币）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14.1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#住户存款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17.1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b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金融机构贷款余额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（本外币）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#短期贷款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七、固定资产投资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#民间投资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22.8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 工业投资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   #工业技改投资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11.0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 基础设施投资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-27.8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   改建与技术改造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-9.7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八、社会消费品零售额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九、实际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使用外资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  <w:lang w:val="en-US" w:eastAsia="zh-CN"/>
              </w:rPr>
              <w:t>1-8月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万美元）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-79.0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十、人均可支配收入</w:t>
            </w:r>
            <w:r>
              <w:rPr>
                <w:rFonts w:hint="eastAsia" w:ascii="宋体" w:hAnsi="宋体"/>
                <w:b/>
                <w:color w:val="auto"/>
                <w:sz w:val="15"/>
                <w:szCs w:val="15"/>
                <w:lang w:eastAsia="zh-CN"/>
              </w:rPr>
              <w:t>（前三季度）</w:t>
            </w:r>
            <w:r>
              <w:rPr>
                <w:rFonts w:hint="default" w:ascii="宋体" w:hAnsi="宋体"/>
                <w:b/>
                <w:color w:val="auto"/>
                <w:sz w:val="15"/>
                <w:szCs w:val="15"/>
              </w:rPr>
              <w:t>（元）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#城镇常住居民</w:t>
            </w:r>
          </w:p>
        </w:tc>
        <w:tc>
          <w:tcPr>
            <w:tcW w:w="2022" w:type="pct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  <w:jc w:val="center"/>
        </w:trPr>
        <w:tc>
          <w:tcPr>
            <w:tcW w:w="2977" w:type="pct"/>
            <w:tcBorders>
              <w:top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农村常住居民</w:t>
            </w:r>
          </w:p>
        </w:tc>
        <w:tc>
          <w:tcPr>
            <w:tcW w:w="2022" w:type="pct"/>
            <w:tcBorders>
              <w:top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7.9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2" w:beforeLines="10" w:line="180" w:lineRule="exact"/>
        <w:jc w:val="both"/>
        <w:textAlignment w:val="auto"/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</w:pP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注：①</w:t>
      </w:r>
      <w:r>
        <w:rPr>
          <w:rFonts w:hint="eastAsia" w:ascii="Calibri" w:hAnsi="Calibri" w:eastAsia="仿宋" w:cs="Calibri"/>
          <w:b/>
          <w:bCs/>
          <w:color w:val="auto"/>
          <w:kern w:val="2"/>
          <w:sz w:val="16"/>
          <w:szCs w:val="16"/>
          <w:lang w:val="en-US" w:eastAsia="zh-CN" w:bidi="ar-SA"/>
        </w:rPr>
        <w:t>GDP总量数据不等于各产业（行业）之和，是由于数值修约误差所致，未作机械调整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180" w:lineRule="exact"/>
        <w:ind w:firstLine="320" w:firstLineChars="200"/>
        <w:textAlignment w:val="auto"/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</w:pP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②税收收入采用财政厅反馈数据，指地方级税收收入；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180" w:lineRule="exact"/>
        <w:ind w:firstLine="320" w:firstLineChars="200"/>
        <w:textAlignment w:val="auto"/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</w:pPr>
      <w:r>
        <w:rPr>
          <w:rFonts w:hint="eastAsia" w:ascii="Calibri" w:hAnsi="Calibri" w:eastAsia="仿宋" w:cs="Calibri"/>
          <w:b/>
          <w:bCs/>
          <w:color w:val="auto"/>
          <w:kern w:val="2"/>
          <w:sz w:val="16"/>
          <w:szCs w:val="16"/>
          <w:lang w:val="en-US" w:eastAsia="zh-CN" w:bidi="ar-SA"/>
        </w:rPr>
        <w:t>③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自202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val="en-US" w:eastAsia="zh-CN"/>
        </w:rPr>
        <w:t>2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年7月起，实际使用外资采用商务厅反馈数据</w:t>
      </w:r>
      <w:r>
        <w:rPr>
          <w:rFonts w:hint="eastAsia" w:ascii="Calibri" w:hAnsi="Calibri" w:eastAsia="仿宋" w:cs="Calibri"/>
          <w:b/>
          <w:bCs/>
          <w:color w:val="auto"/>
          <w:kern w:val="2"/>
          <w:sz w:val="16"/>
          <w:szCs w:val="16"/>
          <w:lang w:val="en-US" w:eastAsia="zh-CN" w:bidi="ar-SA"/>
        </w:rPr>
        <w:t>。</w:t>
      </w:r>
    </w:p>
    <w:p>
      <w:pPr>
        <w:spacing w:line="180" w:lineRule="exact"/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5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val="en-US" w:eastAsia="zh-CN"/>
        </w:rPr>
        <w:t>2023年前三季度</w:t>
      </w: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国民经济核算</w:t>
      </w:r>
    </w:p>
    <w:tbl>
      <w:tblPr>
        <w:tblStyle w:val="5"/>
        <w:tblW w:w="4907" w:type="dxa"/>
        <w:jc w:val="center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92"/>
        <w:gridCol w:w="1369"/>
        <w:gridCol w:w="968"/>
        <w:gridCol w:w="178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322" w:hRule="atLeast"/>
          <w:jc w:val="center"/>
        </w:trPr>
        <w:tc>
          <w:tcPr>
            <w:tcW w:w="23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指  标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（前三季度）</w:t>
            </w:r>
          </w:p>
        </w:tc>
        <w:tc>
          <w:tcPr>
            <w:tcW w:w="233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385" w:hRule="atLeast"/>
          <w:jc w:val="center"/>
        </w:trPr>
        <w:tc>
          <w:tcPr>
            <w:tcW w:w="23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tcBorders>
              <w:top w:val="single" w:color="auto" w:sz="4" w:space="0"/>
            </w:tcBorders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/>
              <w:rPr>
                <w:rFonts w:hint="default"/>
                <w:color w:val="auto"/>
                <w:sz w:val="20"/>
              </w:rPr>
            </w:pPr>
            <w:bookmarkStart w:id="0" w:name="OLE_LINK2" w:colFirst="0" w:colLast="0"/>
            <w:r>
              <w:rPr>
                <w:rFonts w:hint="default" w:hAnsi="宋体"/>
                <w:b/>
                <w:bCs/>
                <w:color w:val="auto"/>
                <w:sz w:val="20"/>
              </w:rPr>
              <w:t>潜江市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>地区</w:t>
            </w:r>
            <w:r>
              <w:rPr>
                <w:rFonts w:hint="default" w:hAnsi="宋体"/>
                <w:b/>
                <w:bCs/>
                <w:color w:val="auto"/>
                <w:sz w:val="20"/>
              </w:rPr>
              <w:t>生产总值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</w:tcBorders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农林牧渔业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工业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建筑业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批发和零售业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交通运输、仓储及邮政业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住宿业和餐饮业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金融业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房地产业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rPr>
                <w:rFonts w:hint="default" w:hAnsi="宋体"/>
                <w:color w:val="auto"/>
                <w:sz w:val="20"/>
              </w:rPr>
            </w:pPr>
            <w:r>
              <w:rPr>
                <w:rFonts w:hint="eastAsia" w:hAnsi="宋体"/>
                <w:color w:val="auto"/>
                <w:sz w:val="20"/>
              </w:rPr>
              <w:t>其他服务业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600" w:firstLineChars="300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营利性服务业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600" w:firstLineChars="300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非营利性服务业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310" w:firstLineChars="155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第一产业</w:t>
            </w:r>
          </w:p>
        </w:tc>
        <w:tc>
          <w:tcPr>
            <w:tcW w:w="2337" w:type="dxa"/>
            <w:gridSpan w:val="2"/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310" w:firstLineChars="155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第二产业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78" w:type="dxa"/>
          <w:cantSplit/>
          <w:trHeight w:val="454" w:hRule="atLeast"/>
          <w:jc w:val="center"/>
        </w:trPr>
        <w:tc>
          <w:tcPr>
            <w:tcW w:w="2392" w:type="dxa"/>
            <w:tcBorders>
              <w:bottom w:val="single" w:color="000000" w:sz="6" w:space="0"/>
            </w:tcBorders>
            <w:shd w:val="clear" w:color="auto" w:fill="E6FAF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310" w:firstLineChars="155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第三产业</w:t>
            </w:r>
          </w:p>
          <w:bookmarkEnd w:id="0"/>
        </w:tc>
        <w:tc>
          <w:tcPr>
            <w:tcW w:w="2337" w:type="dxa"/>
            <w:gridSpan w:val="2"/>
            <w:tcBorders>
              <w:bottom w:val="single" w:color="000000" w:sz="6" w:space="0"/>
            </w:tcBorders>
            <w:shd w:val="clear" w:color="auto" w:fill="E6FA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2392" w:type="dxa"/>
            <w:tcBorders>
              <w:top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 w:firstLine="294" w:firstLineChars="147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三次产业比重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168" w:rightChars="80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（一产：二产：三产）</w:t>
            </w:r>
          </w:p>
        </w:tc>
        <w:tc>
          <w:tcPr>
            <w:tcW w:w="1369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11.1:45.4:43.5</w:t>
            </w:r>
          </w:p>
        </w:tc>
        <w:tc>
          <w:tcPr>
            <w:tcW w:w="1146" w:type="dxa"/>
            <w:gridSpan w:val="2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8.8:40.5:50.7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hint="eastAsia" w:ascii="仿宋" w:hAnsi="仿宋" w:eastAsia="仿宋" w:cs="仿宋"/>
          <w:b/>
          <w:bCs/>
          <w:color w:val="auto"/>
          <w:w w:val="9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auto"/>
          <w:w w:val="90"/>
          <w:sz w:val="18"/>
          <w:szCs w:val="18"/>
        </w:rPr>
        <w:t>注：地区生产总值为季度核算。</w:t>
      </w:r>
    </w:p>
    <w:p>
      <w:pPr>
        <w:rPr>
          <w:rFonts w:eastAsia="黑体"/>
          <w:b/>
          <w:bCs/>
          <w:color w:val="auto"/>
          <w:spacing w:val="20"/>
          <w:sz w:val="28"/>
          <w:szCs w:val="28"/>
        </w:rPr>
      </w:pPr>
      <w:r>
        <w:rPr>
          <w:rFonts w:hint="eastAsia" w:eastAsia="黑体"/>
          <w:b/>
          <w:bCs/>
          <w:color w:val="auto"/>
          <w:spacing w:val="2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工  业</w:t>
      </w:r>
    </w:p>
    <w:tbl>
      <w:tblPr>
        <w:tblStyle w:val="5"/>
        <w:tblW w:w="423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1186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04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指  标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1-9月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04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一、</w:t>
            </w:r>
            <w:r>
              <w:rPr>
                <w:rFonts w:hint="default" w:hAnsi="宋体"/>
                <w:b/>
                <w:bCs/>
                <w:color w:val="auto"/>
                <w:sz w:val="20"/>
              </w:rPr>
              <w:t>规模以上工业增加值</w:t>
            </w:r>
          </w:p>
        </w:tc>
        <w:tc>
          <w:tcPr>
            <w:tcW w:w="1186" w:type="dxa"/>
            <w:tcBorders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#轻工业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-9.8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重工业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12.3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#农副食品加工业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-0.7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 w:firstLine="180" w:firstLineChars="10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医药制造业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-17.7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食品制造业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16.5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纺织服装、服饰业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-30.7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家具制造业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-39.7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 w:firstLine="180" w:firstLineChars="10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石油和天然气开采业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 w:firstLine="180" w:firstLineChars="10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开采专业及辅助性活动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7.0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 石油、煤炭及其他燃料加工业 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21.4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16.3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105" w:leftChars="5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电线、电缆、光缆及电工器材制造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13.9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二、</w:t>
            </w:r>
            <w:r>
              <w:rPr>
                <w:rFonts w:hint="default" w:hAnsi="宋体"/>
                <w:b/>
                <w:bCs/>
                <w:color w:val="auto"/>
                <w:sz w:val="20"/>
              </w:rPr>
              <w:t>规模以上工业总产值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工业产销率（%）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96.3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工业销售产值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-2.7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#出口交货值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-14.8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三、工业经济效益（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1-8月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pict>
                <v:shape id="1042" o:spid="_x0000_s1026" o:spt="75" type="#_x0000_t75" style="position:absolute;left:0pt;margin-left:0pt;margin-top:0pt;height:0.85pt;width:203.25pt;z-index:251659264;mso-width-relative:page;mso-height-relative:page;" o:ole="t" filled="f" stroked="f" coordsize="21600,21600">
                  <v:path/>
                  <v:fill on="f" focussize="0,0"/>
                  <v:stroke on="f"/>
                  <v:imagedata r:id="rId7" embosscolor="#FFFFFF" o:title=""/>
                  <o:lock v:ext="edit" aspectratio="t"/>
                </v:shape>
                <o:OLEObject Type="Embed" ProgID="Excel.Chart.8" ShapeID="1042" DrawAspect="Content" ObjectID="_1468075725" r:id="rId6">
                  <o:LockedField>false</o:LockedField>
                </o:OLEObject>
              </w:pic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10795"/>
                  <wp:effectExtent l="0" t="0" r="0" b="0"/>
                  <wp:wrapNone/>
                  <wp:docPr id="1043" name="图表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表_2_SpCnt_3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10795"/>
                  <wp:effectExtent l="0" t="0" r="0" b="0"/>
                  <wp:wrapNone/>
                  <wp:docPr id="1044" name="图表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表_2_SpCnt_4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10795"/>
                  <wp:effectExtent l="0" t="0" r="0" b="0"/>
                  <wp:wrapNone/>
                  <wp:docPr id="1045" name="图表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表_2_SpCnt_5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10795"/>
                  <wp:effectExtent l="0" t="0" r="0" b="0"/>
                  <wp:wrapNone/>
                  <wp:docPr id="1046" name="图表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表_2_SpCnt_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81275" cy="10795"/>
                  <wp:effectExtent l="0" t="0" r="0" b="0"/>
                  <wp:wrapNone/>
                  <wp:docPr id="1047" name="图表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图表_2_SpCnt_7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营业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收入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-12.2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营业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成本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-12.9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046" w:type="dxa"/>
            <w:tcBorders>
              <w:top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利润总额</w:t>
            </w:r>
          </w:p>
        </w:tc>
        <w:tc>
          <w:tcPr>
            <w:tcW w:w="1186" w:type="dxa"/>
            <w:tcBorders>
              <w:top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-55.5</w:t>
            </w:r>
          </w:p>
        </w:tc>
      </w:tr>
    </w:tbl>
    <w:p>
      <w:pPr>
        <w:jc w:val="center"/>
        <w:rPr>
          <w:rFonts w:ascii="黑体" w:hAnsi="黑体" w:eastAsia="黑体" w:cs="黑体"/>
          <w:b/>
          <w:bCs/>
          <w:color w:val="auto"/>
          <w:spacing w:val="57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5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固定资产投资    房地产</w:t>
      </w:r>
    </w:p>
    <w:tbl>
      <w:tblPr>
        <w:tblStyle w:val="5"/>
        <w:tblW w:w="483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1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278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指  标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1-9月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1721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27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15"/>
                <w:szCs w:val="15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一、固定资产投资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#第一产业</w:t>
            </w:r>
          </w:p>
        </w:tc>
        <w:tc>
          <w:tcPr>
            <w:tcW w:w="172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第二产业</w:t>
            </w:r>
          </w:p>
        </w:tc>
        <w:tc>
          <w:tcPr>
            <w:tcW w:w="172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#工业</w:t>
            </w:r>
          </w:p>
        </w:tc>
        <w:tc>
          <w:tcPr>
            <w:tcW w:w="172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 w:firstLineChars="3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第三产业</w:t>
            </w:r>
          </w:p>
        </w:tc>
        <w:tc>
          <w:tcPr>
            <w:tcW w:w="172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 w:firstLineChars="3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房地产开发投资额（亿元）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#自筹资金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住宅类投资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-19.0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二、项目建设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 w:firstLineChars="3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施工项目数（个）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#新开工项目数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-14.2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三、商品房建设与销售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0" w:firstLineChars="2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月末商品房施工面积（万平方米）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#住宅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0" w:firstLineChars="2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商品房竣工面积（万平方米）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-91.1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 w:firstLineChars="3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#住宅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-81.9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0" w:firstLineChars="2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商品房销售面积（万平方米）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#住宅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0" w:firstLineChars="2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月末商品房待售面积（万平方米）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-16.2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7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  <w:t>#住宅</w:t>
            </w:r>
          </w:p>
        </w:tc>
        <w:tc>
          <w:tcPr>
            <w:tcW w:w="1721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-23.6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159" w:rightChars="-76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  <w:t>注：项目个数为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  <w:t>00万元以上固定资产投资项目和房地产开发项目，施工项目为本年在建项目，新开工项目为本年开工项目。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 xml:space="preserve"> 贸易   重点服务业</w:t>
      </w:r>
    </w:p>
    <w:tbl>
      <w:tblPr>
        <w:tblStyle w:val="5"/>
        <w:tblW w:w="4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2"/>
        <w:gridCol w:w="1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8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hAnsi="宋体" w:eastAsia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一、贸易（1-9月）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社会消费品零售额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微软雅黑 Light" w:hAnsi="微软雅黑 Light" w:eastAsia="微软雅黑 Light" w:cs="微软雅黑 Light"/>
                <w:color w:val="auto"/>
                <w:sz w:val="20"/>
                <w:szCs w:val="20"/>
              </w:rPr>
            </w:pPr>
            <w:r>
              <w:rPr>
                <w:rFonts w:hint="default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#限额以上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jc w:val="left"/>
              <w:textAlignment w:val="center"/>
              <w:rPr>
                <w:rFonts w:hint="eastAsia" w:ascii="微软雅黑 Light" w:hAnsi="微软雅黑 Light" w:eastAsia="宋体" w:cs="微软雅黑 Light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限额以上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销售额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（营业额）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限上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批发业销售额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限上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零售业销售额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限上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住宿业营业额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限上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餐饮业营业额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二、重点服务业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(1-8月）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潜江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8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规模以上服务业营业收入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其他交通运输和仓储业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营业收入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8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其他营利性服务业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营业收入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beforeLines="15" w:line="240" w:lineRule="exact"/>
        <w:ind w:right="-159" w:rightChars="-76"/>
        <w:textAlignment w:val="auto"/>
        <w:rPr>
          <w:rFonts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  <w:lang w:eastAsia="zh-CN"/>
        </w:rPr>
        <w:t>自202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-6"/>
          <w:w w:val="90"/>
          <w:sz w:val="16"/>
          <w:szCs w:val="16"/>
        </w:rPr>
        <w:t>年8月起，其他交通运输和仓储业统计口径为管道运输业、多式联运和运输代理业、装卸搬运和仓储业（剔除谷物、棉花等农产品仓储）。</w:t>
      </w:r>
    </w:p>
    <w:p>
      <w:pP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 xml:space="preserve">高新技术产业  文化产业   </w:t>
      </w:r>
    </w:p>
    <w:tbl>
      <w:tblPr>
        <w:tblStyle w:val="5"/>
        <w:tblW w:w="4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660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600" w:right="0" w:hanging="600" w:hangingChars="300"/>
              <w:jc w:val="left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</w:rPr>
              <w:t>一、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规上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>高新技术产业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 xml:space="preserve">     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（前三季度）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规上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高新技术产业增加值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15.1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服务业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6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二、规上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文化产业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420" w:leftChars="200" w:right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上半年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6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>规上文化产业营业收入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62.7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新闻信息服务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360.5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内容创作生产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创意设计服务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-45.5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jc w:val="lef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文化传播渠道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jc w:val="lef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文化投资运营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jc w:val="lef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文化娱乐休闲服务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-53.6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uto"/>
              <w:ind w:left="0" w:right="0" w:firstLine="400" w:firstLineChars="200"/>
              <w:jc w:val="left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文化辅助生产和中介服务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138.2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文化装备生产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6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文化消费终端生产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-16.3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供电  对外经济</w:t>
      </w:r>
    </w:p>
    <w:tbl>
      <w:tblPr>
        <w:tblStyle w:val="5"/>
        <w:tblW w:w="39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53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指标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1-9月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2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6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增速</w:t>
            </w:r>
            <w:r>
              <w:rPr>
                <w:rFonts w:hint="eastAsia" w:hAnsi="宋体"/>
                <w:b/>
                <w:bCs/>
                <w:color w:val="auto"/>
                <w:sz w:val="20"/>
              </w:rPr>
              <w:t>(</w:t>
            </w:r>
            <w:r>
              <w:rPr>
                <w:rFonts w:hint="default" w:hAnsi="宋体"/>
                <w:b/>
                <w:bCs/>
                <w:color w:val="auto"/>
                <w:sz w:val="20"/>
              </w:rPr>
              <w:t>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left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一、全社会用电量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5.1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#一产业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8.9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二产业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5.2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工业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5.4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三产业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4.8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微软雅黑 Light" w:hAnsi="微软雅黑 Light" w:eastAsia="微软雅黑 Light" w:cs="微软雅黑 Light"/>
                <w:bCs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#城乡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居民生活用电量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4.3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二、对外经济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增速（%）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进出口总额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-11.0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>#进口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出口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-28.5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65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实际使用外资（1-8月 万美元）</w:t>
            </w:r>
          </w:p>
        </w:tc>
        <w:tc>
          <w:tcPr>
            <w:tcW w:w="2335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>-79.0</w:t>
            </w:r>
          </w:p>
        </w:tc>
      </w:tr>
    </w:tbl>
    <w:p>
      <w:pPr>
        <w:spacing w:line="180" w:lineRule="exact"/>
        <w:rPr>
          <w:rFonts w:hint="eastAsia" w:ascii="Calibri" w:hAnsi="Calibri" w:eastAsia="仿宋" w:cs="Calibri"/>
          <w:b/>
          <w:bCs/>
          <w:color w:val="auto"/>
          <w:sz w:val="16"/>
          <w:szCs w:val="16"/>
        </w:rPr>
      </w:pPr>
      <w:r>
        <w:rPr>
          <w:rFonts w:hint="eastAsia" w:eastAsia="仿宋"/>
          <w:b/>
          <w:bCs/>
          <w:color w:val="auto"/>
          <w:sz w:val="16"/>
          <w:szCs w:val="16"/>
        </w:rPr>
        <w:t>注：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</w:rPr>
        <w:t>自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eastAsia="zh-CN"/>
        </w:rPr>
        <w:t>202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  <w:lang w:val="en-US" w:eastAsia="zh-CN"/>
        </w:rPr>
        <w:t>2</w:t>
      </w:r>
      <w:r>
        <w:rPr>
          <w:rFonts w:hint="eastAsia" w:ascii="Calibri" w:hAnsi="Calibri" w:eastAsia="仿宋" w:cs="Calibri"/>
          <w:b/>
          <w:bCs/>
          <w:color w:val="auto"/>
          <w:sz w:val="16"/>
          <w:szCs w:val="16"/>
        </w:rPr>
        <w:t>年7月起，实际使用外资采用商务厅反馈数据。</w:t>
      </w:r>
    </w:p>
    <w:p>
      <w:pPr>
        <w:spacing w:line="180" w:lineRule="exact"/>
        <w:rPr>
          <w:rFonts w:ascii="黑体" w:hAnsi="黑体" w:eastAsia="黑体" w:cs="黑体"/>
          <w:b/>
          <w:bCs/>
          <w:color w:val="auto"/>
          <w:spacing w:val="57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57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  <w:t>财  政  收  支</w:t>
      </w:r>
    </w:p>
    <w:tbl>
      <w:tblPr>
        <w:tblStyle w:val="5"/>
        <w:tblW w:w="4414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66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61" w:type="pct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 w:eastAsia="宋体"/>
                <w:b/>
                <w:bCs/>
                <w:color w:val="auto"/>
                <w:sz w:val="20"/>
                <w:lang w:eastAsia="zh-CN"/>
              </w:rPr>
            </w:pPr>
            <w:r>
              <w:rPr>
                <w:rFonts w:hint="default" w:hAnsi="宋体"/>
                <w:b/>
                <w:bCs/>
                <w:color w:val="auto"/>
                <w:sz w:val="20"/>
              </w:rPr>
              <w:t>指标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  <w:t>1-9月</w:t>
            </w: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）</w:t>
            </w:r>
          </w:p>
        </w:tc>
        <w:tc>
          <w:tcPr>
            <w:tcW w:w="193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306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hAnsi="宋体"/>
                <w:b/>
                <w:bCs/>
                <w:color w:val="auto"/>
                <w:sz w:val="20"/>
              </w:rPr>
            </w:pP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6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增速(%)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地方财政总收入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58.5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#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地方一般公共预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算收入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20.1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#税收收入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20.1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非税收收入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19.9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 Light" w:hAnsi="微软雅黑 Light" w:eastAsia="微软雅黑 Light" w:cs="微软雅黑 Light"/>
                <w:b/>
                <w:color w:val="auto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</w:rPr>
              <w:t>财政支出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-4.9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#一般公共服务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-41.5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公共安全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-41.5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教育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37.8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科学技术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2.2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社会保障与就业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61.2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卫生健康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4.5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节能环保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-1.0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nil"/>
              <w:right w:val="single" w:color="000000" w:sz="4" w:space="0"/>
            </w:tcBorders>
            <w:shd w:val="clear" w:color="auto" w:fill="E6FA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 xml:space="preserve">  城乡社区事务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nil"/>
            </w:tcBorders>
            <w:shd w:val="clear" w:color="auto" w:fill="E6FA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622.4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61" w:type="pct"/>
            <w:tcBorders>
              <w:top w:val="nil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200" w:firstLineChars="100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single" w:color="000000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-35.0 </w:t>
            </w:r>
          </w:p>
        </w:tc>
      </w:tr>
    </w:tbl>
    <w:p>
      <w:pPr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eastAsia="仿宋"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shd w:val="clear" w:fill="E6FAF0"/>
        <w:kinsoku/>
        <w:wordWrap/>
        <w:overflowPunct w:val="0"/>
        <w:topLinePunct w:val="0"/>
        <w:autoSpaceDE/>
        <w:autoSpaceDN/>
        <w:bidi w:val="0"/>
        <w:adjustRightInd/>
        <w:snapToGrid/>
        <w:spacing w:line="370" w:lineRule="exact"/>
        <w:ind w:right="-218" w:rightChars="-104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sz w:val="28"/>
          <w:szCs w:val="28"/>
          <w:highlight w:val="green"/>
          <w:shd w:val="clear" w:color="auto" w:fill="auto"/>
          <w:lang w:val="en-US" w:eastAsia="zh-CN"/>
        </w:rPr>
        <w:t>市场主体发展情况</w:t>
      </w:r>
    </w:p>
    <w:tbl>
      <w:tblPr>
        <w:tblStyle w:val="5"/>
        <w:tblW w:w="4441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2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514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指标（1-9月）</w:t>
            </w:r>
          </w:p>
        </w:tc>
        <w:tc>
          <w:tcPr>
            <w:tcW w:w="2485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hAnsi="宋体"/>
                <w:b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0"/>
                <w:lang w:eastAsia="zh-CN"/>
              </w:rPr>
              <w:t>潜江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2514" w:type="pct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85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增速（%）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各类市场主体总户数</w:t>
            </w:r>
          </w:p>
        </w:tc>
        <w:tc>
          <w:tcPr>
            <w:tcW w:w="2485" w:type="pct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总注册资本(金)总额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31.3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新发展户数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新发展注册资本(金)数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>一、国有集体及其控股企业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企业总数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注册资本(金)总数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106.2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-42.7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 w:firstLine="171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w w:val="95"/>
                <w:kern w:val="0"/>
                <w:sz w:val="18"/>
                <w:szCs w:val="18"/>
                <w:u w:val="none"/>
                <w:lang w:val="en-US" w:eastAsia="zh-CN" w:bidi="ar"/>
              </w:rPr>
              <w:t>新登记注册资本(金)数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71.1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>二、外商投资企业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企业总数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-2.1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注册资本总数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75.0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新登记注册资本数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3479.0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>三、私营企业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企业总数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42.3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注册资本(金)总数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13.0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163.7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 w:firstLine="171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w w:val="95"/>
                <w:kern w:val="0"/>
                <w:sz w:val="18"/>
                <w:szCs w:val="18"/>
                <w:u w:val="none"/>
                <w:lang w:val="en-US" w:eastAsia="zh-CN" w:bidi="ar"/>
              </w:rPr>
              <w:t>新登记注册资本(金)数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>四、个体工商户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个体工商户总数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资金数额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 xml:space="preserve">16563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新登记资金数额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left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 w:bidi="ar"/>
              </w:rPr>
              <w:t>五、农民专业合作社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农民专业合作社总数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出资总额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514" w:type="pc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新登记数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40.5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514" w:type="pct"/>
            <w:tcBorders>
              <w:top w:val="nil"/>
              <w:right w:val="single" w:color="auto" w:sz="4" w:space="0"/>
            </w:tcBorders>
            <w:shd w:val="clear" w:color="auto" w:fill="E6FAF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新登记出资总额</w:t>
            </w:r>
          </w:p>
        </w:tc>
        <w:tc>
          <w:tcPr>
            <w:tcW w:w="2485" w:type="pct"/>
            <w:tcBorders>
              <w:top w:val="nil"/>
              <w:left w:val="single" w:color="auto" w:sz="4" w:space="0"/>
            </w:tcBorders>
            <w:shd w:val="clear" w:color="auto" w:fill="E6FA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17.0</w:t>
            </w:r>
          </w:p>
        </w:tc>
      </w:tr>
    </w:tbl>
    <w:p>
      <w:pPr>
        <w:rPr>
          <w:rFonts w:eastAsia="仿宋"/>
          <w:color w:val="auto"/>
        </w:rPr>
      </w:pPr>
      <w:r>
        <w:rPr>
          <w:rFonts w:hint="eastAsia" w:eastAsia="仿宋"/>
          <w:color w:val="auto"/>
        </w:rPr>
        <w:br w:type="page"/>
      </w:r>
    </w:p>
    <w:p/>
    <w:p/>
    <w:sectPr>
      <w:headerReference r:id="rId3" w:type="default"/>
      <w:footerReference r:id="rId4" w:type="default"/>
      <w:pgSz w:w="5954" w:h="10773"/>
      <w:pgMar w:top="851" w:right="567" w:bottom="851" w:left="567" w:header="567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ZWVhZGM1ZTgxNDMwMTdiMjA5Y2VkZDNjOWJkNzkifQ=="/>
  </w:docVars>
  <w:rsids>
    <w:rsidRoot w:val="00000000"/>
    <w:rsid w:val="02680497"/>
    <w:rsid w:val="1B732C6C"/>
    <w:rsid w:val="43F0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2023-10-25T08:04:00Z</dcterms:created>
  <dc:creator>Administrator</dc:creator>
  <cp:lastModifiedBy>徐倩倩</cp:lastModifiedBy>
  <dcterms:modified xsi:type="dcterms:W3CDTF">2024-02-28T03:24:53Z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D2A98F3592AE46D6AC03CB4A74BB2242_13</vt:lpwstr>
  </property>
</Properties>
</file>