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1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1-12月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行政处罚实施情况统计表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tbl>
      <w:tblPr>
        <w:tblStyle w:val="2"/>
        <w:tblW w:w="1480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55"/>
        <w:gridCol w:w="1965"/>
        <w:gridCol w:w="1845"/>
        <w:gridCol w:w="1740"/>
        <w:gridCol w:w="2190"/>
        <w:gridCol w:w="1016"/>
        <w:gridCol w:w="1714"/>
        <w:gridCol w:w="1320"/>
        <w:gridCol w:w="183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8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tabs>
                <w:tab w:val="left" w:pos="5757"/>
                <w:tab w:val="center" w:pos="7821"/>
              </w:tabs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警告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罚款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没收违法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所得、没收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非法财物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暂扣许可证、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吊销许可证、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拘留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40.6396</w:t>
            </w:r>
            <w:bookmarkStart w:id="0" w:name="_GoBack"/>
            <w:bookmarkEnd w:id="0"/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说明：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1.行政处罚实施数量的统计范围为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月31日期间作出行政处罚决定的数量。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2.单处一个类别行政处罚的，计入相应的行政处罚类别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并处两种以上行政处罚的，算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090000" w:fill="FFFFFF"/>
        </w:rPr>
        <w:t>一宗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行政处罚，计入最重的行政处罚类别。如“没收违法所得，并处罚款”，计入“没收违法所得、没收非法财物”类别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并处明确类别的行政处罚和其他行政处罚的，计入明确类别的行政处罚，如“处罚款，并处其他行政处罚”，计入“罚款”类别。行政处罚类别从轻到重的顺序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(1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警告，(2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罚款，(3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没收违法所得、没收非法财物，(4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暂扣许可证、执照，(5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责令停产停业，(6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吊销许可证、执照，(7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行政拘留。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3.“没收违法所得、没收非法财物”能确定金额的，计入“罚没金额”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不能确定金额的，不计入“罚没金额”。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4.“罚没金额”以处罚决定书确定的金额为准。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GUwN2E2OTI2NzJkNzI1NGJkZGVlMjgzYjQ2NjIifQ=="/>
  </w:docVars>
  <w:rsids>
    <w:rsidRoot w:val="704E5503"/>
    <w:rsid w:val="704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2022-11-04T01:11:00Z</dcterms:created>
  <dc:creator>丁宇阳的爸爸</dc:creator>
  <cp:lastModifiedBy>丁宇阳的爸爸</cp:lastModifiedBy>
  <dcterms:modified xsi:type="dcterms:W3CDTF">2022-11-04T01:19:04Z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C3FD14E9B7754A23948D4DAFFE6ECB4B</vt:lpwstr>
  </property>
</Properties>
</file>