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600" w:lineRule="exact"/>
        <w:ind w:left="0" w:leftChars="0" w:firstLine="0" w:firstLineChars="0"/>
        <w:jc w:val="both"/>
        <w:textAlignment w:val="baseline"/>
        <w:rPr>
          <w:rFonts w:hint="eastAsia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"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3</w:t>
      </w:r>
    </w:p>
    <w:p>
      <w:pPr>
        <w:pageBreakBefore w:val="0"/>
        <w:widowControl/>
        <w:wordWrap/>
        <w:topLinePunct w:val="0"/>
        <w:bidi w:val="0"/>
        <w:snapToGrid w:val="0"/>
        <w:spacing w:before="0" w:beforeAutospacing="0" w:after="0" w:afterAutospacing="0" w:line="600" w:lineRule="exact"/>
        <w:ind w:left="0" w:leftChars="0" w:firstLine="0" w:firstLineChars="0"/>
        <w:jc w:val="center"/>
        <w:textAlignment w:val="baseline"/>
        <w:rPr>
          <w:rFonts w:hint="default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" w:eastAsia="zh-CN"/>
        </w:rPr>
      </w:pPr>
      <w:bookmarkStart w:id="0" w:name="_GoBack"/>
      <w:r>
        <w:rPr>
          <w:rFonts w:hint="default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  <w:lang w:val="en" w:eastAsia="zh-CN"/>
        </w:rPr>
        <w:t>配合评估材料清单</w:t>
      </w:r>
    </w:p>
    <w:bookmarkEnd w:id="0"/>
    <w:p>
      <w:pPr>
        <w:pageBreakBefore w:val="0"/>
        <w:wordWrap/>
        <w:topLinePunct w:val="0"/>
        <w:bidi w:val="0"/>
        <w:snapToGrid w:val="0"/>
        <w:spacing w:before="0" w:beforeAutospacing="0" w:after="0" w:afterAutospacing="0" w:line="600" w:lineRule="exact"/>
        <w:jc w:val="center"/>
        <w:textAlignment w:val="baseline"/>
        <w:rPr>
          <w:rFonts w:hint="default" w:ascii="Times New Roman" w:hAnsi="Times New Roman" w:eastAsia="方正小标宋简体" w:cs="Times New Roman"/>
          <w:b w:val="0"/>
          <w:i w:val="0"/>
          <w:caps w:val="0"/>
          <w:color w:val="auto"/>
          <w:spacing w:val="0"/>
          <w:w w:val="100"/>
          <w:sz w:val="44"/>
          <w:szCs w:val="44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24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一、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  <w:t>医生、护士、医药学技术人员相关证书，有劳务关系的需提供劳动合同或劳务合同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  <w:t>二级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  <w:t>含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  <w:t>以上医疗机构应提供每类人员至少2名相关证书及劳动合同或劳务合同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  <w:t>;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24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二、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  <w:t>开设的与服务功能相适应的诊断、治疗、手术、住院、药品贮存及发放、检查检验放射等科室及主要仪器设备列表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</w:rPr>
        <w:t>加盖单位公章的原件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及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扫描件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24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三、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</w:rPr>
        <w:t>卫生健康部门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出具的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医疗机构级别证明文书（未评级除外）；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24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四、近三个月医疗服务（含基本医疗服务以及医疗美容、辅助生殖、生活照护、种植牙等非基本医疗服务）总量及发生的医疗费用明细原件及数据电子件；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五、事业单位法人证书或民办非企业单位登记证书或营业执照正、副本原件及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扫描件；其他无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事业单位法人证书或民办非企业单位登记证书提供其设立机构的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事业单位法人证书或民办非企业单位登记证书；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eastAsia="zh-CN"/>
        </w:rPr>
        <w:t>六、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</w:rPr>
        <w:t>法定代表人、主要负责人或实际控制人身份证原件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及扫描件；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4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七、有劳务关系的医保专（兼）职人员需提供劳动合同或劳务合同；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16" w:firstLineChars="200"/>
        <w:textAlignment w:val="auto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-6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八、营业场所所产权证、使用权证或租赁合同。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825F7"/>
    <w:rsid w:val="096840CD"/>
    <w:rsid w:val="7188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rFonts w:ascii="宋体" w:hAnsi="宋体" w:eastAsia="宋体" w:cs="宋体"/>
      <w:sz w:val="28"/>
      <w:szCs w:val="2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2026-09-11T08:27:00Z</dcterms:created>
  <dc:creator>閤成保</dc:creator>
  <cp:lastModifiedBy>閤成保</cp:lastModifiedBy>
  <dcterms:modified xsi:type="dcterms:W3CDTF">2026-09-11T08:27:49Z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2052-10.8.2.6642</vt:lpwstr>
  </property>
</Properties>
</file>