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/>
        <w:wordWrap/>
        <w:topLinePunct w:val="0"/>
        <w:bidi w:val="0"/>
        <w:spacing w:line="600" w:lineRule="exact"/>
        <w:jc w:val="both"/>
        <w:rPr>
          <w:rFonts w:hint="default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highlight w:val="none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highlight w:val="none"/>
          <w:u w:val="none"/>
          <w:lang w:val="en-US" w:eastAsia="zh-CN"/>
        </w:rPr>
        <w:t>2</w:t>
      </w:r>
    </w:p>
    <w:p>
      <w:pPr>
        <w:pStyle w:val="2"/>
        <w:spacing w:line="300" w:lineRule="exact"/>
        <w:rPr>
          <w:rFonts w:hint="eastAsia"/>
          <w:color w:val="auto"/>
          <w:lang w:val="en-US" w:eastAsia="zh-CN"/>
        </w:rPr>
      </w:pPr>
    </w:p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600" w:lineRule="exact"/>
        <w:jc w:val="center"/>
        <w:textAlignment w:val="baseline"/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" w:eastAsia="zh-CN"/>
        </w:rPr>
      </w:pPr>
      <w:bookmarkStart w:id="0" w:name="_GoBack"/>
      <w:r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" w:eastAsia="zh-CN"/>
        </w:rPr>
        <w:t>湖北省</w:t>
      </w:r>
      <w:r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精神类</w:t>
      </w:r>
      <w:r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  <w:t>定点</w:t>
      </w: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医疗</w:t>
      </w:r>
      <w:r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  <w:t>机构</w:t>
      </w:r>
      <w:r>
        <w:rPr>
          <w:rFonts w:hint="default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" w:eastAsia="zh-CN"/>
        </w:rPr>
        <w:t>受理</w:t>
      </w:r>
      <w:r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" w:eastAsia="zh-CN"/>
        </w:rPr>
        <w:t>回执</w:t>
      </w:r>
      <w:bookmarkEnd w:id="0"/>
    </w:p>
    <w:p>
      <w:pPr>
        <w:pStyle w:val="2"/>
        <w:spacing w:line="300" w:lineRule="exact"/>
        <w:rPr>
          <w:rFonts w:hint="default"/>
          <w:color w:val="auto"/>
          <w:lang w:val="en" w:eastAsia="zh-CN"/>
        </w:rPr>
      </w:pPr>
    </w:p>
    <w:tbl>
      <w:tblPr>
        <w:tblStyle w:val="4"/>
        <w:tblW w:w="87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6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987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回执编号</w:t>
            </w:r>
          </w:p>
        </w:tc>
        <w:tc>
          <w:tcPr>
            <w:tcW w:w="6812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left"/>
              <w:textAlignment w:val="baseline"/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987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机构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名称</w:t>
            </w:r>
          </w:p>
        </w:tc>
        <w:tc>
          <w:tcPr>
            <w:tcW w:w="6812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987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机构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地址</w:t>
            </w:r>
          </w:p>
        </w:tc>
        <w:tc>
          <w:tcPr>
            <w:tcW w:w="6812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987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办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理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事项</w:t>
            </w:r>
          </w:p>
        </w:tc>
        <w:tc>
          <w:tcPr>
            <w:tcW w:w="6812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/>
              </w:rPr>
              <w:t>精神类医疗机构申请定点协议管理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  <w:jc w:val="center"/>
        </w:trPr>
        <w:tc>
          <w:tcPr>
            <w:tcW w:w="1987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备注</w:t>
            </w:r>
          </w:p>
        </w:tc>
        <w:tc>
          <w:tcPr>
            <w:tcW w:w="6812" w:type="dxa"/>
            <w:vAlign w:val="center"/>
          </w:tcPr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你单位申请已受理，请按《配合评估材料清单》备齐相应材料，做好评估准备工作。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如未按约定时间配合完成评估，视为自愿放弃当次申请。</w:t>
            </w:r>
          </w:p>
          <w:p>
            <w:pPr>
              <w:pageBreakBefore w:val="0"/>
              <w:widowControl/>
              <w:wordWrap/>
              <w:topLinePunct w:val="0"/>
              <w:bidi w:val="0"/>
              <w:snapToGrid w:val="0"/>
              <w:spacing w:before="0" w:beforeAutospacing="0" w:after="0" w:afterAutospacing="0" w:line="5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评估时间：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在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/>
              </w:rPr>
              <w:t>之前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 xml:space="preserve">  </w:t>
            </w:r>
          </w:p>
        </w:tc>
      </w:tr>
    </w:tbl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560" w:lineRule="exact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（本回执一式两份，一份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送达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申请机构，一份经办机构留存。）</w:t>
      </w:r>
    </w:p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560" w:lineRule="exact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签收人：                 联系电话：            签收时间：</w:t>
      </w:r>
    </w:p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560" w:lineRule="exact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 xml:space="preserve"> </w:t>
      </w:r>
    </w:p>
    <w:p>
      <w:pPr>
        <w:pStyle w:val="2"/>
        <w:ind w:firstLine="0" w:firstLineChars="0"/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经办机构（盖章）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-US" w:eastAsia="zh-CN"/>
        </w:rPr>
        <w:t xml:space="preserve">         联系电话：            经办日期：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47452"/>
    <w:rsid w:val="096840CD"/>
    <w:rsid w:val="5684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2026-09-11T08:27:00Z</dcterms:created>
  <dc:creator>閤成保</dc:creator>
  <cp:lastModifiedBy>閤成保</cp:lastModifiedBy>
  <dcterms:modified xsi:type="dcterms:W3CDTF">2026-09-11T08:27:22Z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