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82526">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电子证照社会化应用场景清单</w:t>
      </w:r>
    </w:p>
    <w:p w14:paraId="0B109ABA">
      <w:pPr>
        <w:jc w:val="both"/>
        <w:rPr>
          <w:rFonts w:hint="eastAsia"/>
          <w:lang w:val="en-US" w:eastAsia="zh-CN"/>
        </w:rPr>
      </w:pPr>
    </w:p>
    <w:tbl>
      <w:tblPr>
        <w:tblStyle w:val="3"/>
        <w:tblW w:w="13476"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737"/>
        <w:gridCol w:w="1569"/>
        <w:gridCol w:w="9457"/>
      </w:tblGrid>
      <w:tr w14:paraId="1CD77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13" w:type="dxa"/>
            <w:vAlign w:val="center"/>
          </w:tcPr>
          <w:p w14:paraId="7863A0CB">
            <w:pPr>
              <w:jc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序号</w:t>
            </w:r>
          </w:p>
        </w:tc>
        <w:tc>
          <w:tcPr>
            <w:tcW w:w="1737" w:type="dxa"/>
            <w:vAlign w:val="center"/>
          </w:tcPr>
          <w:p w14:paraId="7B06E46F">
            <w:pPr>
              <w:jc w:val="both"/>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场景名称</w:t>
            </w:r>
          </w:p>
        </w:tc>
        <w:tc>
          <w:tcPr>
            <w:tcW w:w="1569" w:type="dxa"/>
            <w:vAlign w:val="center"/>
          </w:tcPr>
          <w:p w14:paraId="0817F153">
            <w:pPr>
              <w:jc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系统使用对象</w:t>
            </w:r>
          </w:p>
        </w:tc>
        <w:tc>
          <w:tcPr>
            <w:tcW w:w="9457" w:type="dxa"/>
            <w:vAlign w:val="center"/>
          </w:tcPr>
          <w:p w14:paraId="5867239D">
            <w:pPr>
              <w:jc w:val="center"/>
              <w:rPr>
                <w:rFonts w:hint="eastAsia" w:asciiTheme="majorEastAsia" w:hAnsiTheme="majorEastAsia" w:eastAsiaTheme="majorEastAsia" w:cstheme="majorEastAsia"/>
                <w:b w:val="0"/>
                <w:bCs w:val="0"/>
                <w:sz w:val="21"/>
                <w:szCs w:val="21"/>
                <w:vertAlign w:val="baseline"/>
                <w:lang w:val="en-US" w:eastAsia="zh-CN"/>
              </w:rPr>
            </w:pPr>
            <w:r>
              <w:rPr>
                <w:rFonts w:hint="eastAsia" w:asciiTheme="majorEastAsia" w:hAnsiTheme="majorEastAsia" w:eastAsiaTheme="majorEastAsia" w:cstheme="majorEastAsia"/>
                <w:b w:val="0"/>
                <w:bCs w:val="0"/>
                <w:sz w:val="21"/>
                <w:szCs w:val="21"/>
                <w:vertAlign w:val="baseline"/>
                <w:lang w:val="en-US" w:eastAsia="zh-CN"/>
              </w:rPr>
              <w:t>应用场景描述</w:t>
            </w:r>
          </w:p>
        </w:tc>
      </w:tr>
      <w:tr w14:paraId="494B0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3" w:type="dxa"/>
            <w:vAlign w:val="center"/>
          </w:tcPr>
          <w:p w14:paraId="46EE4400">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w:t>
            </w:r>
          </w:p>
        </w:tc>
        <w:tc>
          <w:tcPr>
            <w:tcW w:w="1737" w:type="dxa"/>
            <w:vAlign w:val="center"/>
          </w:tcPr>
          <w:p w14:paraId="72E36D18">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行政审批</w:t>
            </w:r>
          </w:p>
        </w:tc>
        <w:tc>
          <w:tcPr>
            <w:tcW w:w="1569" w:type="dxa"/>
            <w:vAlign w:val="center"/>
          </w:tcPr>
          <w:p w14:paraId="3286B5FC">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自规部门</w:t>
            </w:r>
          </w:p>
        </w:tc>
        <w:tc>
          <w:tcPr>
            <w:tcW w:w="9457" w:type="dxa"/>
          </w:tcPr>
          <w:p w14:paraId="5E507199">
            <w:pPr>
              <w:keepNext w:val="0"/>
              <w:keepLines w:val="0"/>
              <w:widowControl/>
              <w:suppressLineNumbers w:val="0"/>
              <w:jc w:val="both"/>
              <w:rPr>
                <w:rFonts w:hint="default" w:asciiTheme="minorHAnsi" w:hAnsiTheme="minorHAnsi" w:eastAsiaTheme="minorEastAsia" w:cstheme="minorBidi"/>
                <w:kern w:val="2"/>
                <w:sz w:val="21"/>
                <w:szCs w:val="24"/>
                <w:lang w:val="en-US" w:eastAsia="zh-CN" w:bidi="ar-SA"/>
              </w:rPr>
            </w:pPr>
            <w:r>
              <w:rPr>
                <w:rFonts w:hint="eastAsia" w:asciiTheme="majorEastAsia" w:hAnsiTheme="majorEastAsia" w:eastAsiaTheme="majorEastAsia" w:cstheme="majorEastAsia"/>
                <w:color w:val="000000"/>
                <w:kern w:val="0"/>
                <w:sz w:val="18"/>
                <w:szCs w:val="18"/>
                <w:lang w:val="en-US" w:eastAsia="zh-CN" w:bidi="ar"/>
              </w:rPr>
              <w:t>办理行政审批相关业务。</w:t>
            </w:r>
          </w:p>
        </w:tc>
      </w:tr>
      <w:tr w14:paraId="0479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13" w:type="dxa"/>
            <w:vAlign w:val="center"/>
          </w:tcPr>
          <w:p w14:paraId="358904C4">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2</w:t>
            </w:r>
          </w:p>
        </w:tc>
        <w:tc>
          <w:tcPr>
            <w:tcW w:w="1737" w:type="dxa"/>
            <w:vAlign w:val="center"/>
          </w:tcPr>
          <w:p w14:paraId="352A3015">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房产交易</w:t>
            </w:r>
          </w:p>
        </w:tc>
        <w:tc>
          <w:tcPr>
            <w:tcW w:w="1569" w:type="dxa"/>
            <w:vAlign w:val="center"/>
          </w:tcPr>
          <w:p w14:paraId="4EA4E44A">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住建部门</w:t>
            </w:r>
          </w:p>
        </w:tc>
        <w:tc>
          <w:tcPr>
            <w:tcW w:w="9457" w:type="dxa"/>
          </w:tcPr>
          <w:p w14:paraId="2B4DDBC8">
            <w:pPr>
              <w:keepNext w:val="0"/>
              <w:keepLines w:val="0"/>
              <w:widowControl/>
              <w:suppressLineNumbers w:val="0"/>
              <w:jc w:val="both"/>
              <w:rPr>
                <w:rFonts w:hint="eastAsia"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bidi="ar"/>
              </w:rPr>
              <w:t>办理房产交易、网签备案等相关业务。</w:t>
            </w:r>
          </w:p>
        </w:tc>
      </w:tr>
      <w:tr w14:paraId="1705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13" w:type="dxa"/>
            <w:vAlign w:val="center"/>
          </w:tcPr>
          <w:p w14:paraId="486ECD42">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3</w:t>
            </w:r>
          </w:p>
        </w:tc>
        <w:tc>
          <w:tcPr>
            <w:tcW w:w="1737" w:type="dxa"/>
            <w:vAlign w:val="center"/>
          </w:tcPr>
          <w:p w14:paraId="615ACB01">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缴纳税费</w:t>
            </w:r>
          </w:p>
        </w:tc>
        <w:tc>
          <w:tcPr>
            <w:tcW w:w="1569" w:type="dxa"/>
            <w:vAlign w:val="center"/>
          </w:tcPr>
          <w:p w14:paraId="0E504053">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color w:val="000000"/>
                <w:kern w:val="0"/>
                <w:sz w:val="18"/>
                <w:szCs w:val="18"/>
                <w:lang w:val="en-US" w:eastAsia="zh-CN" w:bidi="ar"/>
              </w:rPr>
              <w:t>税务部门</w:t>
            </w:r>
          </w:p>
        </w:tc>
        <w:tc>
          <w:tcPr>
            <w:tcW w:w="9457" w:type="dxa"/>
          </w:tcPr>
          <w:p w14:paraId="3510D26A">
            <w:pPr>
              <w:keepNext w:val="0"/>
              <w:keepLines w:val="0"/>
              <w:widowControl/>
              <w:suppressLineNumbers w:val="0"/>
              <w:jc w:val="both"/>
              <w:rPr>
                <w:rFonts w:hint="eastAsia"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bidi="ar"/>
              </w:rPr>
              <w:t>办理契税缴纳等相关业务。</w:t>
            </w:r>
          </w:p>
        </w:tc>
      </w:tr>
      <w:tr w14:paraId="7983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3" w:type="dxa"/>
            <w:vAlign w:val="center"/>
          </w:tcPr>
          <w:p w14:paraId="7FCA4580">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4</w:t>
            </w:r>
          </w:p>
        </w:tc>
        <w:tc>
          <w:tcPr>
            <w:tcW w:w="1737" w:type="dxa"/>
            <w:vAlign w:val="center"/>
          </w:tcPr>
          <w:p w14:paraId="6F95C156">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户籍迁移</w:t>
            </w:r>
          </w:p>
        </w:tc>
        <w:tc>
          <w:tcPr>
            <w:tcW w:w="1569" w:type="dxa"/>
            <w:vAlign w:val="center"/>
          </w:tcPr>
          <w:p w14:paraId="49A6AFFC">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color w:val="000000"/>
                <w:kern w:val="0"/>
                <w:sz w:val="18"/>
                <w:szCs w:val="18"/>
                <w:lang w:val="en-US" w:eastAsia="zh-CN" w:bidi="ar"/>
              </w:rPr>
              <w:t>公安部门</w:t>
            </w:r>
          </w:p>
        </w:tc>
        <w:tc>
          <w:tcPr>
            <w:tcW w:w="9457" w:type="dxa"/>
          </w:tcPr>
          <w:p w14:paraId="1E455762">
            <w:pPr>
              <w:keepNext w:val="0"/>
              <w:keepLines w:val="0"/>
              <w:widowControl/>
              <w:suppressLineNumbers w:val="0"/>
              <w:jc w:val="both"/>
              <w:rPr>
                <w:rFonts w:hint="eastAsia"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color w:val="000000"/>
                <w:kern w:val="0"/>
                <w:sz w:val="18"/>
                <w:szCs w:val="18"/>
                <w:lang w:val="en-US" w:eastAsia="zh-CN" w:bidi="ar"/>
              </w:rPr>
              <w:t>办理户籍登记等相关业务</w:t>
            </w:r>
          </w:p>
        </w:tc>
      </w:tr>
      <w:tr w14:paraId="683C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13" w:type="dxa"/>
            <w:vAlign w:val="center"/>
          </w:tcPr>
          <w:p w14:paraId="5C5FA698">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5</w:t>
            </w:r>
          </w:p>
        </w:tc>
        <w:tc>
          <w:tcPr>
            <w:tcW w:w="1737" w:type="dxa"/>
            <w:vAlign w:val="center"/>
          </w:tcPr>
          <w:p w14:paraId="07C607AF">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子女入学</w:t>
            </w:r>
          </w:p>
        </w:tc>
        <w:tc>
          <w:tcPr>
            <w:tcW w:w="1569" w:type="dxa"/>
            <w:vAlign w:val="center"/>
          </w:tcPr>
          <w:p w14:paraId="24F0068A">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教育部门</w:t>
            </w:r>
          </w:p>
        </w:tc>
        <w:tc>
          <w:tcPr>
            <w:tcW w:w="9457" w:type="dxa"/>
          </w:tcPr>
          <w:p w14:paraId="30BEE3D5">
            <w:pPr>
              <w:keepNext w:val="0"/>
              <w:keepLines w:val="0"/>
              <w:widowControl/>
              <w:suppressLineNumbers w:val="0"/>
              <w:jc w:val="both"/>
              <w:rPr>
                <w:rFonts w:hint="eastAsia" w:asciiTheme="majorEastAsia" w:hAnsiTheme="majorEastAsia" w:eastAsiaTheme="majorEastAsia" w:cstheme="majorEastAsia"/>
                <w:color w:val="000000"/>
                <w:kern w:val="0"/>
                <w:sz w:val="18"/>
                <w:szCs w:val="18"/>
                <w:lang w:val="en-US" w:eastAsia="zh-CN" w:bidi="ar"/>
              </w:rPr>
            </w:pPr>
            <w:r>
              <w:rPr>
                <w:rFonts w:hint="eastAsia" w:asciiTheme="majorEastAsia" w:hAnsiTheme="majorEastAsia" w:eastAsiaTheme="majorEastAsia" w:cstheme="majorEastAsia"/>
                <w:sz w:val="18"/>
                <w:szCs w:val="18"/>
                <w:vertAlign w:val="baseline"/>
                <w:lang w:val="en-US" w:eastAsia="zh-CN"/>
              </w:rPr>
              <w:t>通过数据共享提取或本人提交电子证照对新生报名(含摸底调查)提交《房屋所有权证》《不动产权证书》、住房信息查询证明等不动产权属信息证明资料进行审核。网络填报数据无法确认时，收集汇总后与不动产登记中心对接，实行集中查询。</w:t>
            </w:r>
          </w:p>
        </w:tc>
      </w:tr>
      <w:tr w14:paraId="4E06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13" w:type="dxa"/>
            <w:vAlign w:val="center"/>
          </w:tcPr>
          <w:p w14:paraId="36674031">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6</w:t>
            </w:r>
          </w:p>
        </w:tc>
        <w:tc>
          <w:tcPr>
            <w:tcW w:w="1737" w:type="dxa"/>
            <w:vAlign w:val="center"/>
          </w:tcPr>
          <w:p w14:paraId="5F23D1F5">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抵押融资</w:t>
            </w:r>
          </w:p>
        </w:tc>
        <w:tc>
          <w:tcPr>
            <w:tcW w:w="1569" w:type="dxa"/>
            <w:vAlign w:val="center"/>
          </w:tcPr>
          <w:p w14:paraId="356D5140">
            <w:pPr>
              <w:keepNext w:val="0"/>
              <w:keepLines w:val="0"/>
              <w:widowControl/>
              <w:suppressLineNumbers w:val="0"/>
              <w:jc w:val="left"/>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color w:val="000000"/>
                <w:kern w:val="0"/>
                <w:sz w:val="18"/>
                <w:szCs w:val="18"/>
                <w:lang w:val="en-US" w:eastAsia="zh-CN" w:bidi="ar"/>
              </w:rPr>
              <w:t>金融机构</w:t>
            </w:r>
          </w:p>
          <w:p w14:paraId="4FDCBBF4">
            <w:pPr>
              <w:jc w:val="left"/>
              <w:rPr>
                <w:rFonts w:hint="eastAsia" w:asciiTheme="majorEastAsia" w:hAnsiTheme="majorEastAsia" w:eastAsiaTheme="majorEastAsia" w:cstheme="majorEastAsia"/>
                <w:sz w:val="18"/>
                <w:szCs w:val="18"/>
                <w:vertAlign w:val="baseline"/>
                <w:lang w:val="en-US" w:eastAsia="zh-CN"/>
              </w:rPr>
            </w:pPr>
          </w:p>
        </w:tc>
        <w:tc>
          <w:tcPr>
            <w:tcW w:w="9457" w:type="dxa"/>
          </w:tcPr>
          <w:p w14:paraId="68697BAB">
            <w:pPr>
              <w:keepNext w:val="0"/>
              <w:keepLines w:val="0"/>
              <w:widowControl/>
              <w:suppressLineNumbers w:val="0"/>
              <w:jc w:val="both"/>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color w:val="000000"/>
                <w:kern w:val="0"/>
                <w:sz w:val="18"/>
                <w:szCs w:val="18"/>
                <w:lang w:val="en-US" w:eastAsia="zh-CN" w:bidi="ar"/>
              </w:rPr>
              <w:t>不动产登记证用于金融领域。银行和金融机构可通过湖北政务网下载打印不动产登记证明电子证照。纸质与电子证照两者具有同等法律效力，可作为法定办事依据和归档材料。</w:t>
            </w:r>
          </w:p>
        </w:tc>
      </w:tr>
      <w:tr w14:paraId="041B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3" w:type="dxa"/>
            <w:shd w:val="clear" w:color="auto" w:fill="auto"/>
            <w:vAlign w:val="center"/>
          </w:tcPr>
          <w:p w14:paraId="3C28716D">
            <w:pPr>
              <w:jc w:val="center"/>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7</w:t>
            </w:r>
          </w:p>
        </w:tc>
        <w:tc>
          <w:tcPr>
            <w:tcW w:w="1737" w:type="dxa"/>
            <w:shd w:val="clear" w:color="auto" w:fill="auto"/>
            <w:vAlign w:val="center"/>
          </w:tcPr>
          <w:p w14:paraId="0F5D42FE">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提取公积金</w:t>
            </w:r>
          </w:p>
          <w:p w14:paraId="79D8F377">
            <w:pPr>
              <w:jc w:val="left"/>
              <w:rPr>
                <w:rFonts w:hint="eastAsia" w:asciiTheme="majorEastAsia" w:hAnsiTheme="majorEastAsia" w:eastAsiaTheme="majorEastAsia" w:cstheme="majorEastAsia"/>
                <w:kern w:val="2"/>
                <w:sz w:val="18"/>
                <w:szCs w:val="18"/>
                <w:vertAlign w:val="baseline"/>
                <w:lang w:val="en-US" w:eastAsia="zh-CN" w:bidi="ar-SA"/>
              </w:rPr>
            </w:pPr>
          </w:p>
        </w:tc>
        <w:tc>
          <w:tcPr>
            <w:tcW w:w="1569" w:type="dxa"/>
            <w:shd w:val="clear" w:color="auto" w:fill="auto"/>
            <w:vAlign w:val="center"/>
          </w:tcPr>
          <w:p w14:paraId="0171245A">
            <w:pPr>
              <w:jc w:val="left"/>
              <w:rPr>
                <w:rFonts w:hint="default"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sz w:val="18"/>
                <w:szCs w:val="18"/>
                <w:vertAlign w:val="baseline"/>
                <w:lang w:val="en-US" w:eastAsia="zh-CN"/>
              </w:rPr>
              <w:t>公积金部门</w:t>
            </w:r>
          </w:p>
        </w:tc>
        <w:tc>
          <w:tcPr>
            <w:tcW w:w="9457" w:type="dxa"/>
            <w:shd w:val="clear" w:color="auto" w:fill="auto"/>
            <w:vAlign w:val="top"/>
          </w:tcPr>
          <w:p w14:paraId="61485B87">
            <w:pPr>
              <w:jc w:val="left"/>
              <w:rPr>
                <w:rFonts w:hint="eastAsia" w:asciiTheme="majorEastAsia" w:hAnsiTheme="majorEastAsia" w:eastAsiaTheme="majorEastAsia" w:cstheme="majorEastAsia"/>
                <w:kern w:val="2"/>
                <w:sz w:val="18"/>
                <w:szCs w:val="18"/>
                <w:vertAlign w:val="baseline"/>
                <w:lang w:val="en-US" w:eastAsia="zh-CN" w:bidi="ar-SA"/>
              </w:rPr>
            </w:pPr>
            <w:r>
              <w:rPr>
                <w:rFonts w:hint="eastAsia" w:asciiTheme="majorEastAsia" w:hAnsiTheme="majorEastAsia" w:eastAsiaTheme="majorEastAsia" w:cstheme="majorEastAsia"/>
                <w:kern w:val="2"/>
                <w:sz w:val="18"/>
                <w:szCs w:val="18"/>
                <w:vertAlign w:val="baseline"/>
                <w:lang w:val="en-US" w:eastAsia="zh-CN" w:bidi="ar-SA"/>
              </w:rPr>
              <w:t>职工申请提取本人住房公积金账户内存储余额时提取资料中的房屋不动产权证书,查验核实的房屋不动产权证电子证照具有同等效用。</w:t>
            </w:r>
          </w:p>
        </w:tc>
      </w:tr>
      <w:tr w14:paraId="6772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13" w:type="dxa"/>
            <w:vAlign w:val="center"/>
          </w:tcPr>
          <w:p w14:paraId="434F06DC">
            <w:pPr>
              <w:jc w:val="center"/>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8</w:t>
            </w:r>
          </w:p>
        </w:tc>
        <w:tc>
          <w:tcPr>
            <w:tcW w:w="1737" w:type="dxa"/>
            <w:vAlign w:val="center"/>
          </w:tcPr>
          <w:p w14:paraId="2B54C22B">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自来水报装</w:t>
            </w:r>
          </w:p>
        </w:tc>
        <w:tc>
          <w:tcPr>
            <w:tcW w:w="1569" w:type="dxa"/>
            <w:vAlign w:val="center"/>
          </w:tcPr>
          <w:p w14:paraId="4FEF85BC">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自来水公司</w:t>
            </w:r>
          </w:p>
        </w:tc>
        <w:tc>
          <w:tcPr>
            <w:tcW w:w="9457" w:type="dxa"/>
          </w:tcPr>
          <w:p w14:paraId="7BF96D80">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通过数据共享，市民在办理自来水报装相关业务时，个人可免带不动产证书。</w:t>
            </w:r>
          </w:p>
        </w:tc>
      </w:tr>
      <w:tr w14:paraId="39CC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13" w:type="dxa"/>
            <w:vAlign w:val="center"/>
          </w:tcPr>
          <w:p w14:paraId="6BF208DB">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9</w:t>
            </w:r>
          </w:p>
        </w:tc>
        <w:tc>
          <w:tcPr>
            <w:tcW w:w="1737" w:type="dxa"/>
            <w:vAlign w:val="center"/>
          </w:tcPr>
          <w:p w14:paraId="722DCC00">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天然气报装</w:t>
            </w:r>
          </w:p>
        </w:tc>
        <w:tc>
          <w:tcPr>
            <w:tcW w:w="1569" w:type="dxa"/>
            <w:vAlign w:val="center"/>
          </w:tcPr>
          <w:p w14:paraId="788CD25B">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天然气公司</w:t>
            </w:r>
          </w:p>
        </w:tc>
        <w:tc>
          <w:tcPr>
            <w:tcW w:w="9457" w:type="dxa"/>
          </w:tcPr>
          <w:p w14:paraId="34B1E35E">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通过数据共享，市民在办理燃气报装相关业务时，个人可免带不动产证书。</w:t>
            </w:r>
          </w:p>
        </w:tc>
      </w:tr>
      <w:tr w14:paraId="5242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3" w:type="dxa"/>
            <w:vAlign w:val="center"/>
          </w:tcPr>
          <w:p w14:paraId="4E98E19E">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10</w:t>
            </w:r>
          </w:p>
        </w:tc>
        <w:tc>
          <w:tcPr>
            <w:tcW w:w="1737" w:type="dxa"/>
            <w:vAlign w:val="center"/>
          </w:tcPr>
          <w:p w14:paraId="670E9F82">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用电报装</w:t>
            </w:r>
          </w:p>
        </w:tc>
        <w:tc>
          <w:tcPr>
            <w:tcW w:w="1569" w:type="dxa"/>
            <w:vAlign w:val="center"/>
          </w:tcPr>
          <w:p w14:paraId="796FB296">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国家电网</w:t>
            </w:r>
          </w:p>
        </w:tc>
        <w:tc>
          <w:tcPr>
            <w:tcW w:w="9457" w:type="dxa"/>
          </w:tcPr>
          <w:p w14:paraId="0AA44A70">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通过数据共享，市民在办理用电相关业务时，个人可免带不动产证书。</w:t>
            </w:r>
          </w:p>
        </w:tc>
      </w:tr>
      <w:tr w14:paraId="1507F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713" w:type="dxa"/>
            <w:vAlign w:val="center"/>
          </w:tcPr>
          <w:p w14:paraId="67105736">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11</w:t>
            </w:r>
          </w:p>
        </w:tc>
        <w:tc>
          <w:tcPr>
            <w:tcW w:w="1737" w:type="dxa"/>
            <w:vAlign w:val="center"/>
          </w:tcPr>
          <w:p w14:paraId="7E645F58">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有限电视报装</w:t>
            </w:r>
          </w:p>
        </w:tc>
        <w:tc>
          <w:tcPr>
            <w:tcW w:w="1569" w:type="dxa"/>
            <w:vAlign w:val="center"/>
          </w:tcPr>
          <w:p w14:paraId="38539C3E">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广电公司</w:t>
            </w:r>
          </w:p>
        </w:tc>
        <w:tc>
          <w:tcPr>
            <w:tcW w:w="9457" w:type="dxa"/>
          </w:tcPr>
          <w:p w14:paraId="03CC5A2F">
            <w:pPr>
              <w:jc w:val="left"/>
              <w:rPr>
                <w:rFonts w:hint="default" w:asciiTheme="minorHAnsi" w:hAnsiTheme="minorHAnsi" w:eastAsiaTheme="minorEastAsia" w:cstheme="minorBidi"/>
                <w:kern w:val="2"/>
                <w:sz w:val="21"/>
                <w:szCs w:val="24"/>
                <w:lang w:val="en-US" w:eastAsia="zh-CN" w:bidi="ar-SA"/>
              </w:rPr>
            </w:pPr>
            <w:r>
              <w:rPr>
                <w:rFonts w:hint="eastAsia" w:asciiTheme="majorEastAsia" w:hAnsiTheme="majorEastAsia" w:eastAsiaTheme="majorEastAsia" w:cstheme="majorEastAsia"/>
                <w:sz w:val="18"/>
                <w:szCs w:val="18"/>
                <w:vertAlign w:val="baseline"/>
                <w:lang w:val="en-US" w:eastAsia="zh-CN"/>
              </w:rPr>
              <w:t>通过数据共享，市民在办理有限电视相关业务时，个人可免带不动产证书。</w:t>
            </w:r>
          </w:p>
        </w:tc>
      </w:tr>
      <w:tr w14:paraId="7AAF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713" w:type="dxa"/>
            <w:vAlign w:val="center"/>
          </w:tcPr>
          <w:p w14:paraId="49B73372">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12</w:t>
            </w:r>
          </w:p>
        </w:tc>
        <w:tc>
          <w:tcPr>
            <w:tcW w:w="1737" w:type="dxa"/>
            <w:vAlign w:val="center"/>
          </w:tcPr>
          <w:p w14:paraId="668EFD5E">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供暖报装</w:t>
            </w:r>
          </w:p>
        </w:tc>
        <w:tc>
          <w:tcPr>
            <w:tcW w:w="1569" w:type="dxa"/>
            <w:vAlign w:val="center"/>
          </w:tcPr>
          <w:p w14:paraId="0422674C">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京热公司</w:t>
            </w:r>
          </w:p>
        </w:tc>
        <w:tc>
          <w:tcPr>
            <w:tcW w:w="9457" w:type="dxa"/>
          </w:tcPr>
          <w:p w14:paraId="27715B67">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通过数据共享，市民在办理供暖相关业务时，个人可免带不动产证书。</w:t>
            </w:r>
          </w:p>
        </w:tc>
      </w:tr>
      <w:tr w14:paraId="0D681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3" w:type="dxa"/>
            <w:vAlign w:val="center"/>
          </w:tcPr>
          <w:p w14:paraId="18E77F27">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13</w:t>
            </w:r>
          </w:p>
        </w:tc>
        <w:tc>
          <w:tcPr>
            <w:tcW w:w="1737" w:type="dxa"/>
            <w:vAlign w:val="center"/>
          </w:tcPr>
          <w:p w14:paraId="17714287">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网络报装</w:t>
            </w:r>
          </w:p>
        </w:tc>
        <w:tc>
          <w:tcPr>
            <w:tcW w:w="1569" w:type="dxa"/>
            <w:vAlign w:val="center"/>
          </w:tcPr>
          <w:p w14:paraId="3ED219B7">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通讯公司</w:t>
            </w:r>
          </w:p>
        </w:tc>
        <w:tc>
          <w:tcPr>
            <w:tcW w:w="9457" w:type="dxa"/>
          </w:tcPr>
          <w:p w14:paraId="687C5FDC">
            <w:pPr>
              <w:jc w:val="left"/>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通过与移动、电信、联通公司部门实现数据共享，市民办理网络报装业务时，个人可免带不动产证书。</w:t>
            </w:r>
          </w:p>
        </w:tc>
      </w:tr>
      <w:tr w14:paraId="44B87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3" w:type="dxa"/>
            <w:vAlign w:val="center"/>
          </w:tcPr>
          <w:p w14:paraId="41367371">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14</w:t>
            </w:r>
          </w:p>
        </w:tc>
        <w:tc>
          <w:tcPr>
            <w:tcW w:w="1737" w:type="dxa"/>
            <w:vAlign w:val="center"/>
          </w:tcPr>
          <w:p w14:paraId="3804A22E">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经营主体注册登记</w:t>
            </w:r>
          </w:p>
        </w:tc>
        <w:tc>
          <w:tcPr>
            <w:tcW w:w="1569" w:type="dxa"/>
            <w:vAlign w:val="center"/>
          </w:tcPr>
          <w:p w14:paraId="2FD5293C">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市场监管部门</w:t>
            </w:r>
          </w:p>
        </w:tc>
        <w:tc>
          <w:tcPr>
            <w:tcW w:w="9457" w:type="dxa"/>
          </w:tcPr>
          <w:p w14:paraId="51420A27">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通过数据共享，市民在办理经营主体注册登记相关业务时，个人可免带不动产证书。</w:t>
            </w:r>
          </w:p>
        </w:tc>
      </w:tr>
      <w:tr w14:paraId="6F42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13" w:type="dxa"/>
            <w:vAlign w:val="center"/>
          </w:tcPr>
          <w:p w14:paraId="5D0F8246">
            <w:pPr>
              <w:jc w:val="center"/>
              <w:rPr>
                <w:rFonts w:hint="default"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15</w:t>
            </w:r>
          </w:p>
        </w:tc>
        <w:tc>
          <w:tcPr>
            <w:tcW w:w="1737" w:type="dxa"/>
            <w:vAlign w:val="center"/>
          </w:tcPr>
          <w:p w14:paraId="75539718">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财产公证</w:t>
            </w:r>
          </w:p>
        </w:tc>
        <w:tc>
          <w:tcPr>
            <w:tcW w:w="1569" w:type="dxa"/>
            <w:vAlign w:val="center"/>
          </w:tcPr>
          <w:p w14:paraId="68B5C170">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公证处</w:t>
            </w:r>
          </w:p>
        </w:tc>
        <w:tc>
          <w:tcPr>
            <w:tcW w:w="9457" w:type="dxa"/>
          </w:tcPr>
          <w:p w14:paraId="172D3228">
            <w:pPr>
              <w:jc w:val="left"/>
              <w:rPr>
                <w:rFonts w:hint="eastAsia" w:asciiTheme="majorEastAsia" w:hAnsiTheme="majorEastAsia" w:eastAsiaTheme="majorEastAsia" w:cstheme="majorEastAsia"/>
                <w:sz w:val="18"/>
                <w:szCs w:val="18"/>
                <w:vertAlign w:val="baseline"/>
                <w:lang w:val="en-US" w:eastAsia="zh-CN"/>
              </w:rPr>
            </w:pPr>
            <w:r>
              <w:rPr>
                <w:rFonts w:hint="eastAsia" w:asciiTheme="majorEastAsia" w:hAnsiTheme="majorEastAsia" w:eastAsiaTheme="majorEastAsia" w:cstheme="majorEastAsia"/>
                <w:sz w:val="18"/>
                <w:szCs w:val="18"/>
                <w:vertAlign w:val="baseline"/>
                <w:lang w:val="en-US" w:eastAsia="zh-CN"/>
              </w:rPr>
              <w:t>通过数据共享提取或本人提</w:t>
            </w:r>
            <w:bookmarkStart w:id="0" w:name="_GoBack"/>
            <w:bookmarkEnd w:id="0"/>
            <w:r>
              <w:rPr>
                <w:rFonts w:hint="eastAsia" w:asciiTheme="majorEastAsia" w:hAnsiTheme="majorEastAsia" w:eastAsiaTheme="majorEastAsia" w:cstheme="majorEastAsia"/>
                <w:sz w:val="18"/>
                <w:szCs w:val="18"/>
                <w:vertAlign w:val="baseline"/>
                <w:lang w:val="en-US" w:eastAsia="zh-CN"/>
              </w:rPr>
              <w:t>交电子证照，市民在办理公证相关业务时，个人可免带不动产证书。</w:t>
            </w:r>
          </w:p>
        </w:tc>
      </w:tr>
    </w:tbl>
    <w:p w14:paraId="20580B0F">
      <w:pPr>
        <w:jc w:val="both"/>
        <w:rPr>
          <w:rFonts w:hint="eastAsia" w:asciiTheme="majorEastAsia" w:hAnsiTheme="majorEastAsia" w:eastAsiaTheme="majorEastAsia" w:cstheme="majorEastAsia"/>
          <w:sz w:val="21"/>
          <w:szCs w:val="21"/>
          <w:lang w:val="en-US" w:eastAsia="zh-CN"/>
        </w:rPr>
      </w:pPr>
    </w:p>
    <w:sectPr>
      <w:pgSz w:w="16838" w:h="11906" w:orient="landscape"/>
      <w:pgMar w:top="1406" w:right="1440" w:bottom="151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NzczM2QyYmQzZTU1OGIzYjk5NGQ2NDY4ZTlmMWEifQ=="/>
  </w:docVars>
  <w:rsids>
    <w:rsidRoot w:val="00000000"/>
    <w:rsid w:val="00872A0B"/>
    <w:rsid w:val="013A0DB1"/>
    <w:rsid w:val="02A1522A"/>
    <w:rsid w:val="03541F52"/>
    <w:rsid w:val="03F615E2"/>
    <w:rsid w:val="04A06E22"/>
    <w:rsid w:val="04D07E2C"/>
    <w:rsid w:val="04EC797F"/>
    <w:rsid w:val="07FD5E03"/>
    <w:rsid w:val="081B7297"/>
    <w:rsid w:val="09096A5A"/>
    <w:rsid w:val="098B21E0"/>
    <w:rsid w:val="0995308A"/>
    <w:rsid w:val="0A0567F9"/>
    <w:rsid w:val="0A427110"/>
    <w:rsid w:val="0B4002FA"/>
    <w:rsid w:val="0B6C7A28"/>
    <w:rsid w:val="0C2646C4"/>
    <w:rsid w:val="0D0D3C5D"/>
    <w:rsid w:val="0DF511A7"/>
    <w:rsid w:val="0E896B75"/>
    <w:rsid w:val="0EEE15CF"/>
    <w:rsid w:val="0F2B6888"/>
    <w:rsid w:val="10747B27"/>
    <w:rsid w:val="12B76718"/>
    <w:rsid w:val="138B4FC9"/>
    <w:rsid w:val="138C7166"/>
    <w:rsid w:val="13AE0697"/>
    <w:rsid w:val="15F52869"/>
    <w:rsid w:val="162F7D8D"/>
    <w:rsid w:val="165C56AB"/>
    <w:rsid w:val="16CB1F9C"/>
    <w:rsid w:val="177B159F"/>
    <w:rsid w:val="18083CAD"/>
    <w:rsid w:val="180E53A4"/>
    <w:rsid w:val="181E7F01"/>
    <w:rsid w:val="1A2E2CC5"/>
    <w:rsid w:val="1A9C424D"/>
    <w:rsid w:val="1AD95EAD"/>
    <w:rsid w:val="1B356450"/>
    <w:rsid w:val="1D311EC1"/>
    <w:rsid w:val="1D920BFF"/>
    <w:rsid w:val="1DBE44DB"/>
    <w:rsid w:val="1E2465BE"/>
    <w:rsid w:val="206425C2"/>
    <w:rsid w:val="210E6C71"/>
    <w:rsid w:val="21E30C71"/>
    <w:rsid w:val="22BB0D84"/>
    <w:rsid w:val="231B417D"/>
    <w:rsid w:val="23920C75"/>
    <w:rsid w:val="24717C3A"/>
    <w:rsid w:val="25061090"/>
    <w:rsid w:val="27962CBB"/>
    <w:rsid w:val="28894FF8"/>
    <w:rsid w:val="291D0C4F"/>
    <w:rsid w:val="292E33A7"/>
    <w:rsid w:val="293646EB"/>
    <w:rsid w:val="2A1262DA"/>
    <w:rsid w:val="2A3219B0"/>
    <w:rsid w:val="2A5C1303"/>
    <w:rsid w:val="2B455D08"/>
    <w:rsid w:val="2B8554F9"/>
    <w:rsid w:val="2B8A75DF"/>
    <w:rsid w:val="2D9622B6"/>
    <w:rsid w:val="2EBC4A66"/>
    <w:rsid w:val="2F0F103A"/>
    <w:rsid w:val="304869A0"/>
    <w:rsid w:val="31533184"/>
    <w:rsid w:val="325B5CFE"/>
    <w:rsid w:val="33A02192"/>
    <w:rsid w:val="37533157"/>
    <w:rsid w:val="38E86458"/>
    <w:rsid w:val="3968653F"/>
    <w:rsid w:val="39B15EFE"/>
    <w:rsid w:val="3A6B10EF"/>
    <w:rsid w:val="3A993035"/>
    <w:rsid w:val="3C03014C"/>
    <w:rsid w:val="3C6B187A"/>
    <w:rsid w:val="3F772EB6"/>
    <w:rsid w:val="40297018"/>
    <w:rsid w:val="403A5950"/>
    <w:rsid w:val="41662976"/>
    <w:rsid w:val="42F86EFF"/>
    <w:rsid w:val="438206FB"/>
    <w:rsid w:val="43983B17"/>
    <w:rsid w:val="441D78FE"/>
    <w:rsid w:val="454704C0"/>
    <w:rsid w:val="467A66C3"/>
    <w:rsid w:val="478741E3"/>
    <w:rsid w:val="481370A7"/>
    <w:rsid w:val="49E14471"/>
    <w:rsid w:val="4C7042D7"/>
    <w:rsid w:val="4CF75106"/>
    <w:rsid w:val="4D503938"/>
    <w:rsid w:val="50F70D9C"/>
    <w:rsid w:val="516A518B"/>
    <w:rsid w:val="51905AE0"/>
    <w:rsid w:val="521173A7"/>
    <w:rsid w:val="521340EE"/>
    <w:rsid w:val="527139A1"/>
    <w:rsid w:val="532625E1"/>
    <w:rsid w:val="53B52E59"/>
    <w:rsid w:val="54030C73"/>
    <w:rsid w:val="54964C34"/>
    <w:rsid w:val="55993FB9"/>
    <w:rsid w:val="581311FE"/>
    <w:rsid w:val="59C108F0"/>
    <w:rsid w:val="59E307C7"/>
    <w:rsid w:val="5AE3522E"/>
    <w:rsid w:val="5C326BD5"/>
    <w:rsid w:val="5C346395"/>
    <w:rsid w:val="5C831B90"/>
    <w:rsid w:val="5EB273E9"/>
    <w:rsid w:val="5FB012FB"/>
    <w:rsid w:val="5FB73766"/>
    <w:rsid w:val="60905621"/>
    <w:rsid w:val="60B618AB"/>
    <w:rsid w:val="61576B83"/>
    <w:rsid w:val="61BD6D08"/>
    <w:rsid w:val="63BD18E0"/>
    <w:rsid w:val="64356B8E"/>
    <w:rsid w:val="64D37E39"/>
    <w:rsid w:val="64FD4EB5"/>
    <w:rsid w:val="65F22A75"/>
    <w:rsid w:val="68B56459"/>
    <w:rsid w:val="68BB5E0A"/>
    <w:rsid w:val="693B715C"/>
    <w:rsid w:val="6A44338D"/>
    <w:rsid w:val="6C086222"/>
    <w:rsid w:val="6C570C9F"/>
    <w:rsid w:val="6C906743"/>
    <w:rsid w:val="6F415050"/>
    <w:rsid w:val="6FC22D92"/>
    <w:rsid w:val="707F70C6"/>
    <w:rsid w:val="72E63A18"/>
    <w:rsid w:val="73C83742"/>
    <w:rsid w:val="74192952"/>
    <w:rsid w:val="75AA24FD"/>
    <w:rsid w:val="76C70E7F"/>
    <w:rsid w:val="76E6699B"/>
    <w:rsid w:val="76FA5F72"/>
    <w:rsid w:val="7770454E"/>
    <w:rsid w:val="786E7F1C"/>
    <w:rsid w:val="78A17DFE"/>
    <w:rsid w:val="799814D3"/>
    <w:rsid w:val="7BB65F31"/>
    <w:rsid w:val="7C8021FC"/>
    <w:rsid w:val="7CD33333"/>
    <w:rsid w:val="7CEB01B5"/>
    <w:rsid w:val="7D735461"/>
    <w:rsid w:val="7E476B1A"/>
    <w:rsid w:val="7E4F2CF3"/>
    <w:rsid w:val="7FDF723A"/>
    <w:rsid w:val="7FF47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779</Words>
  <Characters>785</Characters>
  <Lines>0</Lines>
  <Paragraphs>0</Paragraphs>
  <TotalTime>0</TotalTime>
  <ScaleCrop>false</ScaleCrop>
  <LinksUpToDate>false</LinksUpToDate>
  <CharactersWithSpaces>785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2024-10-24T08:32:00Z</dcterms:created>
  <dc:creator>Administrator</dc:creator>
  <cp:lastModifiedBy>周洁</cp:lastModifiedBy>
  <cp:lastPrinted>2024-10-24T09:35:00Z</cp:lastPrinted>
  <dcterms:modified xsi:type="dcterms:W3CDTF">2025-01-17T08:10:41Z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A6C414657CD749909CA1CD9D6691C958_12</vt:lpwstr>
  </property>
  <property fmtid="{D5CDD505-2E9C-101B-9397-08002B2CF9AE}" pid="4" name="KSOTemplateDocerSaveRecord">
    <vt:lpwstr>eyJoZGlkIjoiYzI5NWExZjVjNTEzNWJjZjNjMWQ5NTQwZjliOWQwMDYifQ==</vt:lpwstr>
  </property>
</Properties>
</file>