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潜江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市龙湾镇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2021年预算草案的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w w:val="90"/>
          <w:kern w:val="10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0"/>
          <w:kern w:val="10"/>
          <w:sz w:val="44"/>
          <w:szCs w:val="44"/>
          <w:u w:val="none" w:color="auto"/>
          <w:lang w:bidi="ar"/>
        </w:rPr>
        <w:t>报    告</w:t>
      </w:r>
      <w:bookmarkStart w:id="0" w:name="_GoBack"/>
      <w:bookmarkEnd w:id="0"/>
    </w:p>
    <w:p>
      <w:pPr>
        <w:spacing w:line="580" w:lineRule="exact"/>
        <w:jc w:val="center"/>
        <w:rPr>
          <w:rFonts w:eastAsia="楷体"/>
          <w:sz w:val="32"/>
          <w:szCs w:val="32"/>
          <w:u w:val="none" w:color="auto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bidi="ar"/>
        </w:rPr>
        <w:t>各位代表：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  <w:lang w:bidi="ar"/>
        </w:rPr>
        <w:t>受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 w:bidi="ar"/>
        </w:rPr>
        <w:t>镇</w:t>
      </w:r>
      <w:r>
        <w:rPr>
          <w:rFonts w:hint="eastAsia" w:ascii="仿宋_GB2312" w:eastAsia="仿宋_GB2312"/>
          <w:sz w:val="32"/>
          <w:szCs w:val="32"/>
          <w:u w:val="none" w:color="auto"/>
          <w:lang w:bidi="ar"/>
        </w:rPr>
        <w:t>人民政府委托，现将2021年预算草案提请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 w:bidi="ar"/>
        </w:rPr>
        <w:t>镇人大</w:t>
      </w:r>
      <w:r>
        <w:rPr>
          <w:rFonts w:hint="eastAsia" w:ascii="仿宋_GB2312" w:eastAsia="仿宋_GB2312"/>
          <w:sz w:val="32"/>
          <w:szCs w:val="32"/>
          <w:u w:val="none" w:color="auto"/>
          <w:lang w:bidi="ar"/>
        </w:rPr>
        <w:t>审议，并请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 w:bidi="ar"/>
        </w:rPr>
        <w:t>镇</w:t>
      </w:r>
      <w:r>
        <w:rPr>
          <w:rFonts w:hint="eastAsia" w:ascii="仿宋_GB2312" w:eastAsia="仿宋_GB2312"/>
          <w:sz w:val="32"/>
          <w:szCs w:val="32"/>
          <w:u w:val="none" w:color="auto"/>
          <w:lang w:bidi="ar"/>
        </w:rPr>
        <w:t>政协各位委员提出意见。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仿宋_GB2312" w:hAnsi="宋体" w:eastAsia="仿宋_GB2312"/>
          <w:bCs/>
          <w:sz w:val="32"/>
          <w:szCs w:val="32"/>
          <w:u w:val="none" w:color="auto"/>
        </w:rPr>
        <w:t>2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021年是实现第二个百年奋斗目标、全面开启社会主义现代化国家新征程、“十四五”规划实施的开局之年，更是我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经济社会高质量发展的关键之年,做好预算编制和财政工作意义重大。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  <w:u w:val="none" w:color="auto"/>
        </w:rPr>
      </w:pPr>
      <w:r>
        <w:rPr>
          <w:rFonts w:hint="eastAsia" w:ascii="楷体_GB2312" w:eastAsia="楷体_GB2312"/>
          <w:b/>
          <w:sz w:val="32"/>
          <w:szCs w:val="32"/>
          <w:u w:val="none" w:color="auto"/>
          <w:lang w:eastAsia="zh-CN"/>
        </w:rPr>
        <w:t>一、</w:t>
      </w:r>
      <w:r>
        <w:rPr>
          <w:rFonts w:hint="eastAsia" w:ascii="楷体_GB2312" w:eastAsia="楷体_GB2312"/>
          <w:b/>
          <w:sz w:val="32"/>
          <w:szCs w:val="32"/>
          <w:u w:val="none" w:color="auto"/>
        </w:rPr>
        <w:t>指导思想和基本原则。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Cs/>
          <w:sz w:val="32"/>
          <w:szCs w:val="32"/>
          <w:u w:val="none" w:color="auto"/>
        </w:rPr>
      </w:pPr>
      <w:r>
        <w:rPr>
          <w:rFonts w:hint="eastAsia" w:ascii="仿宋_GB2312" w:eastAsia="仿宋_GB2312"/>
          <w:b/>
          <w:sz w:val="32"/>
          <w:szCs w:val="32"/>
          <w:u w:val="none" w:color="auto"/>
        </w:rPr>
        <w:t>2021年全</w:t>
      </w:r>
      <w:r>
        <w:rPr>
          <w:rFonts w:hint="eastAsia" w:ascii="仿宋_GB2312" w:eastAsia="仿宋_GB2312"/>
          <w:b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eastAsia="仿宋_GB2312"/>
          <w:b/>
          <w:sz w:val="32"/>
          <w:szCs w:val="32"/>
          <w:u w:val="none" w:color="auto"/>
        </w:rPr>
        <w:t>预算编制和财政工作指导思想：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</w:rPr>
        <w:t>坚持以习近平新时代中国特色社会主义思想为指导，坚持稳中求进工作总基调，立足新发展阶段，贯彻新发展理念，构建新发展格局，以推动高质量发展为主题，以深化供给侧结构性改革为主线，以改革创新为根本动力，以满足人民日益增长的美好生活需要为根本目的，</w:t>
      </w:r>
      <w:r>
        <w:rPr>
          <w:rFonts w:ascii="仿宋_GB2312" w:hAnsi="宋体" w:eastAsia="仿宋_GB2312"/>
          <w:bCs/>
          <w:sz w:val="32"/>
          <w:szCs w:val="32"/>
          <w:u w:val="none" w:color="auto"/>
        </w:rPr>
        <w:t>巩固拓展疫情防控和经济社会发展成果，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</w:rPr>
        <w:t>紧紧围绕“六稳六保”工作任务和全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</w:rPr>
        <w:t>经济社会发展目标，精准实施积极财政政策，牢固树立过紧日子的思想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  <w:u w:val="none" w:color="auto"/>
        </w:rPr>
        <w:t>不断提高财政实力，，以优异成绩庆祝建党100周年。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  <w:u w:val="none" w:color="auto"/>
        </w:rPr>
        <w:t>2021年预算编制原则：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一是认真落实《预算法》及相关政策的规定。确保预算编制的合规性；收入预算坚持实事求是、科学预测，与经济社会发展新情况相适应，与财政政策相衔接，充分考虑落实减费降税等因素影响。二是切实保障重点支出。更加积极有为地实施积极的财政政策，进一步提高支出政策和项目资金的指向性、精准性、有效性。坚决兜牢“三保”底线的同时，聚焦重大项目建设，精准保障，推动疫后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全镇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经济社会重振。三是进一步压减一般性支出。严格支出管理，将过“紧日子”作为长期坚持的基本方针，进一步压减部门一般性支出和非刚性、非重点项目支出，取消无效支出。继续强化“三公”经费管理，从严从紧核定“三公”经费预算；巩固公务用车制度改革成果，加强保留车辆使用权，严格控制车辆报废更新，切实降低公务用车运行成本。四是严格预算刚性约束，加强预算管理。推进财政资金整合和统筹使用，盘活存量资金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不断提升财政资金使用绩效。</w:t>
      </w:r>
    </w:p>
    <w:p>
      <w:pPr>
        <w:spacing w:line="580" w:lineRule="exact"/>
        <w:rPr>
          <w:rFonts w:ascii="楷体_GB2312" w:eastAsia="楷体_GB2312"/>
          <w:b/>
          <w:sz w:val="32"/>
          <w:szCs w:val="32"/>
          <w:u w:val="none" w:color="auto"/>
        </w:rPr>
      </w:pPr>
      <w:r>
        <w:rPr>
          <w:rFonts w:eastAsia="楷体"/>
          <w:b/>
          <w:sz w:val="32"/>
          <w:szCs w:val="32"/>
          <w:u w:val="none" w:color="auto"/>
        </w:rPr>
        <w:t xml:space="preserve">  </w:t>
      </w:r>
      <w:r>
        <w:rPr>
          <w:rFonts w:eastAsia="楷体"/>
          <w:b/>
          <w:color w:val="FF0000"/>
          <w:sz w:val="32"/>
          <w:szCs w:val="32"/>
          <w:u w:val="none" w:color="auto"/>
        </w:rPr>
        <w:t xml:space="preserve">  </w:t>
      </w:r>
      <w:r>
        <w:rPr>
          <w:rFonts w:hint="eastAsia" w:ascii="楷体_GB2312" w:eastAsia="楷体_GB2312"/>
          <w:sz w:val="32"/>
          <w:szCs w:val="32"/>
          <w:u w:val="none" w:color="auto"/>
          <w:lang w:eastAsia="zh-CN"/>
        </w:rPr>
        <w:t>二、</w:t>
      </w:r>
      <w:r>
        <w:rPr>
          <w:rFonts w:hint="eastAsia" w:ascii="楷体_GB2312" w:eastAsia="楷体_GB2312"/>
          <w:b/>
          <w:sz w:val="32"/>
          <w:szCs w:val="32"/>
          <w:u w:val="none" w:color="auto"/>
        </w:rPr>
        <w:t>预算编制情况。</w:t>
      </w:r>
    </w:p>
    <w:p>
      <w:pPr>
        <w:spacing w:line="580" w:lineRule="exact"/>
        <w:ind w:firstLine="643" w:firstLineChars="200"/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  <w:t>1.收</w:t>
      </w:r>
      <w:r>
        <w:rPr>
          <w:rFonts w:ascii="仿宋_GB2312" w:hAnsi="仿宋" w:eastAsia="仿宋_GB2312" w:cs="仿宋"/>
          <w:b/>
          <w:sz w:val="32"/>
          <w:szCs w:val="32"/>
          <w:u w:val="none" w:color="auto"/>
        </w:rPr>
        <w:t>入情况</w:t>
      </w:r>
      <w:r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2021年一般公共预算财政拨款收入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940.7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万元，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同比上年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866.75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万元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长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8.53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%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。具体情况为：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一般公共服务支出790.01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万元；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社会保障和就业支出74.54万元；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卫生健康支出27.84万元；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住房保障支出48.31万元。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  <w:t>2.支出</w:t>
      </w:r>
      <w:r>
        <w:rPr>
          <w:rFonts w:ascii="仿宋_GB2312" w:hAnsi="仿宋" w:eastAsia="仿宋_GB2312" w:cs="仿宋"/>
          <w:b/>
          <w:sz w:val="32"/>
          <w:szCs w:val="32"/>
          <w:u w:val="none" w:color="auto"/>
        </w:rPr>
        <w:t>情况</w:t>
      </w:r>
      <w:r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2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021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年预算支出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940.7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万元，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同比上年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866.75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万元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长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val="en-US" w:eastAsia="zh-CN"/>
        </w:rPr>
        <w:t>8.53</w:t>
      </w:r>
      <w:r>
        <w:rPr>
          <w:rFonts w:ascii="仿宋_GB2312" w:hAnsi="仿宋" w:eastAsia="仿宋_GB2312" w:cs="仿宋"/>
          <w:sz w:val="32"/>
          <w:szCs w:val="32"/>
          <w:u w:val="none" w:color="auto"/>
        </w:rPr>
        <w:t>%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。具体情况为：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行政运行（政协事务）123.82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一般行政管理事务81.65万元；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行政运行（政府办公厅（室）及相关机构事务）275.52万元；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行政运行（财政事务）268.83万元；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一般行政管理事务（财政事务）16.69万元；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其他财政事务支出23.5万元；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归口管理的行政单位离退休1.6万元；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机关事业单位基本养老保险缴费支出72.14万元；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事业单位离退休0.8万元；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事业单位医疗8.99万元；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行政单位医疗18.85万元；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  <w:lang w:eastAsia="zh-CN"/>
        </w:rPr>
        <w:t>住房公积金48.31万元。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none" w:color="auto"/>
        </w:rPr>
        <w:t>3.平衡情况</w:t>
      </w: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none" w:color="auto"/>
        </w:rPr>
      </w:pPr>
      <w:r>
        <w:rPr>
          <w:rFonts w:hint="eastAsia" w:ascii="仿宋_GB2312" w:hAnsi="仿宋" w:eastAsia="仿宋_GB2312" w:cs="仿宋"/>
          <w:sz w:val="32"/>
          <w:szCs w:val="32"/>
          <w:u w:val="none" w:color="auto"/>
        </w:rPr>
        <w:t>2021年公共财政预算收支相抵，当年平衡。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  <w:u w:val="none" w:color="auto"/>
        </w:rPr>
      </w:pPr>
      <w:r>
        <w:rPr>
          <w:rFonts w:ascii="黑体" w:hAnsi="黑体" w:eastAsia="黑体"/>
          <w:sz w:val="32"/>
          <w:szCs w:val="32"/>
          <w:u w:val="none" w:color="auto"/>
        </w:rPr>
        <w:t>三、努力完成</w:t>
      </w:r>
      <w:r>
        <w:rPr>
          <w:rFonts w:hint="eastAsia" w:ascii="黑体" w:hAnsi="黑体" w:eastAsia="黑体"/>
          <w:sz w:val="32"/>
          <w:szCs w:val="32"/>
          <w:u w:val="none" w:color="auto"/>
        </w:rPr>
        <w:t>2021年</w:t>
      </w:r>
      <w:r>
        <w:rPr>
          <w:rFonts w:ascii="黑体" w:hAnsi="黑体" w:eastAsia="黑体"/>
          <w:sz w:val="32"/>
          <w:szCs w:val="32"/>
          <w:u w:val="none" w:color="auto"/>
        </w:rPr>
        <w:t>财政预算的主要措施</w:t>
      </w:r>
    </w:p>
    <w:p>
      <w:pPr>
        <w:autoSpaceDN w:val="0"/>
        <w:spacing w:line="58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2021年，我们将进一步提高政治站位，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 w:color="auto"/>
        </w:rPr>
        <w:t>立足新发展阶段，贯彻新发展理念，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主动担当，善作善为，切实履行财政职责，加强财政管理，提升财政绩效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重点抓好以下工作：</w:t>
      </w:r>
    </w:p>
    <w:p>
      <w:pPr>
        <w:widowControl/>
        <w:numPr>
          <w:ilvl w:val="0"/>
          <w:numId w:val="3"/>
        </w:numPr>
        <w:shd w:val="clear" w:color="auto" w:fill="FFFFFF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none" w:color="auto"/>
        </w:rPr>
      </w:pPr>
      <w:r>
        <w:rPr>
          <w:rFonts w:hint="eastAsia" w:ascii="仿宋_GB2312" w:eastAsia="仿宋_GB2312"/>
          <w:sz w:val="32"/>
          <w:szCs w:val="32"/>
          <w:u w:val="none" w:color="auto"/>
        </w:rPr>
        <w:t>依法依规组织好财政收入，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积极协助</w:t>
      </w:r>
      <w:r>
        <w:rPr>
          <w:rFonts w:hint="eastAsia" w:ascii="仿宋_GB2312" w:eastAsia="仿宋_GB2312"/>
          <w:sz w:val="32"/>
          <w:szCs w:val="32"/>
          <w:u w:val="none" w:color="auto"/>
        </w:rPr>
        <w:t>壮大优质财源，力争2021年收入增幅和收入质量达到新的水平。</w:t>
      </w:r>
      <w:r>
        <w:rPr>
          <w:rFonts w:hint="eastAsia" w:ascii="仿宋_GB2312" w:eastAsia="仿宋_GB2312"/>
          <w:b/>
          <w:sz w:val="32"/>
          <w:szCs w:val="32"/>
          <w:u w:val="none" w:color="auto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u w:val="none" w:color="auto"/>
        </w:rPr>
        <w:t>进一步加大向上争取力度,增强我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eastAsia="仿宋_GB2312"/>
          <w:sz w:val="32"/>
          <w:szCs w:val="32"/>
          <w:u w:val="none" w:color="auto"/>
        </w:rPr>
        <w:t>可用财力，缓解收支平衡压力。</w:t>
      </w:r>
      <w:r>
        <w:rPr>
          <w:rFonts w:hint="eastAsia" w:ascii="仿宋_GB2312" w:eastAsia="仿宋_GB2312"/>
          <w:b/>
          <w:sz w:val="32"/>
          <w:szCs w:val="32"/>
          <w:u w:val="none" w:color="auto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u w:val="none" w:color="auto"/>
        </w:rPr>
        <w:t>坚持过“紧日子”的思想，落实“三保”支出责任，兜牢“三保”底线，加强项目支出管理，硬化预算约束，</w:t>
      </w:r>
      <w:r>
        <w:rPr>
          <w:rFonts w:hint="eastAsia" w:ascii="仿宋_GB2312" w:eastAsia="仿宋_GB2312"/>
          <w:sz w:val="32"/>
          <w:szCs w:val="32"/>
          <w:u w:val="none" w:color="auto"/>
          <w:lang w:eastAsia="zh-CN"/>
        </w:rPr>
        <w:t>做好资金监管台账</w:t>
      </w:r>
      <w:r>
        <w:rPr>
          <w:rFonts w:hint="eastAsia" w:ascii="仿宋_GB2312" w:eastAsia="仿宋_GB2312"/>
          <w:sz w:val="32"/>
          <w:szCs w:val="32"/>
          <w:u w:val="none" w:color="auto"/>
        </w:rPr>
        <w:t>。</w:t>
      </w:r>
      <w:r>
        <w:rPr>
          <w:rFonts w:hint="eastAsia" w:ascii="仿宋_GB2312" w:hAnsi="Times New Roman" w:eastAsia="仿宋_GB2312"/>
          <w:b/>
          <w:sz w:val="32"/>
          <w:szCs w:val="32"/>
          <w:u w:val="none" w:color="auto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  <w:u w:val="none" w:color="auto"/>
        </w:rPr>
        <w:t>切实盘活存量资金资产，加大资金统筹力度。积极消化存量资金，加大结转资金与年度预算、财政拨款及其他资金的统筹力</w:t>
      </w:r>
      <w:r>
        <w:rPr>
          <w:rFonts w:hint="eastAsia" w:ascii="仿宋_GB2312" w:hAnsi="Times New Roman" w:eastAsia="仿宋_GB2312"/>
          <w:sz w:val="32"/>
          <w:szCs w:val="32"/>
          <w:u w:val="none" w:color="auto"/>
        </w:rPr>
        <w:t>度。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u w:val="none" w:color="auto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</w:rPr>
        <w:t>进一步加强干部教育管理，着力打造风清气正廉洁财政。以全面从严为重点，以正风肃纪为关键，以履职担当为根本，以提质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增效为目标，全面提升干部能力、提升干部素养、提升职业精神，促进履职作为、清廉有为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以实际成效体现财政担当、实现财政作为。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各位代表，新的一年，我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发展面临的机遇与挑战并存，做好财政预算工作任务艰巨繁重。我们将坚持以习近平新时代中国特色社会主义思想为指导，</w:t>
      </w:r>
      <w:r>
        <w:rPr>
          <w:rFonts w:ascii="仿宋_GB2312" w:hAnsi="仿宋_GB2312" w:eastAsia="仿宋_GB2312" w:cs="仿宋_GB2312"/>
          <w:bCs/>
          <w:sz w:val="32"/>
          <w:szCs w:val="32"/>
          <w:u w:val="none" w:color="auto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委、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eastAsia="zh-CN"/>
        </w:rPr>
        <w:t>镇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政府的坚强领导下，自觉接受</w:t>
      </w:r>
      <w:r>
        <w:rPr>
          <w:rFonts w:ascii="仿宋_GB2312" w:hAnsi="仿宋_GB2312" w:eastAsia="仿宋_GB2312" w:cs="仿宋_GB2312"/>
          <w:bCs/>
          <w:sz w:val="32"/>
          <w:szCs w:val="32"/>
          <w:u w:val="none" w:color="auto"/>
        </w:rPr>
        <w:t>人大依法监督和政协民主监督，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攻坚克难，真抓实干，</w:t>
      </w:r>
      <w:r>
        <w:rPr>
          <w:rFonts w:ascii="仿宋_GB2312" w:hAnsi="仿宋_GB2312" w:eastAsia="仿宋_GB2312" w:cs="仿宋_GB2312"/>
          <w:bCs/>
          <w:sz w:val="32"/>
          <w:szCs w:val="32"/>
          <w:u w:val="none" w:color="auto"/>
        </w:rPr>
        <w:t>不断提高预算管理水平和财政治理能力，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  <w:lang w:eastAsia="zh-CN"/>
        </w:rPr>
        <w:t>龙湾经济社会高质量发展战略目标作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 w:color="auto"/>
        </w:rPr>
        <w:t>出新的更大贡献。</w:t>
      </w:r>
    </w:p>
    <w:sectPr>
      <w:footerReference r:id="rId3" w:type="default"/>
      <w:pgSz w:w="11906" w:h="16838"/>
      <w:pgMar w:top="1701" w:right="1644" w:bottom="1644" w:left="164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9kx90QAAAAMBAAAPAAAAAAAAAAEAIAAAACIAAABkcnMvZG93&#10;bnJldi54bWxQSwECFAAUAAAACACHTuJANVQE5QcCAAACBAAADgAAAAAAAAABACAAAAAg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E7B99E"/>
    <w:multiLevelType w:val="singleLevel"/>
    <w:tmpl w:val="FAE7B9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DF6BF0"/>
    <w:multiLevelType w:val="singleLevel"/>
    <w:tmpl w:val="28DF6BF0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301DA59D"/>
    <w:multiLevelType w:val="singleLevel"/>
    <w:tmpl w:val="301DA5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83A"/>
    <w:rsid w:val="00026021"/>
    <w:rsid w:val="000312A8"/>
    <w:rsid w:val="0005637A"/>
    <w:rsid w:val="00062641"/>
    <w:rsid w:val="00063F9E"/>
    <w:rsid w:val="000667CB"/>
    <w:rsid w:val="00071C8B"/>
    <w:rsid w:val="00080EA0"/>
    <w:rsid w:val="00081BFC"/>
    <w:rsid w:val="000841CB"/>
    <w:rsid w:val="000A6657"/>
    <w:rsid w:val="000B00CB"/>
    <w:rsid w:val="000B6638"/>
    <w:rsid w:val="000C6C29"/>
    <w:rsid w:val="000C70E1"/>
    <w:rsid w:val="000C7C30"/>
    <w:rsid w:val="000D2C58"/>
    <w:rsid w:val="000D65E5"/>
    <w:rsid w:val="000E4354"/>
    <w:rsid w:val="000E541F"/>
    <w:rsid w:val="00116B6F"/>
    <w:rsid w:val="001230F4"/>
    <w:rsid w:val="00172A27"/>
    <w:rsid w:val="001871EF"/>
    <w:rsid w:val="001A1C33"/>
    <w:rsid w:val="001B6401"/>
    <w:rsid w:val="001B75EC"/>
    <w:rsid w:val="001C6005"/>
    <w:rsid w:val="001F0477"/>
    <w:rsid w:val="00211948"/>
    <w:rsid w:val="002219D5"/>
    <w:rsid w:val="002427BD"/>
    <w:rsid w:val="002533AC"/>
    <w:rsid w:val="002613DA"/>
    <w:rsid w:val="00271FDE"/>
    <w:rsid w:val="002742E7"/>
    <w:rsid w:val="00280762"/>
    <w:rsid w:val="002842D4"/>
    <w:rsid w:val="002B5EB8"/>
    <w:rsid w:val="002B7AE0"/>
    <w:rsid w:val="002C48DB"/>
    <w:rsid w:val="002D257A"/>
    <w:rsid w:val="002F1A00"/>
    <w:rsid w:val="002F3EAF"/>
    <w:rsid w:val="002F6D5B"/>
    <w:rsid w:val="003014DC"/>
    <w:rsid w:val="00310427"/>
    <w:rsid w:val="00311601"/>
    <w:rsid w:val="00315DF6"/>
    <w:rsid w:val="00316531"/>
    <w:rsid w:val="00316ED2"/>
    <w:rsid w:val="003323AA"/>
    <w:rsid w:val="003410F5"/>
    <w:rsid w:val="0035285B"/>
    <w:rsid w:val="00370735"/>
    <w:rsid w:val="0037608B"/>
    <w:rsid w:val="00392A53"/>
    <w:rsid w:val="003A5B86"/>
    <w:rsid w:val="003B1431"/>
    <w:rsid w:val="003B2E48"/>
    <w:rsid w:val="003E195C"/>
    <w:rsid w:val="003E4593"/>
    <w:rsid w:val="003F3708"/>
    <w:rsid w:val="003F4EB5"/>
    <w:rsid w:val="003F514E"/>
    <w:rsid w:val="004026E3"/>
    <w:rsid w:val="00416E22"/>
    <w:rsid w:val="00430CC2"/>
    <w:rsid w:val="00432B00"/>
    <w:rsid w:val="00435782"/>
    <w:rsid w:val="004441F1"/>
    <w:rsid w:val="00473F9F"/>
    <w:rsid w:val="0047694B"/>
    <w:rsid w:val="0049170F"/>
    <w:rsid w:val="004978E1"/>
    <w:rsid w:val="004A266C"/>
    <w:rsid w:val="004B183E"/>
    <w:rsid w:val="004C0FCC"/>
    <w:rsid w:val="00506E7B"/>
    <w:rsid w:val="00543EA8"/>
    <w:rsid w:val="00546659"/>
    <w:rsid w:val="00556710"/>
    <w:rsid w:val="00576585"/>
    <w:rsid w:val="00594036"/>
    <w:rsid w:val="005B0A24"/>
    <w:rsid w:val="005B41F9"/>
    <w:rsid w:val="005B6041"/>
    <w:rsid w:val="005C467B"/>
    <w:rsid w:val="005C4A13"/>
    <w:rsid w:val="005E09E1"/>
    <w:rsid w:val="005E09FB"/>
    <w:rsid w:val="005E5D90"/>
    <w:rsid w:val="005F020C"/>
    <w:rsid w:val="0060710B"/>
    <w:rsid w:val="0061255B"/>
    <w:rsid w:val="00632843"/>
    <w:rsid w:val="00641C33"/>
    <w:rsid w:val="0064331C"/>
    <w:rsid w:val="00650321"/>
    <w:rsid w:val="006517EA"/>
    <w:rsid w:val="00673FC5"/>
    <w:rsid w:val="006755DE"/>
    <w:rsid w:val="0067729F"/>
    <w:rsid w:val="006A7E89"/>
    <w:rsid w:val="006C37A2"/>
    <w:rsid w:val="006D61D4"/>
    <w:rsid w:val="006F0FA2"/>
    <w:rsid w:val="006F2545"/>
    <w:rsid w:val="00723932"/>
    <w:rsid w:val="00733BCD"/>
    <w:rsid w:val="00744E3E"/>
    <w:rsid w:val="00754E54"/>
    <w:rsid w:val="007553F2"/>
    <w:rsid w:val="00756991"/>
    <w:rsid w:val="00773FFD"/>
    <w:rsid w:val="007741A6"/>
    <w:rsid w:val="00777B73"/>
    <w:rsid w:val="00777DA1"/>
    <w:rsid w:val="00782A89"/>
    <w:rsid w:val="0079205B"/>
    <w:rsid w:val="00792DBF"/>
    <w:rsid w:val="00795302"/>
    <w:rsid w:val="007A2998"/>
    <w:rsid w:val="007A76BD"/>
    <w:rsid w:val="007B0643"/>
    <w:rsid w:val="007C7D06"/>
    <w:rsid w:val="007E15ED"/>
    <w:rsid w:val="007F0EAC"/>
    <w:rsid w:val="007F3D67"/>
    <w:rsid w:val="0080675D"/>
    <w:rsid w:val="0082013B"/>
    <w:rsid w:val="00821966"/>
    <w:rsid w:val="00834316"/>
    <w:rsid w:val="00855FCD"/>
    <w:rsid w:val="00856F85"/>
    <w:rsid w:val="00877C25"/>
    <w:rsid w:val="00886986"/>
    <w:rsid w:val="00890ADC"/>
    <w:rsid w:val="00892F2E"/>
    <w:rsid w:val="0089411F"/>
    <w:rsid w:val="008B6FC9"/>
    <w:rsid w:val="008D6CFA"/>
    <w:rsid w:val="008E0808"/>
    <w:rsid w:val="008F5DA7"/>
    <w:rsid w:val="008F6B51"/>
    <w:rsid w:val="00901DCD"/>
    <w:rsid w:val="00906F93"/>
    <w:rsid w:val="00911D07"/>
    <w:rsid w:val="00924066"/>
    <w:rsid w:val="0094535B"/>
    <w:rsid w:val="00950672"/>
    <w:rsid w:val="0095757F"/>
    <w:rsid w:val="00977DB6"/>
    <w:rsid w:val="00992C5E"/>
    <w:rsid w:val="00993177"/>
    <w:rsid w:val="009C0745"/>
    <w:rsid w:val="009C37BD"/>
    <w:rsid w:val="009D6D80"/>
    <w:rsid w:val="009D73CE"/>
    <w:rsid w:val="009F0A85"/>
    <w:rsid w:val="009F7A1F"/>
    <w:rsid w:val="00A06738"/>
    <w:rsid w:val="00A143B0"/>
    <w:rsid w:val="00A35A19"/>
    <w:rsid w:val="00A35BE5"/>
    <w:rsid w:val="00A4050F"/>
    <w:rsid w:val="00A87BED"/>
    <w:rsid w:val="00A94AB7"/>
    <w:rsid w:val="00AA52B4"/>
    <w:rsid w:val="00AB0126"/>
    <w:rsid w:val="00AB1B38"/>
    <w:rsid w:val="00AC0B7E"/>
    <w:rsid w:val="00AC2413"/>
    <w:rsid w:val="00AD4FD0"/>
    <w:rsid w:val="00AE4F2B"/>
    <w:rsid w:val="00B069D5"/>
    <w:rsid w:val="00B117C9"/>
    <w:rsid w:val="00B20F81"/>
    <w:rsid w:val="00B30AE6"/>
    <w:rsid w:val="00B454D1"/>
    <w:rsid w:val="00B4575E"/>
    <w:rsid w:val="00B664C6"/>
    <w:rsid w:val="00B67402"/>
    <w:rsid w:val="00B7682B"/>
    <w:rsid w:val="00B858E8"/>
    <w:rsid w:val="00B90D40"/>
    <w:rsid w:val="00BA1102"/>
    <w:rsid w:val="00BA79E4"/>
    <w:rsid w:val="00BB7FB0"/>
    <w:rsid w:val="00BE0656"/>
    <w:rsid w:val="00BF25FA"/>
    <w:rsid w:val="00C10434"/>
    <w:rsid w:val="00C23C31"/>
    <w:rsid w:val="00C33AA5"/>
    <w:rsid w:val="00C3462D"/>
    <w:rsid w:val="00C6343F"/>
    <w:rsid w:val="00C66A5F"/>
    <w:rsid w:val="00C731B2"/>
    <w:rsid w:val="00C73DFD"/>
    <w:rsid w:val="00C778CB"/>
    <w:rsid w:val="00C87AAE"/>
    <w:rsid w:val="00C9282B"/>
    <w:rsid w:val="00CB6A99"/>
    <w:rsid w:val="00CB7AC4"/>
    <w:rsid w:val="00CE268A"/>
    <w:rsid w:val="00CF25EA"/>
    <w:rsid w:val="00CF5993"/>
    <w:rsid w:val="00D113B4"/>
    <w:rsid w:val="00D11486"/>
    <w:rsid w:val="00D210DA"/>
    <w:rsid w:val="00D24D24"/>
    <w:rsid w:val="00D2679A"/>
    <w:rsid w:val="00D42200"/>
    <w:rsid w:val="00D504CD"/>
    <w:rsid w:val="00D57B55"/>
    <w:rsid w:val="00D74741"/>
    <w:rsid w:val="00D76FB6"/>
    <w:rsid w:val="00D814FD"/>
    <w:rsid w:val="00D8280D"/>
    <w:rsid w:val="00D9458E"/>
    <w:rsid w:val="00D97284"/>
    <w:rsid w:val="00DA42EF"/>
    <w:rsid w:val="00DB4E73"/>
    <w:rsid w:val="00DB6731"/>
    <w:rsid w:val="00DC0285"/>
    <w:rsid w:val="00DD6065"/>
    <w:rsid w:val="00DD6AB1"/>
    <w:rsid w:val="00DE03B8"/>
    <w:rsid w:val="00DF2A35"/>
    <w:rsid w:val="00E050CA"/>
    <w:rsid w:val="00E2767F"/>
    <w:rsid w:val="00E27DB0"/>
    <w:rsid w:val="00E27F70"/>
    <w:rsid w:val="00E32927"/>
    <w:rsid w:val="00E33C72"/>
    <w:rsid w:val="00E40DEF"/>
    <w:rsid w:val="00E411B6"/>
    <w:rsid w:val="00E43062"/>
    <w:rsid w:val="00E46400"/>
    <w:rsid w:val="00E53E56"/>
    <w:rsid w:val="00E621AA"/>
    <w:rsid w:val="00E74E8E"/>
    <w:rsid w:val="00E96237"/>
    <w:rsid w:val="00ED1D53"/>
    <w:rsid w:val="00EE672D"/>
    <w:rsid w:val="00EF6616"/>
    <w:rsid w:val="00F032B8"/>
    <w:rsid w:val="00F0487A"/>
    <w:rsid w:val="00F329D2"/>
    <w:rsid w:val="00F374BA"/>
    <w:rsid w:val="00F40714"/>
    <w:rsid w:val="00F53BDE"/>
    <w:rsid w:val="00F63BB9"/>
    <w:rsid w:val="00F655D3"/>
    <w:rsid w:val="00F979F8"/>
    <w:rsid w:val="00FA1122"/>
    <w:rsid w:val="00FA3EC7"/>
    <w:rsid w:val="00FB6C12"/>
    <w:rsid w:val="00FC37FB"/>
    <w:rsid w:val="00FD1863"/>
    <w:rsid w:val="019D7232"/>
    <w:rsid w:val="02442E1E"/>
    <w:rsid w:val="02963C61"/>
    <w:rsid w:val="05400867"/>
    <w:rsid w:val="05FE354D"/>
    <w:rsid w:val="07DA2DE8"/>
    <w:rsid w:val="0AD27720"/>
    <w:rsid w:val="0B0D7E34"/>
    <w:rsid w:val="0CBD61A6"/>
    <w:rsid w:val="0DD1225F"/>
    <w:rsid w:val="0EB15E7F"/>
    <w:rsid w:val="12643E80"/>
    <w:rsid w:val="16CF1FCB"/>
    <w:rsid w:val="170451FB"/>
    <w:rsid w:val="1E683DD1"/>
    <w:rsid w:val="1F4F7840"/>
    <w:rsid w:val="1F7473D6"/>
    <w:rsid w:val="210A6EFF"/>
    <w:rsid w:val="23BD53F7"/>
    <w:rsid w:val="277D12BC"/>
    <w:rsid w:val="2C993D96"/>
    <w:rsid w:val="2F26320D"/>
    <w:rsid w:val="30A32674"/>
    <w:rsid w:val="31B26B61"/>
    <w:rsid w:val="338F55E0"/>
    <w:rsid w:val="34F3639C"/>
    <w:rsid w:val="35627C86"/>
    <w:rsid w:val="36465D0A"/>
    <w:rsid w:val="36FA2198"/>
    <w:rsid w:val="38171238"/>
    <w:rsid w:val="3CB02283"/>
    <w:rsid w:val="41AA33F7"/>
    <w:rsid w:val="41D21ABE"/>
    <w:rsid w:val="41F81A8F"/>
    <w:rsid w:val="425C2348"/>
    <w:rsid w:val="43F91C08"/>
    <w:rsid w:val="44190CB9"/>
    <w:rsid w:val="459F7C68"/>
    <w:rsid w:val="470F4A7E"/>
    <w:rsid w:val="482F7134"/>
    <w:rsid w:val="48482ABF"/>
    <w:rsid w:val="48CE22CC"/>
    <w:rsid w:val="50620D66"/>
    <w:rsid w:val="50D60CDC"/>
    <w:rsid w:val="522D0A0B"/>
    <w:rsid w:val="53F008AC"/>
    <w:rsid w:val="546154F0"/>
    <w:rsid w:val="551B0B10"/>
    <w:rsid w:val="55313088"/>
    <w:rsid w:val="558044A4"/>
    <w:rsid w:val="571839BD"/>
    <w:rsid w:val="588A4A86"/>
    <w:rsid w:val="5A866BFE"/>
    <w:rsid w:val="5B777F17"/>
    <w:rsid w:val="5B7E449F"/>
    <w:rsid w:val="5C1C39D7"/>
    <w:rsid w:val="5C265539"/>
    <w:rsid w:val="5D30422A"/>
    <w:rsid w:val="5D665773"/>
    <w:rsid w:val="5DF8365D"/>
    <w:rsid w:val="5ECC4C13"/>
    <w:rsid w:val="5F0F11AF"/>
    <w:rsid w:val="5F2074C7"/>
    <w:rsid w:val="608B433E"/>
    <w:rsid w:val="64856345"/>
    <w:rsid w:val="656F6C20"/>
    <w:rsid w:val="6BBD78D6"/>
    <w:rsid w:val="723806FE"/>
    <w:rsid w:val="72D215D9"/>
    <w:rsid w:val="74353642"/>
    <w:rsid w:val="746D2C25"/>
    <w:rsid w:val="74F75712"/>
    <w:rsid w:val="75AF2B1A"/>
    <w:rsid w:val="75DC4BDD"/>
    <w:rsid w:val="76E35F77"/>
    <w:rsid w:val="776A1019"/>
    <w:rsid w:val="7A2C68A2"/>
    <w:rsid w:val="7ABA6359"/>
    <w:rsid w:val="7BE95625"/>
    <w:rsid w:val="7CCC57B6"/>
    <w:rsid w:val="7EB86F6F"/>
    <w:rsid w:val="7F5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bjh-p"/>
    <w:basedOn w:val="10"/>
    <w:uiPriority w:val="0"/>
  </w:style>
  <w:style w:type="paragraph" w:customStyle="1" w:styleId="14">
    <w:name w:val="正文缩进 + 首行缩进:  2 字符"/>
    <w:basedOn w:val="1"/>
    <w:qFormat/>
    <w:uiPriority w:val="0"/>
    <w:pPr>
      <w:spacing w:line="560" w:lineRule="exact"/>
      <w:ind w:firstLine="640"/>
    </w:pPr>
    <w:rPr>
      <w:rFonts w:eastAsia="仿宋" w:cs="宋体"/>
      <w:sz w:val="32"/>
    </w:rPr>
  </w:style>
  <w:style w:type="paragraph" w:customStyle="1" w:styleId="15">
    <w:name w:val="_Style 6"/>
    <w:basedOn w:val="1"/>
    <w:qFormat/>
    <w:uiPriority w:val="0"/>
    <w:pPr>
      <w:widowControl/>
      <w:spacing w:after="160" w:line="24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1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qFormat/>
    <w:uiPriority w:val="0"/>
    <w:rPr>
      <w:kern w:val="2"/>
      <w:sz w:val="21"/>
    </w:rPr>
  </w:style>
  <w:style w:type="character" w:customStyle="1" w:styleId="18">
    <w:name w:val="批注主题 字符"/>
    <w:basedOn w:val="17"/>
    <w:link w:val="8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FCB9E-E49D-4491-A5C8-E4A3D392F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1766</Words>
  <Characters>10070</Characters>
  <Lines>83</Lines>
  <Paragraphs>23</Paragraphs>
  <TotalTime>15</TotalTime>
  <ScaleCrop>false</ScaleCrop>
  <LinksUpToDate>false</LinksUpToDate>
  <CharactersWithSpaces>11813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2021-01-12T02:40:00Z</dcterms:created>
  <dc:creator>Administrator</dc:creator>
  <cp:lastModifiedBy>admin</cp:lastModifiedBy>
  <cp:lastPrinted>2021-01-13T01:57:00Z</cp:lastPrinted>
  <dcterms:modified xsi:type="dcterms:W3CDTF">2021-02-25T01:34:13Z</dcterms:modified>
  <dc:title>潜江市2020年预算执行情况和2021年预算草案的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