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0B0000" w:fill="FFFFFF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0B0000" w:fill="FFFFFF"/>
        </w:rPr>
        <w:t>202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0B0000" w:fill="FFFFFF"/>
          <w:lang w:val="en-US" w:eastAsia="zh-CN"/>
        </w:rPr>
        <w:t>2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0B0000" w:fill="FFFFFF"/>
        </w:rPr>
        <w:t>年度行政许可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0B0000" w:fill="FFFFFF"/>
          <w:lang w:eastAsia="zh-CN"/>
        </w:rPr>
        <w:t>实施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0B0000" w:fill="FFFFFF"/>
        </w:rPr>
        <w:t>情况统计表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0B0000" w:fill="FFFFFF"/>
        </w:rPr>
      </w:pPr>
    </w:p>
    <w:tbl>
      <w:tblPr>
        <w:tblStyle w:val="4"/>
        <w:tblW w:w="14436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2"/>
        <w:gridCol w:w="2727"/>
        <w:gridCol w:w="2286"/>
        <w:gridCol w:w="2074"/>
        <w:gridCol w:w="4467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4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行政许可实施数量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宗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申请数量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受理数量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许可数量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不予许可数量</w:t>
            </w:r>
          </w:p>
        </w:tc>
        <w:tc>
          <w:tcPr>
            <w:tcW w:w="4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撤销许可数量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</w:t>
            </w:r>
          </w:p>
        </w:tc>
      </w:tr>
    </w:tbl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</w:pP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说明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：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1.“申请数量”的统计范围为统计年度1月1日至12月31日期间许可机关收到当事人许可申请的数量。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right="0" w:firstLine="56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2.“受理数量”、“许可数量”、“不予许可数量”、“撤销许可数量”的统计范围为统计年度1月1日至12月31日期间许可机关作出受理决定、许可决定、不予许可决定和撤销许可决定的数量。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0B0000" w:fill="FFFFFF"/>
        </w:rPr>
      </w:pP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</w:rPr>
      </w:pP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</w:rPr>
      </w:pP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</w:rPr>
      </w:pP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</w:rPr>
      </w:pP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</w:rPr>
      </w:pP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</w:rPr>
        <w:t>202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  <w:lang w:val="en-US" w:eastAsia="zh-CN"/>
        </w:rPr>
        <w:t>2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</w:rPr>
        <w:t>年度行政处罚实施情况统计表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</w:rPr>
      </w:pPr>
    </w:p>
    <w:tbl>
      <w:tblPr>
        <w:tblStyle w:val="4"/>
        <w:tblW w:w="14802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555"/>
        <w:gridCol w:w="1965"/>
        <w:gridCol w:w="1845"/>
        <w:gridCol w:w="1740"/>
        <w:gridCol w:w="2190"/>
        <w:gridCol w:w="1016"/>
        <w:gridCol w:w="1714"/>
        <w:gridCol w:w="1320"/>
        <w:gridCol w:w="183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48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tabs>
                <w:tab w:val="left" w:pos="5757"/>
                <w:tab w:val="center" w:pos="7821"/>
              </w:tabs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42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行政处罚实施数量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宗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警告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罚款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没收违法</w:t>
            </w:r>
          </w:p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所得、没收</w:t>
            </w:r>
          </w:p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非法财物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暂扣许可证、</w:t>
            </w:r>
          </w:p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执照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责令停产停业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吊销许可证、</w:t>
            </w:r>
          </w:p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执照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行政</w:t>
            </w:r>
          </w:p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拘留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其他行政处罚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合计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宗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罚没金额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万元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</w:pP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说明：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1.行政处罚实施数量的统计范围为统计年度1月1日至12月31日期间作出行政处罚决定的数量。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2.单处一个类别行政处罚的，计入相应的行政处罚类别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并处两种以上行政处罚的，算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color="090000" w:fill="FFFFFF"/>
        </w:rPr>
        <w:t>一宗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行政处罚，计入最重的行政处罚类别。如“没收违法所得，并处罚款”，计入“没收违法所得、没收非法财物”类别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并处明确类别的行政处罚和其他行政处罚的，计入明确类别的行政处罚，如“处罚款，并处其他行政处罚”，计入“罚款”类别。行政处罚类别从轻到重的顺序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(1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警告，(2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罚款，(3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没收违法所得、没收非法财物，(4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暂扣许可证、执照，(5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责令停产停业，(6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吊销许可证、执照，(7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行政拘留。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3.“没收违法所得、没收非法财物”能确定金额的，计入“罚没金额”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不能确定金额的，不计入“罚没金额”。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4.“罚没金额”以处罚决定书确定的金额为准。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Autospacing="0" w:afterAutospacing="0" w:line="500" w:lineRule="exact"/>
        <w:ind w:left="0" w:right="0" w:firstLine="0"/>
        <w:jc w:val="center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color="0B0000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090000" w:fill="FFFFFF"/>
          <w:lang w:val="en-US" w:eastAsia="zh-CN"/>
        </w:rPr>
        <w:t>2022年度行政强制实施情况统计表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color="0B0000" w:fill="FFFFFF"/>
        </w:rPr>
      </w:pPr>
    </w:p>
    <w:tbl>
      <w:tblPr>
        <w:tblStyle w:val="4"/>
        <w:tblW w:w="14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885"/>
        <w:gridCol w:w="945"/>
        <w:gridCol w:w="1365"/>
        <w:gridCol w:w="1305"/>
        <w:gridCol w:w="1215"/>
        <w:gridCol w:w="2715"/>
        <w:gridCol w:w="1485"/>
        <w:gridCol w:w="585"/>
        <w:gridCol w:w="1140"/>
        <w:gridCol w:w="930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0" w:type="dxa"/>
            <w:gridSpan w:val="4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行政强制措施实施数量（宗）</w:t>
            </w:r>
          </w:p>
        </w:tc>
        <w:tc>
          <w:tcPr>
            <w:tcW w:w="9375" w:type="dxa"/>
            <w:gridSpan w:val="7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行政强制执行实施数量（宗）</w:t>
            </w:r>
          </w:p>
        </w:tc>
        <w:tc>
          <w:tcPr>
            <w:tcW w:w="495" w:type="dxa"/>
            <w:vMerge w:val="restart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vMerge w:val="restart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查封场所、设施或者财物</w:t>
            </w:r>
          </w:p>
        </w:tc>
        <w:tc>
          <w:tcPr>
            <w:tcW w:w="885" w:type="dxa"/>
            <w:vMerge w:val="restart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扣押财物</w:t>
            </w:r>
          </w:p>
        </w:tc>
        <w:tc>
          <w:tcPr>
            <w:tcW w:w="945" w:type="dxa"/>
            <w:vMerge w:val="restart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冻结存款、汇款</w:t>
            </w:r>
          </w:p>
        </w:tc>
        <w:tc>
          <w:tcPr>
            <w:tcW w:w="1365" w:type="dxa"/>
            <w:vMerge w:val="restart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其他行政强制措施</w:t>
            </w:r>
          </w:p>
        </w:tc>
        <w:tc>
          <w:tcPr>
            <w:tcW w:w="8445" w:type="dxa"/>
            <w:gridSpan w:val="6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行政机关强制执行</w:t>
            </w:r>
          </w:p>
        </w:tc>
        <w:tc>
          <w:tcPr>
            <w:tcW w:w="930" w:type="dxa"/>
            <w:vMerge w:val="restart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申请法院强制执行</w:t>
            </w:r>
          </w:p>
        </w:tc>
        <w:tc>
          <w:tcPr>
            <w:tcW w:w="495" w:type="dxa"/>
            <w:vMerge w:val="continue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815" w:type="dxa"/>
            <w:vMerge w:val="continue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</w:p>
        </w:tc>
        <w:tc>
          <w:tcPr>
            <w:tcW w:w="885" w:type="dxa"/>
            <w:vMerge w:val="continue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</w:p>
        </w:tc>
        <w:tc>
          <w:tcPr>
            <w:tcW w:w="945" w:type="dxa"/>
            <w:vMerge w:val="continue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</w:p>
        </w:tc>
        <w:tc>
          <w:tcPr>
            <w:tcW w:w="1365" w:type="dxa"/>
            <w:vMerge w:val="continue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</w:p>
        </w:tc>
        <w:tc>
          <w:tcPr>
            <w:tcW w:w="1305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加处罚款或者滞纳金</w:t>
            </w:r>
          </w:p>
        </w:tc>
        <w:tc>
          <w:tcPr>
            <w:tcW w:w="1215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划拨存款、汇款</w:t>
            </w:r>
          </w:p>
        </w:tc>
        <w:tc>
          <w:tcPr>
            <w:tcW w:w="2715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拍卖或者依法处理查封、扣押的场所、设施或者财物</w:t>
            </w:r>
          </w:p>
        </w:tc>
        <w:tc>
          <w:tcPr>
            <w:tcW w:w="1485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排除妨碍、恢复原状</w:t>
            </w:r>
          </w:p>
        </w:tc>
        <w:tc>
          <w:tcPr>
            <w:tcW w:w="585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代履行</w:t>
            </w:r>
          </w:p>
        </w:tc>
        <w:tc>
          <w:tcPr>
            <w:tcW w:w="1140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其他强制执行</w:t>
            </w:r>
          </w:p>
        </w:tc>
        <w:tc>
          <w:tcPr>
            <w:tcW w:w="930" w:type="dxa"/>
            <w:vMerge w:val="continue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</w:p>
        </w:tc>
        <w:tc>
          <w:tcPr>
            <w:tcW w:w="495" w:type="dxa"/>
            <w:vMerge w:val="continue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815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  <w:t>0</w:t>
            </w:r>
          </w:p>
        </w:tc>
        <w:tc>
          <w:tcPr>
            <w:tcW w:w="945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  <w:t>0</w:t>
            </w:r>
          </w:p>
        </w:tc>
        <w:tc>
          <w:tcPr>
            <w:tcW w:w="1365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  <w:t>0</w:t>
            </w:r>
          </w:p>
        </w:tc>
        <w:tc>
          <w:tcPr>
            <w:tcW w:w="1305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  <w:t>0</w:t>
            </w:r>
          </w:p>
        </w:tc>
        <w:tc>
          <w:tcPr>
            <w:tcW w:w="1215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  <w:t>0</w:t>
            </w:r>
          </w:p>
        </w:tc>
        <w:tc>
          <w:tcPr>
            <w:tcW w:w="2715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  <w:t>0</w:t>
            </w:r>
          </w:p>
        </w:tc>
        <w:tc>
          <w:tcPr>
            <w:tcW w:w="1485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  <w:t>00</w:t>
            </w:r>
          </w:p>
        </w:tc>
        <w:tc>
          <w:tcPr>
            <w:tcW w:w="585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  <w:t>0</w:t>
            </w:r>
          </w:p>
        </w:tc>
        <w:tc>
          <w:tcPr>
            <w:tcW w:w="1140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  <w:t>0</w:t>
            </w:r>
          </w:p>
        </w:tc>
        <w:tc>
          <w:tcPr>
            <w:tcW w:w="930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  <w:t>0</w:t>
            </w:r>
          </w:p>
        </w:tc>
        <w:tc>
          <w:tcPr>
            <w:tcW w:w="495" w:type="dxa"/>
            <w:vAlign w:val="top"/>
          </w:tcPr>
          <w:p>
            <w:pPr>
              <w:pStyle w:val="7"/>
              <w:widowControl/>
              <w:wordWrap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val="en-US" w:eastAsia="zh-CN"/>
              </w:rPr>
              <w:t>0</w:t>
            </w:r>
          </w:p>
        </w:tc>
      </w:tr>
    </w:tbl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color="0B0000" w:fill="FFFFFF"/>
        </w:rPr>
      </w:pP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0B0000" w:fill="FFFFFF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0B0000" w:fill="FFFFFF"/>
        </w:rPr>
        <w:t>说明：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0B0000" w:fill="FFFFFF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0B0000" w:fill="FFFFFF"/>
        </w:rPr>
        <w:t>1.“行政强制措施实施数量”的统计范围为统计年度1月1日至12月31日期间作出“查封场所、设施或者财物”、“扣押财物”、“冻结存款、汇款”或者“其他行政强制措施”决定的数量。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0B0000" w:fill="FFFFFF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0B0000" w:fill="FFFFFF"/>
        </w:rPr>
        <w:t>2.“行政强制执行实施数量” 的统计范围为统计年度1月1日至12月31日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0B0000" w:fill="FFFFFF"/>
        </w:rPr>
      </w:pP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0B0000" w:fill="FFFFFF"/>
        </w:rPr>
        <w:t>3.“申请法院强制执行”数量的统计范围为统计年度1月1日至12月31日期间向法院申请强制执行的数量，时间以申请日期为准。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</w:rPr>
      </w:pP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</w:rPr>
      </w:pP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Style w:val="6"/>
          <w:rFonts w:hint="default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0B0000" w:fill="FFFFFF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</w:rPr>
        <w:t>202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  <w:lang w:val="en-US" w:eastAsia="zh-CN"/>
        </w:rPr>
        <w:t>2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0B0000" w:fill="FFFFFF"/>
        </w:rPr>
        <w:t>年度其他行政执法行为实施情况统计表</w:t>
      </w:r>
    </w:p>
    <w:tbl>
      <w:tblPr>
        <w:tblStyle w:val="4"/>
        <w:tblpPr w:leftFromText="180" w:rightFromText="180" w:vertAnchor="text" w:horzAnchor="page" w:tblpX="1458" w:tblpY="807"/>
        <w:tblOverlap w:val="never"/>
        <w:tblW w:w="14815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175"/>
        <w:gridCol w:w="1365"/>
        <w:gridCol w:w="1155"/>
        <w:gridCol w:w="1156"/>
        <w:gridCol w:w="959"/>
        <w:gridCol w:w="1740"/>
        <w:gridCol w:w="1285"/>
        <w:gridCol w:w="995"/>
        <w:gridCol w:w="1860"/>
        <w:gridCol w:w="2655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行政征收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行政检查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行政裁决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行政给付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行政确认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行政奖励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其他行政执法行为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次数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征收</w:t>
            </w:r>
          </w:p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总金额</w:t>
            </w:r>
          </w:p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万元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次数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次数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涉及</w:t>
            </w:r>
          </w:p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金额</w:t>
            </w:r>
          </w:p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万元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次数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给付</w:t>
            </w:r>
          </w:p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总金额</w:t>
            </w:r>
          </w:p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万元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次数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次数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奖励</w:t>
            </w:r>
          </w:p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总金额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万元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宗数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7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7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auto"/>
              <w:wordWrap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tabs>
          <w:tab w:val="left" w:pos="4827"/>
        </w:tabs>
        <w:wordWrap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</w:pP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</w:pP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说明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  <w:lang w:eastAsia="zh-CN"/>
        </w:rPr>
        <w:t>：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1.“行政征收次数”的统计范围为统计年度1月1日至12月31日期间征收完毕的数量。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2.“行政检查次数”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3.“行政裁决次数”、“行政确认次数”、“行政奖励次数”的统计范围为统计年度1月1日至12月31日期间作出行政裁决、行政确认、行政奖励决定的数量。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4.“行政给付次数”的统计范围为统计年度1月1日至12月31日期间给付完毕的数量。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080000" w:fill="FFFFFF"/>
        </w:rPr>
        <w:t>5.“其他行政执法行为”的统计范围为统计年度1月1日至12月31日期间完成的宗数。</w:t>
      </w:r>
    </w:p>
    <w:p>
      <w:pPr>
        <w:tabs>
          <w:tab w:val="left" w:pos="2952"/>
        </w:tabs>
        <w:jc w:val="left"/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6979"/>
        <w:tab w:val="clear" w:pos="4153"/>
      </w:tabs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MDZmZTYxYmEzNzZmM2RjMGYzYmE3Njg0MGUzMDYifQ=="/>
  </w:docVars>
  <w:rsids>
    <w:rsidRoot w:val="00000000"/>
    <w:rsid w:val="03935285"/>
    <w:rsid w:val="0EFF1EA4"/>
    <w:rsid w:val="342B49A6"/>
    <w:rsid w:val="381360A1"/>
    <w:rsid w:val="46DB0716"/>
    <w:rsid w:val="4D086278"/>
    <w:rsid w:val="519616B5"/>
    <w:rsid w:val="68F324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1471</Words>
  <Characters>1529</Characters>
  <Lines>0</Lines>
  <Paragraphs>0</Paragraphs>
  <TotalTime>5</TotalTime>
  <ScaleCrop>false</ScaleCrop>
  <LinksUpToDate>false</LinksUpToDate>
  <CharactersWithSpaces>1530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2022-05-17T10:57:00Z</dcterms:created>
  <dc:creator>贾不贾</dc:creator>
  <cp:lastModifiedBy>lenovo</cp:lastModifiedBy>
  <dcterms:modified xsi:type="dcterms:W3CDTF">2023-01-04T07:03:53Z</dcterms:modified>
  <dc:title>贾不贾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34FF238364294664B42A5E4E189DCB6E</vt:lpwstr>
  </property>
</Properties>
</file>