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0" w:lineRule="exact"/>
        <w:ind w:left="-2"/>
        <w:jc w:val="center"/>
        <w:rPr>
          <w:rFonts w:eastAsia="华文中宋"/>
          <w:color w:val="auto"/>
          <w:spacing w:val="-6"/>
          <w:w w:val="98"/>
          <w:sz w:val="32"/>
          <w:szCs w:val="32"/>
        </w:rPr>
      </w:pPr>
    </w:p>
    <w:p>
      <w:pPr>
        <w:spacing w:line="360" w:lineRule="exact"/>
        <w:jc w:val="center"/>
        <w:rPr>
          <w:rFonts w:eastAsia="华文中宋"/>
          <w:color w:val="auto"/>
          <w:spacing w:val="20"/>
          <w:sz w:val="32"/>
          <w:szCs w:val="32"/>
        </w:rPr>
      </w:pPr>
    </w:p>
    <w:p>
      <w:pPr>
        <w:spacing w:line="600" w:lineRule="exact"/>
        <w:jc w:val="center"/>
        <w:rPr>
          <w:rFonts w:eastAsia="华文中宋"/>
          <w:color w:val="auto"/>
          <w:spacing w:val="20"/>
          <w:sz w:val="32"/>
          <w:szCs w:val="32"/>
        </w:rPr>
      </w:pPr>
      <w:r>
        <w:rPr>
          <w:color w:val="auto"/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52705</wp:posOffset>
                </wp:positionV>
                <wp:extent cx="737235" cy="379095"/>
                <wp:effectExtent l="0" t="0" r="0" b="0"/>
                <wp:wrapNone/>
                <wp:docPr id="1026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7235" cy="37909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240" w:lineRule="exact"/>
                              <w:jc w:val="distribute"/>
                              <w:rPr>
                                <w:rFonts w:ascii="楷体_GB2312" w:eastAsia="楷体_GB2312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3"/>
                              </w:rPr>
                              <w:t>内部资料</w:t>
                            </w:r>
                          </w:p>
                          <w:p>
                            <w:pPr>
                              <w:spacing w:before="31" w:beforeLines="10" w:line="240" w:lineRule="exact"/>
                              <w:jc w:val="distribute"/>
                              <w:rPr>
                                <w:rFonts w:ascii="楷体_GB2312" w:eastAsia="楷体_GB2312"/>
                                <w:b/>
                                <w:sz w:val="23"/>
                              </w:rPr>
                            </w:pPr>
                            <w:r>
                              <w:rPr>
                                <w:rFonts w:hint="eastAsia" w:ascii="楷体_GB2312" w:eastAsia="楷体_GB2312"/>
                                <w:b/>
                                <w:sz w:val="23"/>
                              </w:rPr>
                              <w:t>注意保存</w:t>
                            </w:r>
                          </w:p>
                        </w:txbxContent>
                      </wps:txbx>
                      <wps:bodyPr lIns="53975" tIns="10795" rIns="53975" bIns="10795" upright="1"/>
                    </wps:wsp>
                  </a:graphicData>
                </a:graphic>
              </wp:anchor>
            </w:drawing>
          </mc:Choice>
          <mc:Fallback>
            <w:pict>
              <v:rect id="文本框 2" o:spid="_x0000_s1026" o:spt="1" style="position:absolute;left:0pt;margin-left:166.95pt;margin-top:4.15pt;height:29.85pt;width:58.05pt;z-index:251659264;mso-width-relative:page;mso-height-relative:page;" filled="f" stroked="f" coordsize="21600,21600" o:gfxdata="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qMmS4NgAAAAIAQAADwAAAAAAAAABACAAAAAiAAAAZHJzL2Rvd25yZXYueG1sUEsB&#10;AhQAFAAAAAgAh07iQHRH9yK8AQAAbwMAAA4AAAAAAAAAAQAgAAAAJwEAAGRycy9lMm9Eb2MueG1s&#10;UEsFBgAAAAAGAAYAWQEAAFUFAAAAAA==&#10;">
                <v:fill on="f" focussize="0,0"/>
                <v:stroke on="f"/>
                <v:imagedata o:title=""/>
                <o:lock v:ext="edit" aspectratio="f"/>
                <v:textbox inset="4.25pt,0.85pt,4.25pt,0.85pt">
                  <w:txbxContent>
                    <w:p>
                      <w:pPr>
                        <w:spacing w:line="240" w:lineRule="exact"/>
                        <w:jc w:val="distribute"/>
                        <w:rPr>
                          <w:rFonts w:ascii="楷体_GB2312" w:eastAsia="楷体_GB2312"/>
                          <w:b/>
                          <w:sz w:val="23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3"/>
                        </w:rPr>
                        <w:t>内部资料</w:t>
                      </w:r>
                    </w:p>
                    <w:p>
                      <w:pPr>
                        <w:spacing w:before="31" w:beforeLines="10" w:line="240" w:lineRule="exact"/>
                        <w:jc w:val="distribute"/>
                        <w:rPr>
                          <w:rFonts w:ascii="楷体_GB2312" w:eastAsia="楷体_GB2312"/>
                          <w:b/>
                          <w:sz w:val="23"/>
                        </w:rPr>
                      </w:pPr>
                      <w:r>
                        <w:rPr>
                          <w:rFonts w:hint="eastAsia" w:ascii="楷体_GB2312" w:eastAsia="楷体_GB2312"/>
                          <w:b/>
                          <w:sz w:val="23"/>
                        </w:rPr>
                        <w:t>注意保存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spacing w:line="600" w:lineRule="exact"/>
        <w:jc w:val="center"/>
        <w:rPr>
          <w:rFonts w:eastAsia="华文中宋"/>
          <w:color w:val="auto"/>
          <w:spacing w:val="20"/>
          <w:sz w:val="32"/>
          <w:szCs w:val="32"/>
        </w:rPr>
      </w:pPr>
    </w:p>
    <w:p>
      <w:pPr>
        <w:jc w:val="center"/>
        <w:rPr>
          <w:rFonts w:eastAsia="黑体"/>
          <w:b/>
          <w:bCs/>
          <w:color w:val="auto"/>
          <w:w w:val="80"/>
          <w:sz w:val="56"/>
        </w:rPr>
      </w:pPr>
      <w:r>
        <w:rPr>
          <w:rFonts w:eastAsia="黑体"/>
          <w:b/>
          <w:bCs/>
          <w:color w:val="auto"/>
          <w:w w:val="80"/>
          <w:sz w:val="56"/>
        </w:rPr>
        <w:t>潜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江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统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计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月</w:t>
      </w:r>
      <w:r>
        <w:rPr>
          <w:rFonts w:hint="eastAsia" w:eastAsia="黑体"/>
          <w:b/>
          <w:bCs/>
          <w:color w:val="auto"/>
          <w:w w:val="80"/>
          <w:sz w:val="40"/>
          <w:szCs w:val="40"/>
        </w:rPr>
        <w:t xml:space="preserve"> </w:t>
      </w:r>
      <w:r>
        <w:rPr>
          <w:rFonts w:eastAsia="黑体"/>
          <w:b/>
          <w:bCs/>
          <w:color w:val="auto"/>
          <w:w w:val="80"/>
          <w:sz w:val="56"/>
        </w:rPr>
        <w:t>报</w:t>
      </w: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420" w:lineRule="exact"/>
        <w:jc w:val="center"/>
        <w:rPr>
          <w:color w:val="auto"/>
          <w:sz w:val="18"/>
        </w:rPr>
      </w:pPr>
    </w:p>
    <w:p>
      <w:pPr>
        <w:spacing w:line="500" w:lineRule="exact"/>
        <w:jc w:val="center"/>
        <w:rPr>
          <w:color w:val="auto"/>
          <w:sz w:val="18"/>
        </w:rPr>
      </w:pPr>
    </w:p>
    <w:p>
      <w:pPr>
        <w:spacing w:line="420" w:lineRule="exact"/>
        <w:ind w:firstLine="862" w:firstLineChars="308"/>
        <w:rPr>
          <w:color w:val="auto"/>
          <w:spacing w:val="16"/>
          <w:sz w:val="28"/>
        </w:rPr>
      </w:pPr>
      <w:r>
        <w:rPr>
          <w:color w:val="auto"/>
          <w:sz w:val="28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2355850</wp:posOffset>
                </wp:positionH>
                <wp:positionV relativeFrom="paragraph">
                  <wp:posOffset>67945</wp:posOffset>
                </wp:positionV>
                <wp:extent cx="482600" cy="365760"/>
                <wp:effectExtent l="0" t="0" r="0" b="0"/>
                <wp:wrapNone/>
                <wp:docPr id="1027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365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pacing w:line="420" w:lineRule="exact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sz w:val="28"/>
                              </w:rPr>
                              <w:t>编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185.5pt;margin-top:5.35pt;height:28.8pt;width:38pt;z-index:251659264;mso-width-relative:page;mso-height-relative:page;" filled="f" stroked="f" coordsize="21600,21600" o:gfxdata="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HkXiDbaAAAACQEAAA8A&#10;AAAAAAAAAQAgAAAAIgAAAGRycy9kb3ducmV2LnhtbFBLAQIUABQAAAAIAIdO4kAoDXJqowEAADsD&#10;AAAOAAAAAAAAAAEAIAAAACkBAABkcnMvZTJvRG9jLnhtbFBLBQYAAAAABgAGAFkBAAA+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spacing w:line="420" w:lineRule="exact"/>
                        <w:rPr>
                          <w:b/>
                          <w:bCs/>
                          <w:sz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sz w:val="28"/>
                        </w:rPr>
                        <w:t>编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auto"/>
          <w:spacing w:val="16"/>
          <w:sz w:val="28"/>
        </w:rPr>
        <w:t>潜 江 市 统 计 局</w:t>
      </w:r>
    </w:p>
    <w:p>
      <w:pPr>
        <w:spacing w:line="420" w:lineRule="exact"/>
        <w:ind w:firstLine="826" w:firstLineChars="295"/>
        <w:rPr>
          <w:color w:val="auto"/>
          <w:sz w:val="28"/>
        </w:rPr>
      </w:pPr>
      <w:r>
        <w:rPr>
          <w:color w:val="auto"/>
          <w:sz w:val="28"/>
        </w:rPr>
        <w:t>国家统计局潜江调查队</w:t>
      </w:r>
    </w:p>
    <w:p>
      <w:pPr>
        <w:spacing w:line="400" w:lineRule="exact"/>
        <w:jc w:val="center"/>
        <w:rPr>
          <w:color w:val="auto"/>
          <w:sz w:val="28"/>
        </w:rPr>
      </w:pPr>
      <w:r>
        <w:rPr>
          <w:rFonts w:hint="eastAsia"/>
          <w:color w:val="auto"/>
          <w:sz w:val="28"/>
        </w:rPr>
        <w:t>202</w:t>
      </w:r>
      <w:r>
        <w:rPr>
          <w:rFonts w:hint="eastAsia"/>
          <w:color w:val="auto"/>
          <w:sz w:val="28"/>
          <w:lang w:val="en-US" w:eastAsia="zh-CN"/>
        </w:rPr>
        <w:t>3</w:t>
      </w:r>
      <w:r>
        <w:rPr>
          <w:rFonts w:hint="eastAsia"/>
          <w:color w:val="auto"/>
          <w:sz w:val="28"/>
        </w:rPr>
        <w:t>年</w:t>
      </w:r>
      <w:r>
        <w:rPr>
          <w:rFonts w:hint="eastAsia"/>
          <w:color w:val="auto"/>
          <w:sz w:val="28"/>
          <w:lang w:val="en-US" w:eastAsia="zh-CN"/>
        </w:rPr>
        <w:t>11</w:t>
      </w:r>
      <w:r>
        <w:rPr>
          <w:rFonts w:hint="eastAsia"/>
          <w:color w:val="auto"/>
          <w:sz w:val="28"/>
          <w:lang w:eastAsia="zh-CN"/>
        </w:rPr>
        <w:t>月</w:t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全市主要经济指标</w:t>
      </w:r>
    </w:p>
    <w:tbl>
      <w:tblPr>
        <w:tblStyle w:val="6"/>
        <w:tblW w:w="4741" w:type="pct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713"/>
        <w:gridCol w:w="1886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2949" w:type="pct"/>
            <w:vMerge w:val="restart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指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 xml:space="preserve">    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标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（1-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11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月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）</w:t>
            </w:r>
          </w:p>
        </w:tc>
        <w:tc>
          <w:tcPr>
            <w:tcW w:w="2050" w:type="pct"/>
            <w:tcBorders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1" w:hRule="atLeast"/>
          <w:jc w:val="center"/>
        </w:trPr>
        <w:tc>
          <w:tcPr>
            <w:tcW w:w="2949" w:type="pct"/>
            <w:vMerge w:val="continue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</w:p>
        </w:tc>
        <w:tc>
          <w:tcPr>
            <w:tcW w:w="2050" w:type="pct"/>
            <w:tcBorders>
              <w:top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1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center"/>
              <w:rPr>
                <w:rFonts w:hint="eastAsia" w:ascii="微软雅黑 Light" w:hAnsi="微软雅黑 Light" w:eastAsia="宋体" w:cs="微软雅黑 Light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default" w:ascii="宋体" w:hAnsi="宋体"/>
                <w:b/>
                <w:color w:val="auto"/>
                <w:sz w:val="20"/>
                <w:szCs w:val="20"/>
              </w:rPr>
              <w:t>一、地区生产总值</w:t>
            </w:r>
            <w:r>
              <w:rPr>
                <w:rFonts w:hint="default" w:ascii="宋体" w:hAnsi="宋体"/>
                <w:b/>
                <w:color w:val="auto"/>
                <w:sz w:val="15"/>
                <w:szCs w:val="15"/>
              </w:rPr>
              <w:t>（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eastAsia="zh-CN"/>
              </w:rPr>
              <w:t>前三季度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val="en-US" w:eastAsia="zh-CN"/>
              </w:rPr>
              <w:t>GDP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2050" w:type="pct"/>
            <w:tcBorders>
              <w:top w:val="single" w:color="000000" w:sz="4" w:space="0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default" w:ascii="宋体" w:hAnsi="宋体"/>
                <w:color w:val="auto"/>
                <w:sz w:val="20"/>
                <w:szCs w:val="20"/>
              </w:rPr>
              <w:t>#第一产业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/>
                <w:bCs/>
                <w:color w:val="auto"/>
                <w:sz w:val="20"/>
                <w:szCs w:val="20"/>
              </w:rPr>
              <w:t>第二产业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第三产业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/>
                <w:b/>
                <w:color w:val="auto"/>
                <w:sz w:val="20"/>
                <w:szCs w:val="20"/>
              </w:rPr>
              <w:t>二、规模以上工业增加值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7.9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eastAsia" w:ascii="微软雅黑 Light" w:hAnsi="微软雅黑 Light" w:eastAsia="宋体" w:cs="微软雅黑 Light"/>
                <w:b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三、全社会用电量</w:t>
            </w:r>
            <w:r>
              <w:rPr>
                <w:rFonts w:hint="default" w:ascii="宋体" w:hAnsi="宋体"/>
                <w:b/>
                <w:color w:val="auto"/>
                <w:sz w:val="15"/>
                <w:szCs w:val="15"/>
              </w:rPr>
              <w:t>(亿千瓦时)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5.5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#工业用电量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2"/>
                <w:sz w:val="20"/>
                <w:szCs w:val="20"/>
                <w:lang w:val="en-US" w:eastAsia="zh-CN" w:bidi="ar-SA"/>
              </w:rPr>
              <w:t>5.8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四、进出口总额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-15.0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#进 口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-14.1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出 口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leftChars="0" w:right="0" w:rightChars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-21.1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五、财政总收入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54.8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地方一般公共预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算收入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21.8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税收收入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21.8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b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地方一般公共预算支出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15.6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六、金融机构存款余额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</w:rPr>
              <w:t>（本外币）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10.7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#住户存款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16.2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b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金融机构贷款余额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</w:rPr>
              <w:t>（本外币）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18.0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#短期贷款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28.0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七、固定资产投资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7.5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#民间投资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35.6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 工业投资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23.4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   #工业技改投资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26.3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 基础设施投资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-30.0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   改建与技术改造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1.6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八、社会消费品零售额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9.2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九、实际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使用外资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</w:rPr>
              <w:t>（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val="en-US" w:eastAsia="zh-CN"/>
              </w:rPr>
              <w:t>1-10月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</w:rPr>
              <w:t>万美元）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-25.0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18"/>
                <w:szCs w:val="18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十、人均可支配收入</w:t>
            </w:r>
            <w:r>
              <w:rPr>
                <w:rFonts w:hint="eastAsia" w:ascii="宋体" w:hAnsi="宋体"/>
                <w:b/>
                <w:color w:val="auto"/>
                <w:sz w:val="15"/>
                <w:szCs w:val="15"/>
                <w:lang w:eastAsia="zh-CN"/>
              </w:rPr>
              <w:t>（前三季度）</w:t>
            </w:r>
            <w:r>
              <w:rPr>
                <w:rFonts w:hint="default" w:ascii="宋体" w:hAnsi="宋体"/>
                <w:b/>
                <w:color w:val="auto"/>
                <w:sz w:val="15"/>
                <w:szCs w:val="15"/>
              </w:rPr>
              <w:t>（元）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rPr>
                <w:rFonts w:hint="default"/>
                <w:color w:val="auto"/>
                <w:sz w:val="20"/>
                <w:szCs w:val="20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#城镇常住居民</w:t>
            </w:r>
          </w:p>
        </w:tc>
        <w:tc>
          <w:tcPr>
            <w:tcW w:w="2050" w:type="pct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6.1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4" w:hRule="exact"/>
          <w:jc w:val="center"/>
        </w:trPr>
        <w:tc>
          <w:tcPr>
            <w:tcW w:w="2949" w:type="pct"/>
            <w:tcBorders>
              <w:top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 农村常住居民</w:t>
            </w:r>
          </w:p>
        </w:tc>
        <w:tc>
          <w:tcPr>
            <w:tcW w:w="2050" w:type="pct"/>
            <w:tcBorders>
              <w:top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center"/>
              <w:textAlignment w:val="center"/>
              <w:rPr>
                <w:rFonts w:hint="default" w:eastAsia="宋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sz w:val="20"/>
                <w:szCs w:val="20"/>
                <w:lang w:val="en-US" w:eastAsia="zh-CN"/>
              </w:rPr>
              <w:t>7.9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before="32" w:beforeLines="10" w:line="180" w:lineRule="exact"/>
        <w:jc w:val="both"/>
        <w:textAlignment w:val="auto"/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</w:pP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注：①</w:t>
      </w:r>
      <w:r>
        <w:rPr>
          <w:rFonts w:hint="eastAsia" w:ascii="Calibri" w:hAnsi="Calibri" w:eastAsia="仿宋" w:cs="Calibri"/>
          <w:b/>
          <w:bCs/>
          <w:color w:val="auto"/>
          <w:kern w:val="2"/>
          <w:sz w:val="16"/>
          <w:szCs w:val="16"/>
          <w:lang w:val="en-US" w:eastAsia="zh-CN" w:bidi="ar-SA"/>
        </w:rPr>
        <w:t>GDP总量数据不等于各产业（行业）之和，是由于数值修约误差所致，未作机械调整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180" w:lineRule="exact"/>
        <w:ind w:firstLine="320" w:firstLineChars="200"/>
        <w:textAlignment w:val="auto"/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</w:pP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②税收收入采用财政厅反馈数据，指地方级税收收入；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2" w:beforeLines="10" w:line="180" w:lineRule="exact"/>
        <w:ind w:firstLine="320" w:firstLineChars="200"/>
        <w:textAlignment w:val="auto"/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</w:pPr>
      <w:r>
        <w:rPr>
          <w:rFonts w:hint="eastAsia" w:ascii="Calibri" w:hAnsi="Calibri" w:eastAsia="仿宋" w:cs="Calibri"/>
          <w:b/>
          <w:bCs/>
          <w:color w:val="auto"/>
          <w:kern w:val="2"/>
          <w:sz w:val="16"/>
          <w:szCs w:val="16"/>
          <w:lang w:val="en-US" w:eastAsia="zh-CN" w:bidi="ar-SA"/>
        </w:rPr>
        <w:t>③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自202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val="en-US" w:eastAsia="zh-CN"/>
        </w:rPr>
        <w:t>2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年7月起，实际使用外资采用商务厅反馈数据</w:t>
      </w:r>
      <w:r>
        <w:rPr>
          <w:rFonts w:hint="eastAsia" w:ascii="Calibri" w:hAnsi="Calibri" w:eastAsia="仿宋" w:cs="Calibri"/>
          <w:b/>
          <w:bCs/>
          <w:color w:val="auto"/>
          <w:kern w:val="2"/>
          <w:sz w:val="16"/>
          <w:szCs w:val="16"/>
          <w:lang w:val="en-US" w:eastAsia="zh-CN" w:bidi="ar-SA"/>
        </w:rPr>
        <w:t>。</w:t>
      </w:r>
    </w:p>
    <w:p>
      <w:pPr>
        <w:spacing w:line="180" w:lineRule="exact"/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val="en-US" w:eastAsia="zh-CN"/>
        </w:rPr>
        <w:t>2023年前三季度</w:t>
      </w: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国民经济核算</w:t>
      </w:r>
    </w:p>
    <w:tbl>
      <w:tblPr>
        <w:tblStyle w:val="6"/>
        <w:tblW w:w="4724" w:type="dxa"/>
        <w:jc w:val="center"/>
        <w:tblBorders>
          <w:top w:val="none" w:color="auto" w:sz="0" w:space="0"/>
          <w:left w:val="none" w:color="auto" w:sz="0" w:space="0"/>
          <w:bottom w:val="single" w:color="000000" w:sz="12" w:space="0"/>
          <w:right w:val="none" w:color="auto" w:sz="0" w:space="0"/>
          <w:insideH w:val="none" w:color="auto" w:sz="0" w:space="0"/>
          <w:insideV w:val="single" w:color="000000" w:sz="2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92"/>
        <w:gridCol w:w="1369"/>
        <w:gridCol w:w="963"/>
      </w:tblGrid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322" w:hRule="atLeast"/>
          <w:jc w:val="center"/>
        </w:trPr>
        <w:tc>
          <w:tcPr>
            <w:tcW w:w="239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eastAsia="宋体"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指  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（前三季度）</w:t>
            </w:r>
          </w:p>
        </w:tc>
        <w:tc>
          <w:tcPr>
            <w:tcW w:w="2332" w:type="dxa"/>
            <w:gridSpan w:val="2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385" w:hRule="atLeast"/>
          <w:jc w:val="center"/>
        </w:trPr>
        <w:tc>
          <w:tcPr>
            <w:tcW w:w="2392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/>
                <w:color w:val="auto"/>
              </w:rPr>
            </w:pPr>
          </w:p>
        </w:tc>
        <w:tc>
          <w:tcPr>
            <w:tcW w:w="233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16"/>
                <w:szCs w:val="16"/>
                <w:lang w:val="en-US" w:eastAsia="zh-CN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2392" w:type="dxa"/>
            <w:tcBorders>
              <w:top w:val="single" w:color="auto" w:sz="4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/>
              <w:rPr>
                <w:rFonts w:hint="default"/>
                <w:color w:val="auto"/>
                <w:sz w:val="20"/>
              </w:rPr>
            </w:pPr>
            <w:bookmarkStart w:id="0" w:name="OLE_LINK2" w:colFirst="0" w:colLast="0"/>
            <w:r>
              <w:rPr>
                <w:rFonts w:hint="default" w:hAnsi="宋体"/>
                <w:b/>
                <w:bCs/>
                <w:color w:val="auto"/>
                <w:sz w:val="20"/>
              </w:rPr>
              <w:t>潜江市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地区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生产总值</w:t>
            </w:r>
          </w:p>
        </w:tc>
        <w:tc>
          <w:tcPr>
            <w:tcW w:w="2332" w:type="dxa"/>
            <w:gridSpan w:val="2"/>
            <w:tcBorders>
              <w:top w:val="single" w:color="auto" w:sz="4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农林牧渔业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工业</w:t>
            </w:r>
          </w:p>
        </w:tc>
        <w:tc>
          <w:tcPr>
            <w:tcW w:w="2332" w:type="dxa"/>
            <w:gridSpan w:val="2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建筑业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10.0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批发和零售业</w:t>
            </w:r>
          </w:p>
        </w:tc>
        <w:tc>
          <w:tcPr>
            <w:tcW w:w="2332" w:type="dxa"/>
            <w:gridSpan w:val="2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交通运输、仓储及邮政业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住宿业和餐饮业</w:t>
            </w:r>
          </w:p>
        </w:tc>
        <w:tc>
          <w:tcPr>
            <w:tcW w:w="2332" w:type="dxa"/>
            <w:gridSpan w:val="2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金融业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13.4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房地产业</w:t>
            </w:r>
          </w:p>
        </w:tc>
        <w:tc>
          <w:tcPr>
            <w:tcW w:w="2332" w:type="dxa"/>
            <w:gridSpan w:val="2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rPr>
                <w:rFonts w:hint="default" w:hAnsi="宋体"/>
                <w:color w:val="auto"/>
                <w:sz w:val="20"/>
              </w:rPr>
            </w:pPr>
            <w:r>
              <w:rPr>
                <w:rFonts w:hint="eastAsia" w:hAnsi="宋体"/>
                <w:color w:val="auto"/>
                <w:sz w:val="20"/>
              </w:rPr>
              <w:t>其他服务业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600" w:firstLineChars="300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营利性服务业</w:t>
            </w:r>
          </w:p>
        </w:tc>
        <w:tc>
          <w:tcPr>
            <w:tcW w:w="2332" w:type="dxa"/>
            <w:gridSpan w:val="2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600" w:firstLineChars="300"/>
              <w:rPr>
                <w:rFonts w:hint="eastAsia" w:ascii="宋体" w:hAnsi="宋体" w:eastAsia="宋体" w:cs="宋体"/>
                <w:color w:val="auto"/>
                <w:sz w:val="20"/>
              </w:rPr>
            </w:pPr>
            <w:r>
              <w:rPr>
                <w:rFonts w:hint="eastAsia" w:ascii="宋体" w:hAnsi="宋体" w:eastAsia="宋体" w:cs="宋体"/>
                <w:color w:val="auto"/>
                <w:sz w:val="20"/>
              </w:rPr>
              <w:t>非营利性服务业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2392" w:type="dxa"/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310" w:firstLineChars="155"/>
              <w:rPr>
                <w:rFonts w:hint="default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第一产业</w:t>
            </w:r>
          </w:p>
        </w:tc>
        <w:tc>
          <w:tcPr>
            <w:tcW w:w="2332" w:type="dxa"/>
            <w:gridSpan w:val="2"/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2392" w:type="dxa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310" w:firstLineChars="155"/>
              <w:rPr>
                <w:rFonts w:hint="default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第二产业</w:t>
            </w:r>
          </w:p>
        </w:tc>
        <w:tc>
          <w:tcPr>
            <w:tcW w:w="2332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wAfter w:w="0" w:type="auto"/>
          <w:cantSplit/>
          <w:trHeight w:val="454" w:hRule="atLeast"/>
          <w:jc w:val="center"/>
        </w:trPr>
        <w:tc>
          <w:tcPr>
            <w:tcW w:w="2392" w:type="dxa"/>
            <w:tcBorders>
              <w:bottom w:val="single" w:color="000000" w:sz="6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310" w:firstLineChars="155"/>
              <w:rPr>
                <w:rFonts w:hint="default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第三产业</w:t>
            </w:r>
          </w:p>
          <w:bookmarkEnd w:id="0"/>
        </w:tc>
        <w:tc>
          <w:tcPr>
            <w:tcW w:w="2332" w:type="dxa"/>
            <w:gridSpan w:val="2"/>
            <w:tcBorders>
              <w:bottom w:val="single" w:color="000000" w:sz="6" w:space="0"/>
            </w:tcBorders>
            <w:shd w:val="clear" w:color="auto" w:fill="E6FAF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000000" w:sz="12" w:space="0"/>
            <w:right w:val="none" w:color="auto" w:sz="0" w:space="0"/>
            <w:insideH w:val="none" w:color="auto" w:sz="0" w:space="0"/>
            <w:insideV w:val="single" w:color="000000" w:sz="2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2392" w:type="dxa"/>
            <w:tcBorders>
              <w:top w:val="single" w:color="000000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 w:firstLine="294" w:firstLineChars="147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三次产业比重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168" w:rightChars="80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（一产：二产：三产）</w:t>
            </w:r>
          </w:p>
        </w:tc>
        <w:tc>
          <w:tcPr>
            <w:tcW w:w="1369" w:type="dxa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11.1:45.4:43.5</w:t>
            </w:r>
          </w:p>
        </w:tc>
        <w:tc>
          <w:tcPr>
            <w:tcW w:w="963" w:type="dxa"/>
            <w:tcBorders>
              <w:top w:val="single" w:color="000000" w:sz="6" w:space="0"/>
              <w:bottom w:val="single" w:color="000000" w:sz="12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8.8:40.5:50.7</w:t>
            </w:r>
          </w:p>
        </w:tc>
      </w:tr>
    </w:tbl>
    <w:p>
      <w:pPr>
        <w:adjustRightInd w:val="0"/>
        <w:snapToGrid w:val="0"/>
        <w:spacing w:line="320" w:lineRule="exact"/>
        <w:jc w:val="left"/>
        <w:rPr>
          <w:rFonts w:hint="eastAsia" w:ascii="仿宋" w:hAnsi="仿宋" w:eastAsia="仿宋" w:cs="仿宋"/>
          <w:b/>
          <w:bCs/>
          <w:color w:val="auto"/>
          <w:w w:val="90"/>
          <w:sz w:val="18"/>
          <w:szCs w:val="18"/>
        </w:rPr>
      </w:pPr>
      <w:r>
        <w:rPr>
          <w:rFonts w:hint="eastAsia" w:ascii="仿宋" w:hAnsi="仿宋" w:eastAsia="仿宋" w:cs="仿宋"/>
          <w:b/>
          <w:bCs/>
          <w:color w:val="auto"/>
          <w:w w:val="90"/>
          <w:sz w:val="18"/>
          <w:szCs w:val="18"/>
        </w:rPr>
        <w:t>注：地区生产总值为季度核算。</w:t>
      </w:r>
    </w:p>
    <w:p>
      <w:pPr>
        <w:rPr>
          <w:rFonts w:eastAsia="黑体"/>
          <w:b/>
          <w:bCs/>
          <w:color w:val="auto"/>
          <w:spacing w:val="20"/>
          <w:sz w:val="28"/>
          <w:szCs w:val="28"/>
        </w:rPr>
      </w:pPr>
      <w:r>
        <w:rPr>
          <w:rFonts w:hint="eastAsia" w:eastAsia="黑体"/>
          <w:b/>
          <w:bCs/>
          <w:color w:val="auto"/>
          <w:spacing w:val="20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工  业</w:t>
      </w:r>
    </w:p>
    <w:tbl>
      <w:tblPr>
        <w:tblStyle w:val="6"/>
        <w:tblW w:w="4619" w:type="dxa"/>
        <w:jc w:val="center"/>
        <w:tblBorders>
          <w:top w:val="single" w:color="000000" w:sz="12" w:space="0"/>
          <w:left w:val="none" w:color="auto" w:sz="0" w:space="0"/>
          <w:bottom w:val="single" w:color="000000" w:sz="12" w:space="0"/>
          <w:right w:val="none" w:color="auto" w:sz="0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046"/>
        <w:gridCol w:w="1573"/>
      </w:tblGrid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" w:hRule="atLeast"/>
          <w:jc w:val="center"/>
        </w:trPr>
        <w:tc>
          <w:tcPr>
            <w:tcW w:w="3046" w:type="dxa"/>
            <w:vMerge w:val="restart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指  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1-11月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3046" w:type="dxa"/>
            <w:vMerge w:val="continue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1573" w:type="dxa"/>
            <w:tcBorders>
              <w:tl2br w:val="nil"/>
              <w:tr2bl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一、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规模以上工业增加值</w:t>
            </w:r>
          </w:p>
        </w:tc>
        <w:tc>
          <w:tcPr>
            <w:tcW w:w="1573" w:type="dxa"/>
            <w:tcBorders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7.</w:t>
            </w: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9</w:t>
            </w: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#轻工业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-13.4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重工业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14.4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#农副食品加工业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-9.9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 w:firstLine="18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医药制造业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-15.3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食品制造业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10.9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纺织服装、服饰业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-27.1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家具制造业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-45.7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 w:firstLine="18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石油和天然气开采业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0.6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 w:firstLine="18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开采专业及辅助性活动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9.1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 石油、煤炭及其他燃料加工业 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26.6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化学原料和化学制品制造业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18.3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105" w:leftChars="5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电线、电缆、光缆及电工器材制造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9.0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二、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规模以上工业总产值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2.4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工业产销率（%）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96.5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工业销售产值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-3.6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#出口交货值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-11.0 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三、工业经济效益（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1-10月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）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right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pict>
                <v:shape id="1042" o:spid="_x0000_s1026" o:spt="75" type="#_x0000_t75" style="position:absolute;left:0pt;margin-left:0pt;margin-top:0pt;height:0.85pt;width:203.25pt;z-index:251659264;mso-width-relative:page;mso-height-relative:page;" o:ole="t" filled="f" stroked="f" coordsize="21600,21600">
                  <v:path/>
                  <v:fill on="f" focussize="0,0"/>
                  <v:stroke on="f"/>
                  <v:imagedata r:id="rId7" embosscolor="#FFFFFF" o:title=""/>
                  <o:lock v:ext="edit" aspectratio="t"/>
                </v:shape>
                <o:OLEObject Type="Embed" ProgID="Excel.Chart.8" ShapeID="1042" DrawAspect="Content" ObjectID="_1468075725" r:id="rId6">
                  <o:LockedField>false</o:LockedField>
                </o:OLEObject>
              </w:pic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3" name="图表_2_SpCnt_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3" name="图表_2_SpCnt_3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4" name="图表_2_SpCnt_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图表_2_SpCnt_4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5" name="图表_2_SpCnt_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5" name="图表_2_SpCnt_5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6" name="图表_2_SpCnt_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6" name="图表_2_SpCnt_6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2581275" cy="10795"/>
                  <wp:effectExtent l="0" t="0" r="0" b="0"/>
                  <wp:wrapNone/>
                  <wp:docPr id="1047" name="图表_2_SpCnt_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7" name="图表_2_SpCnt_7"/>
                          <pic:cNvPicPr/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1275" cy="1079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营业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收入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-10.9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营业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成本</w:t>
            </w:r>
          </w:p>
        </w:tc>
        <w:tc>
          <w:tcPr>
            <w:tcW w:w="1573" w:type="dxa"/>
            <w:tcBorders>
              <w:top w:val="nil"/>
              <w:bottom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-12.6</w:t>
            </w: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single" w:color="000000" w:sz="12" w:space="0"/>
            <w:right w:val="none" w:color="auto" w:sz="0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1" w:hRule="atLeast"/>
          <w:jc w:val="center"/>
        </w:trPr>
        <w:tc>
          <w:tcPr>
            <w:tcW w:w="3046" w:type="dxa"/>
            <w:tcBorders>
              <w:top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利润总额</w:t>
            </w:r>
          </w:p>
        </w:tc>
        <w:tc>
          <w:tcPr>
            <w:tcW w:w="1573" w:type="dxa"/>
            <w:tcBorders>
              <w:top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eastAsia="宋体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 w:bidi="ar-SA"/>
              </w:rPr>
              <w:t>-40.3</w:t>
            </w:r>
          </w:p>
        </w:tc>
      </w:tr>
    </w:tbl>
    <w:p>
      <w:pPr>
        <w:jc w:val="center"/>
        <w:rPr>
          <w:rFonts w:ascii="黑体" w:hAnsi="黑体" w:eastAsia="黑体" w:cs="黑体"/>
          <w:b/>
          <w:bCs/>
          <w:color w:val="auto"/>
          <w:spacing w:val="57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val="en-US" w:eastAsia="zh-CN"/>
        </w:rPr>
        <w:t xml:space="preserve"> </w:t>
      </w: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固定资产投资    房地产</w:t>
      </w:r>
    </w:p>
    <w:tbl>
      <w:tblPr>
        <w:tblStyle w:val="6"/>
        <w:tblW w:w="4921" w:type="pct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3075"/>
        <w:gridCol w:w="169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4" w:hRule="atLeast"/>
        </w:trPr>
        <w:tc>
          <w:tcPr>
            <w:tcW w:w="3221" w:type="pct"/>
            <w:vMerge w:val="restart"/>
            <w:tcBorders>
              <w:top w:val="single" w:color="000000" w:sz="12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指  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1-11月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1778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3221" w:type="pct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1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21" w:type="pc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15"/>
                <w:szCs w:val="15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一、固定资产投资</w:t>
            </w:r>
          </w:p>
        </w:tc>
        <w:tc>
          <w:tcPr>
            <w:tcW w:w="1778" w:type="pct"/>
            <w:tcBorders>
              <w:top w:val="single" w:color="000000" w:sz="4" w:space="0"/>
              <w:left w:val="single" w:color="000000" w:sz="4" w:space="0"/>
              <w:bottom w:val="nil"/>
              <w:right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7.5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21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#第一产业</w:t>
            </w:r>
          </w:p>
        </w:tc>
        <w:tc>
          <w:tcPr>
            <w:tcW w:w="1778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133.2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21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第二产业</w:t>
            </w:r>
          </w:p>
        </w:tc>
        <w:tc>
          <w:tcPr>
            <w:tcW w:w="1778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23.4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21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 #工业</w:t>
            </w:r>
          </w:p>
        </w:tc>
        <w:tc>
          <w:tcPr>
            <w:tcW w:w="1778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23.4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21" w:type="pct"/>
            <w:tcBorders>
              <w:top w:val="nil"/>
              <w:left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40" w:firstLineChars="3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>第三产业</w:t>
            </w:r>
          </w:p>
        </w:tc>
        <w:tc>
          <w:tcPr>
            <w:tcW w:w="1778" w:type="pct"/>
            <w:tcBorders>
              <w:top w:val="nil"/>
              <w:left w:val="single" w:color="000000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-6.7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2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40" w:firstLineChars="3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房地产开发投资额（亿元）</w:t>
            </w:r>
          </w:p>
        </w:tc>
        <w:tc>
          <w:tcPr>
            <w:tcW w:w="1778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-7.5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2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#自筹资金</w:t>
            </w:r>
          </w:p>
        </w:tc>
        <w:tc>
          <w:tcPr>
            <w:tcW w:w="1778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-22.9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2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住宅类投资</w:t>
            </w:r>
          </w:p>
        </w:tc>
        <w:tc>
          <w:tcPr>
            <w:tcW w:w="1778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-17.0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2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二、项目建设</w:t>
            </w:r>
          </w:p>
        </w:tc>
        <w:tc>
          <w:tcPr>
            <w:tcW w:w="1778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2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40" w:firstLineChars="3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施工项目数（个）</w:t>
            </w:r>
          </w:p>
        </w:tc>
        <w:tc>
          <w:tcPr>
            <w:tcW w:w="1778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4.2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2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#新开工项目数</w:t>
            </w:r>
          </w:p>
        </w:tc>
        <w:tc>
          <w:tcPr>
            <w:tcW w:w="1778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-10.3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2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三、商品房建设与销售</w:t>
            </w:r>
          </w:p>
        </w:tc>
        <w:tc>
          <w:tcPr>
            <w:tcW w:w="1778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2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60" w:firstLineChars="2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月末商品房施工面积（万平方米）</w:t>
            </w:r>
          </w:p>
        </w:tc>
        <w:tc>
          <w:tcPr>
            <w:tcW w:w="1778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20.3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2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#住宅</w:t>
            </w:r>
          </w:p>
        </w:tc>
        <w:tc>
          <w:tcPr>
            <w:tcW w:w="1778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17.8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2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60" w:firstLineChars="2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商品房竣工面积（万平方米）</w:t>
            </w:r>
          </w:p>
        </w:tc>
        <w:tc>
          <w:tcPr>
            <w:tcW w:w="1778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379.8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2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540" w:firstLineChars="3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#住宅</w:t>
            </w:r>
          </w:p>
        </w:tc>
        <w:tc>
          <w:tcPr>
            <w:tcW w:w="1778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820.4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2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60" w:firstLineChars="2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商品房销售面积（万平方米）</w:t>
            </w:r>
          </w:p>
        </w:tc>
        <w:tc>
          <w:tcPr>
            <w:tcW w:w="1778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2.7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2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#住宅</w:t>
            </w:r>
          </w:p>
        </w:tc>
        <w:tc>
          <w:tcPr>
            <w:tcW w:w="1778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-5.7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21" w:type="pct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 w:firstLine="360" w:firstLineChars="20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月末商品房待售面积（万平方米）</w:t>
            </w:r>
          </w:p>
        </w:tc>
        <w:tc>
          <w:tcPr>
            <w:tcW w:w="1778" w:type="pct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168.6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6" w:hRule="atLeast"/>
        </w:trPr>
        <w:tc>
          <w:tcPr>
            <w:tcW w:w="3221" w:type="pct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</w:rPr>
              <w:t xml:space="preserve">     </w:t>
            </w:r>
            <w:r>
              <w:rPr>
                <w:rFonts w:hint="default" w:ascii="宋体" w:hAnsi="宋体" w:cs="宋体"/>
                <w:color w:val="auto"/>
                <w:kern w:val="0"/>
                <w:sz w:val="18"/>
                <w:szCs w:val="18"/>
              </w:rPr>
              <w:t>#住宅</w:t>
            </w:r>
          </w:p>
        </w:tc>
        <w:tc>
          <w:tcPr>
            <w:tcW w:w="1778" w:type="pct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509.0 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right="-159" w:rightChars="-76"/>
        <w:textAlignment w:val="auto"/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</w:pP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t>注：项目个数为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  <w:lang w:val="en-US" w:eastAsia="zh-CN"/>
        </w:rPr>
        <w:t>5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t>00万元以上固定资产投资项目和房地产开发项目，施工项目为本年在建项目，新开工项目为本年开工项目。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 xml:space="preserve"> 贸易   重点服务业</w:t>
      </w:r>
    </w:p>
    <w:tbl>
      <w:tblPr>
        <w:tblStyle w:val="6"/>
        <w:tblW w:w="4618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2"/>
        <w:gridCol w:w="13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282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left"/>
              <w:textAlignment w:val="center"/>
              <w:rPr>
                <w:rFonts w:hint="default" w:hAnsi="宋体" w:eastAsia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一、贸易（1-11月）</w:t>
            </w:r>
          </w:p>
        </w:tc>
        <w:tc>
          <w:tcPr>
            <w:tcW w:w="133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282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社会消费品零售额</w:t>
            </w:r>
          </w:p>
        </w:tc>
        <w:tc>
          <w:tcPr>
            <w:tcW w:w="133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color w:val="auto"/>
                <w:sz w:val="20"/>
                <w:szCs w:val="20"/>
              </w:rPr>
            </w:pPr>
            <w:r>
              <w:rPr>
                <w:rFonts w:hint="default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微软雅黑 Light" w:hAnsi="微软雅黑 Light" w:eastAsia="微软雅黑 Light" w:cs="微软雅黑 Light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#限额以上</w:t>
            </w:r>
          </w:p>
        </w:tc>
        <w:tc>
          <w:tcPr>
            <w:tcW w:w="133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7.0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jc w:val="left"/>
              <w:textAlignment w:val="center"/>
              <w:rPr>
                <w:rFonts w:hint="eastAsia" w:ascii="微软雅黑 Light" w:hAnsi="微软雅黑 Light" w:eastAsia="宋体" w:cs="微软雅黑 Light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限额以上</w:t>
            </w: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销售额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（营业额）</w:t>
            </w:r>
          </w:p>
        </w:tc>
        <w:tc>
          <w:tcPr>
            <w:tcW w:w="133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限上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批发业销售额</w:t>
            </w:r>
          </w:p>
        </w:tc>
        <w:tc>
          <w:tcPr>
            <w:tcW w:w="133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37.5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限上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零售业销售额</w:t>
            </w:r>
          </w:p>
        </w:tc>
        <w:tc>
          <w:tcPr>
            <w:tcW w:w="133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13.0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限上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住宿业营业额</w:t>
            </w:r>
          </w:p>
        </w:tc>
        <w:tc>
          <w:tcPr>
            <w:tcW w:w="1336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0.4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eastAsia="zh-CN"/>
              </w:rPr>
              <w:t>限上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餐饮业营业额</w:t>
            </w:r>
          </w:p>
        </w:tc>
        <w:tc>
          <w:tcPr>
            <w:tcW w:w="1336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-2.9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282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二、重点服务业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(1-10月）</w:t>
            </w: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6" w:hRule="atLeast"/>
          <w:jc w:val="center"/>
        </w:trPr>
        <w:tc>
          <w:tcPr>
            <w:tcW w:w="3282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133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Ansi="宋体"/>
                <w:b/>
                <w:bCs/>
                <w:color w:val="auto"/>
                <w:sz w:val="20"/>
              </w:rPr>
              <w:t>增速(%)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规模以上服务业营业收入</w:t>
            </w:r>
          </w:p>
        </w:tc>
        <w:tc>
          <w:tcPr>
            <w:tcW w:w="1336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1.7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其他交通运输和仓储业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1336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3282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其他营利性服务业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营业收入</w:t>
            </w:r>
          </w:p>
        </w:tc>
        <w:tc>
          <w:tcPr>
            <w:tcW w:w="1336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29.3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48" w:beforeLines="15" w:line="240" w:lineRule="exact"/>
        <w:ind w:right="-159" w:rightChars="-76"/>
        <w:textAlignment w:val="auto"/>
        <w:rPr>
          <w:rFonts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</w:pP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t>注：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  <w:lang w:eastAsia="zh-CN"/>
        </w:rPr>
        <w:t>自202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  <w:lang w:val="en-US" w:eastAsia="zh-CN"/>
        </w:rPr>
        <w:t>2</w:t>
      </w:r>
      <w:r>
        <w:rPr>
          <w:rFonts w:hint="eastAsia" w:ascii="仿宋" w:hAnsi="仿宋" w:eastAsia="仿宋" w:cs="仿宋"/>
          <w:b/>
          <w:bCs/>
          <w:color w:val="auto"/>
          <w:spacing w:val="-6"/>
          <w:w w:val="90"/>
          <w:sz w:val="16"/>
          <w:szCs w:val="16"/>
        </w:rPr>
        <w:t>年8月起，其他交通运输和仓储业统计口径为管道运输业、多式联运和运输代理业、装卸搬运和仓储业（剔除谷物、棉花等农产品仓储）。</w:t>
      </w:r>
    </w:p>
    <w:p>
      <w:pP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 xml:space="preserve">高新技术产业  文化产业   </w:t>
      </w:r>
    </w:p>
    <w:tbl>
      <w:tblPr>
        <w:tblStyle w:val="6"/>
        <w:tblW w:w="4695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660"/>
        <w:gridCol w:w="20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511" w:hRule="atLeast"/>
          <w:jc w:val="center"/>
        </w:trPr>
        <w:tc>
          <w:tcPr>
            <w:tcW w:w="2660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600" w:right="0" w:hanging="600" w:hangingChars="300"/>
              <w:jc w:val="left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</w:rPr>
              <w:t>一、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规上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高新技术产业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 xml:space="preserve">     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（前三季度）</w:t>
            </w:r>
          </w:p>
        </w:tc>
        <w:tc>
          <w:tcPr>
            <w:tcW w:w="203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398" w:hRule="atLeast"/>
          <w:jc w:val="center"/>
        </w:trPr>
        <w:tc>
          <w:tcPr>
            <w:tcW w:w="2660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2660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规上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高新技术产业增加值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15.1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制造业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建筑业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-3.4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wAfter w:w="0" w:type="auto"/>
          <w:trHeight w:val="49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 xml:space="preserve">    服务业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17.3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7" w:hRule="atLeast"/>
          <w:jc w:val="center"/>
        </w:trPr>
        <w:tc>
          <w:tcPr>
            <w:tcW w:w="2660" w:type="dxa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二、规上</w:t>
            </w: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文化产业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 w:line="240" w:lineRule="exact"/>
              <w:ind w:left="420" w:leftChars="200" w:right="0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eastAsia="zh-CN"/>
              </w:rPr>
              <w:t>（前三季度）</w:t>
            </w: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7" w:hRule="atLeast"/>
          <w:jc w:val="center"/>
        </w:trPr>
        <w:tc>
          <w:tcPr>
            <w:tcW w:w="2660" w:type="dxa"/>
            <w:vMerge w:val="continue"/>
            <w:tcBorders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</w:p>
        </w:tc>
        <w:tc>
          <w:tcPr>
            <w:tcW w:w="2035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(%)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single" w:color="000000" w:sz="4" w:space="0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eastAsia="宋体"/>
                <w:color w:va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val="en-US" w:eastAsia="zh-CN" w:bidi="ar-SA"/>
              </w:rPr>
              <w:t>规上文化产业营业收入</w:t>
            </w:r>
          </w:p>
        </w:tc>
        <w:tc>
          <w:tcPr>
            <w:tcW w:w="2035" w:type="dxa"/>
            <w:tcBorders>
              <w:top w:val="single" w:color="000000" w:sz="4" w:space="0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41.3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#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新闻信息服务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229.1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内容创作生产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创意设计服务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9.4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文化传播渠道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64.0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文化投资运营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文化娱乐休闲服务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-26.6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88" w:lineRule="auto"/>
              <w:ind w:left="0" w:right="0" w:firstLine="400" w:firstLineChars="200"/>
              <w:jc w:val="left"/>
              <w:textAlignment w:val="center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文化辅助生产和中介服务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110.0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rPr>
                <w:rFonts w:hint="default"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文化装备生产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  <w:jc w:val="center"/>
        </w:trPr>
        <w:tc>
          <w:tcPr>
            <w:tcW w:w="2660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pStyle w:val="5"/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00" w:firstLineChars="200"/>
              <w:jc w:val="both"/>
              <w:rPr>
                <w:rFonts w:hint="default"/>
                <w:b/>
                <w:bCs/>
                <w:color w:val="auto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>文化消费终端生产</w:t>
            </w:r>
          </w:p>
        </w:tc>
        <w:tc>
          <w:tcPr>
            <w:tcW w:w="2035" w:type="dxa"/>
            <w:tcBorders>
              <w:top w:val="nil"/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-14.8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供电  对外经济</w:t>
      </w:r>
    </w:p>
    <w:tbl>
      <w:tblPr>
        <w:tblStyle w:val="6"/>
        <w:tblW w:w="4591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813"/>
        <w:gridCol w:w="2778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1813" w:type="dxa"/>
            <w:vMerge w:val="restart"/>
            <w:tcBorders>
              <w:top w:val="single" w:color="auto" w:sz="12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指标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1-11月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27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潜江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6" w:hRule="atLeast"/>
          <w:jc w:val="center"/>
        </w:trPr>
        <w:tc>
          <w:tcPr>
            <w:tcW w:w="1813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增速</w:t>
            </w:r>
            <w:r>
              <w:rPr>
                <w:rFonts w:hint="eastAsia" w:hAnsi="宋体"/>
                <w:b/>
                <w:bCs/>
                <w:color w:val="auto"/>
                <w:sz w:val="20"/>
              </w:rPr>
              <w:t>(</w:t>
            </w:r>
            <w:r>
              <w:rPr>
                <w:rFonts w:hint="default" w:hAnsi="宋体"/>
                <w:b/>
                <w:bCs/>
                <w:color w:val="auto"/>
                <w:sz w:val="20"/>
              </w:rPr>
              <w:t>%)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left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一、全社会用电量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000000" w:sz="4" w:space="0"/>
              <w:bottom w:val="nil"/>
              <w:right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5.5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#一产业</w:t>
            </w:r>
          </w:p>
        </w:tc>
        <w:tc>
          <w:tcPr>
            <w:tcW w:w="277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6.9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二产业</w:t>
            </w:r>
          </w:p>
        </w:tc>
        <w:tc>
          <w:tcPr>
            <w:tcW w:w="277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5.6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#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工业</w:t>
            </w:r>
          </w:p>
        </w:tc>
        <w:tc>
          <w:tcPr>
            <w:tcW w:w="277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5.8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三产业</w:t>
            </w:r>
          </w:p>
        </w:tc>
        <w:tc>
          <w:tcPr>
            <w:tcW w:w="277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6.0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bCs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 xml:space="preserve">  #城乡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居民生活用电量</w:t>
            </w:r>
          </w:p>
        </w:tc>
        <w:tc>
          <w:tcPr>
            <w:tcW w:w="2778" w:type="dxa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  <w:t xml:space="preserve">4.5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eastAsia" w:ascii="宋体" w:hAnsi="宋体" w:eastAsia="宋体" w:cs="宋体"/>
                <w:b/>
                <w:color w:val="auto"/>
                <w:kern w:val="0"/>
                <w:sz w:val="20"/>
                <w:szCs w:val="20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二、对外经济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增速（%）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813" w:type="dxa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进出口总额</w:t>
            </w:r>
          </w:p>
        </w:tc>
        <w:tc>
          <w:tcPr>
            <w:tcW w:w="2778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-15.0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atLeast"/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>#进口</w:t>
            </w:r>
          </w:p>
        </w:tc>
        <w:tc>
          <w:tcPr>
            <w:tcW w:w="277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-14.1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1813" w:type="dxa"/>
            <w:tcBorders>
              <w:top w:val="nil"/>
              <w:left w:val="nil"/>
              <w:bottom w:val="nil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  </w:t>
            </w:r>
            <w:r>
              <w:rPr>
                <w:rFonts w:hint="default" w:ascii="宋体" w:hAnsi="宋体" w:cs="宋体"/>
                <w:bCs/>
                <w:color w:val="auto"/>
                <w:kern w:val="0"/>
                <w:sz w:val="20"/>
                <w:szCs w:val="20"/>
              </w:rPr>
              <w:t xml:space="preserve"> 出口</w:t>
            </w:r>
          </w:p>
        </w:tc>
        <w:tc>
          <w:tcPr>
            <w:tcW w:w="2778" w:type="dxa"/>
            <w:tcBorders>
              <w:top w:val="nil"/>
              <w:left w:val="single" w:color="auto" w:sz="4" w:space="0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-21.1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jc w:val="center"/>
        </w:trPr>
        <w:tc>
          <w:tcPr>
            <w:tcW w:w="1813" w:type="dxa"/>
            <w:tcBorders>
              <w:top w:val="nil"/>
              <w:left w:val="nil"/>
              <w:bottom w:val="single" w:color="auto" w:sz="12" w:space="0"/>
              <w:right w:val="single" w:color="auto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default" w:ascii="宋体" w:hAnsi="宋体" w:eastAsia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auto"/>
                <w:kern w:val="0"/>
                <w:sz w:val="20"/>
                <w:szCs w:val="20"/>
                <w:lang w:val="en-US" w:eastAsia="zh-CN"/>
              </w:rPr>
              <w:t>实际使用外资（1-10月 万美元）</w:t>
            </w:r>
          </w:p>
        </w:tc>
        <w:tc>
          <w:tcPr>
            <w:tcW w:w="2778" w:type="dxa"/>
            <w:tcBorders>
              <w:top w:val="nil"/>
              <w:left w:val="single" w:color="auto" w:sz="4" w:space="0"/>
              <w:bottom w:val="single" w:color="auto" w:sz="12" w:space="0"/>
              <w:right w:val="nil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20"/>
                <w:szCs w:val="20"/>
                <w:lang w:val="en-US" w:eastAsia="zh-CN"/>
              </w:rPr>
              <w:t>-25.0</w:t>
            </w:r>
          </w:p>
        </w:tc>
      </w:tr>
    </w:tbl>
    <w:p>
      <w:pPr>
        <w:spacing w:line="180" w:lineRule="exact"/>
        <w:rPr>
          <w:rFonts w:hint="eastAsia" w:ascii="Calibri" w:hAnsi="Calibri" w:eastAsia="仿宋" w:cs="Calibri"/>
          <w:b/>
          <w:bCs/>
          <w:color w:val="auto"/>
          <w:sz w:val="16"/>
          <w:szCs w:val="16"/>
        </w:rPr>
      </w:pPr>
      <w:r>
        <w:rPr>
          <w:rFonts w:hint="eastAsia" w:eastAsia="仿宋"/>
          <w:b/>
          <w:bCs/>
          <w:color w:val="auto"/>
          <w:sz w:val="16"/>
          <w:szCs w:val="16"/>
        </w:rPr>
        <w:t>注：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</w:rPr>
        <w:t>自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eastAsia="zh-CN"/>
        </w:rPr>
        <w:t>202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  <w:lang w:val="en-US" w:eastAsia="zh-CN"/>
        </w:rPr>
        <w:t>2</w:t>
      </w:r>
      <w:r>
        <w:rPr>
          <w:rFonts w:hint="eastAsia" w:ascii="Calibri" w:hAnsi="Calibri" w:eastAsia="仿宋" w:cs="Calibri"/>
          <w:b/>
          <w:bCs/>
          <w:color w:val="auto"/>
          <w:sz w:val="16"/>
          <w:szCs w:val="16"/>
        </w:rPr>
        <w:t>年7月起，实际使用外资采用商务厅反馈数据。</w:t>
      </w:r>
    </w:p>
    <w:p>
      <w:pPr>
        <w:spacing w:line="180" w:lineRule="exact"/>
        <w:rPr>
          <w:rFonts w:ascii="黑体" w:hAnsi="黑体" w:eastAsia="黑体" w:cs="黑体"/>
          <w:b/>
          <w:bCs/>
          <w:color w:val="auto"/>
          <w:spacing w:val="57"/>
          <w:sz w:val="28"/>
          <w:szCs w:val="28"/>
        </w:rPr>
      </w:pPr>
      <w:r>
        <w:rPr>
          <w:rFonts w:hint="eastAsia" w:ascii="黑体" w:hAnsi="黑体" w:eastAsia="黑体" w:cs="黑体"/>
          <w:b/>
          <w:bCs/>
          <w:color w:val="auto"/>
          <w:spacing w:val="57"/>
          <w:sz w:val="28"/>
          <w:szCs w:val="28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  <w:t>财  政  收  支</w:t>
      </w:r>
    </w:p>
    <w:tbl>
      <w:tblPr>
        <w:tblStyle w:val="6"/>
        <w:tblW w:w="4712" w:type="pct"/>
        <w:jc w:val="center"/>
        <w:tblBorders>
          <w:top w:val="single" w:color="000000" w:sz="4" w:space="0"/>
          <w:left w:val="none" w:color="auto" w:sz="0" w:space="0"/>
          <w:bottom w:val="single" w:color="000000" w:sz="4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22"/>
        <w:gridCol w:w="1949"/>
      </w:tblGrid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jc w:val="center"/>
        </w:trPr>
        <w:tc>
          <w:tcPr>
            <w:tcW w:w="2868" w:type="pct"/>
            <w:vMerge w:val="restart"/>
            <w:tcBorders>
              <w:top w:val="single" w:color="000000" w:sz="12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 w:eastAsia="宋体"/>
                <w:b/>
                <w:bCs/>
                <w:color w:val="auto"/>
                <w:sz w:val="20"/>
                <w:lang w:eastAsia="zh-CN"/>
              </w:rPr>
            </w:pPr>
            <w:r>
              <w:rPr>
                <w:rFonts w:hint="default" w:hAnsi="宋体"/>
                <w:b/>
                <w:bCs/>
                <w:color w:val="auto"/>
                <w:sz w:val="20"/>
              </w:rPr>
              <w:t>指标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（</w:t>
            </w: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1-11月</w:t>
            </w:r>
            <w:r>
              <w:rPr>
                <w:rFonts w:hint="eastAsia" w:hAnsi="宋体"/>
                <w:b/>
                <w:bCs/>
                <w:color w:val="auto"/>
                <w:sz w:val="20"/>
                <w:lang w:eastAsia="zh-CN"/>
              </w:rPr>
              <w:t>）</w:t>
            </w:r>
          </w:p>
        </w:tc>
        <w:tc>
          <w:tcPr>
            <w:tcW w:w="2131" w:type="pct"/>
            <w:tcBorders>
              <w:top w:val="single" w:color="000000" w:sz="12" w:space="0"/>
              <w:left w:val="single" w:color="000000" w:sz="4" w:space="0"/>
              <w:bottom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潜江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1" w:hRule="atLeast"/>
          <w:jc w:val="center"/>
        </w:trPr>
        <w:tc>
          <w:tcPr>
            <w:tcW w:w="2868" w:type="pct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hAnsi="宋体"/>
                <w:b/>
                <w:bCs/>
                <w:color w:val="auto"/>
                <w:sz w:val="20"/>
              </w:rPr>
            </w:pPr>
          </w:p>
        </w:tc>
        <w:tc>
          <w:tcPr>
            <w:tcW w:w="213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</w:rPr>
              <w:t>增速(%)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68" w:type="pct"/>
            <w:tcBorders>
              <w:top w:val="single" w:color="000000" w:sz="4" w:space="0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地方财政总收入</w:t>
            </w:r>
          </w:p>
        </w:tc>
        <w:tc>
          <w:tcPr>
            <w:tcW w:w="2131" w:type="pct"/>
            <w:tcBorders>
              <w:top w:val="single" w:color="000000" w:sz="4" w:space="0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54.8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68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#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地方一般公共预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算收入</w:t>
            </w:r>
          </w:p>
        </w:tc>
        <w:tc>
          <w:tcPr>
            <w:tcW w:w="2131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21.8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68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#税收收入</w:t>
            </w:r>
          </w:p>
        </w:tc>
        <w:tc>
          <w:tcPr>
            <w:tcW w:w="2131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36" w:lineRule="exact"/>
              <w:ind w:left="0" w:leftChars="0" w:right="0" w:rightChars="0"/>
              <w:jc w:val="center"/>
              <w:textAlignment w:val="center"/>
              <w:rPr>
                <w:rFonts w:hint="default" w:ascii="Times New Roman" w:hAnsi="宋体" w:eastAsia="宋体" w:cs="Times New Roman"/>
                <w:b/>
                <w:bCs/>
                <w:color w:val="auto"/>
                <w:kern w:val="2"/>
                <w:sz w:val="20"/>
                <w:szCs w:val="24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68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非税收收入</w:t>
            </w:r>
          </w:p>
        </w:tc>
        <w:tc>
          <w:tcPr>
            <w:tcW w:w="2131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22.1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68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微软雅黑 Light" w:hAnsi="微软雅黑 Light" w:eastAsia="微软雅黑 Light" w:cs="微软雅黑 Light"/>
                <w:b/>
                <w:color w:val="auto"/>
                <w:sz w:val="20"/>
                <w:szCs w:val="20"/>
              </w:rPr>
            </w:pPr>
            <w:r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</w:rPr>
              <w:t>财政支出</w:t>
            </w:r>
          </w:p>
        </w:tc>
        <w:tc>
          <w:tcPr>
            <w:tcW w:w="2131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21.6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68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#一般公共服务</w:t>
            </w:r>
          </w:p>
        </w:tc>
        <w:tc>
          <w:tcPr>
            <w:tcW w:w="2131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-33.0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68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公共安全</w:t>
            </w:r>
          </w:p>
        </w:tc>
        <w:tc>
          <w:tcPr>
            <w:tcW w:w="2131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48.5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68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教育</w:t>
            </w:r>
          </w:p>
        </w:tc>
        <w:tc>
          <w:tcPr>
            <w:tcW w:w="2131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10.2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68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科学技术</w:t>
            </w:r>
          </w:p>
        </w:tc>
        <w:tc>
          <w:tcPr>
            <w:tcW w:w="2131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53.2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68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社会保障与就业</w:t>
            </w:r>
          </w:p>
        </w:tc>
        <w:tc>
          <w:tcPr>
            <w:tcW w:w="2131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27.9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68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宋体" w:hAnsi="宋体" w:cs="宋体"/>
                <w:color w:val="auto"/>
                <w:kern w:val="0"/>
                <w:sz w:val="20"/>
                <w:szCs w:val="20"/>
              </w:rPr>
              <w:t>卫生健康</w:t>
            </w:r>
          </w:p>
        </w:tc>
        <w:tc>
          <w:tcPr>
            <w:tcW w:w="2131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6.8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68" w:type="pct"/>
            <w:tcBorders>
              <w:top w:val="nil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节能环保</w:t>
            </w:r>
          </w:p>
        </w:tc>
        <w:tc>
          <w:tcPr>
            <w:tcW w:w="2131" w:type="pct"/>
            <w:tcBorders>
              <w:top w:val="nil"/>
              <w:left w:val="single" w:color="000000" w:sz="4" w:space="0"/>
              <w:bottom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713.6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68" w:type="pct"/>
            <w:tcBorders>
              <w:top w:val="nil"/>
              <w:bottom w:val="nil"/>
              <w:right w:val="single" w:color="000000" w:sz="4" w:space="0"/>
            </w:tcBorders>
            <w:shd w:val="clear" w:color="auto" w:fill="E6FAF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 xml:space="preserve">  城乡社区事务</w:t>
            </w:r>
          </w:p>
        </w:tc>
        <w:tc>
          <w:tcPr>
            <w:tcW w:w="2131" w:type="pct"/>
            <w:tcBorders>
              <w:top w:val="nil"/>
              <w:left w:val="single" w:color="000000" w:sz="4" w:space="0"/>
              <w:bottom w:val="nil"/>
            </w:tcBorders>
            <w:shd w:val="clear" w:color="auto" w:fill="E6FAF0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-12.7</w:t>
            </w:r>
          </w:p>
        </w:tc>
      </w:tr>
      <w:tr>
        <w:tblPrEx>
          <w:tblBorders>
            <w:top w:val="single" w:color="000000" w:sz="4" w:space="0"/>
            <w:left w:val="none" w:color="auto" w:sz="0" w:space="0"/>
            <w:bottom w:val="single" w:color="000000" w:sz="4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2868" w:type="pct"/>
            <w:tcBorders>
              <w:top w:val="nil"/>
              <w:bottom w:val="single" w:color="000000" w:sz="12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200" w:firstLineChars="100"/>
              <w:textAlignment w:val="center"/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</w:pPr>
            <w:r>
              <w:rPr>
                <w:rFonts w:hint="default" w:ascii="宋体" w:hAnsi="宋体" w:cs="宋体"/>
                <w:color w:val="auto"/>
                <w:kern w:val="0"/>
                <w:sz w:val="20"/>
                <w:szCs w:val="20"/>
              </w:rPr>
              <w:t>文化旅游体育与传媒支出</w:t>
            </w:r>
          </w:p>
        </w:tc>
        <w:tc>
          <w:tcPr>
            <w:tcW w:w="2131" w:type="pct"/>
            <w:tcBorders>
              <w:top w:val="nil"/>
              <w:left w:val="single" w:color="000000" w:sz="4" w:space="0"/>
              <w:bottom w:val="single" w:color="000000" w:sz="12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20"/>
                <w:szCs w:val="20"/>
                <w:lang w:val="en-US" w:eastAsia="zh-CN"/>
              </w:rPr>
              <w:t>99.3</w:t>
            </w:r>
          </w:p>
        </w:tc>
      </w:tr>
    </w:tbl>
    <w:p>
      <w:pPr>
        <w:rPr>
          <w:rFonts w:eastAsia="仿宋"/>
          <w:color w:val="auto"/>
        </w:rPr>
      </w:pPr>
      <w:r>
        <w:rPr>
          <w:rFonts w:hint="eastAsia" w:eastAsia="仿宋"/>
          <w:color w:val="auto"/>
        </w:rPr>
        <w:br w:type="page"/>
      </w:r>
    </w:p>
    <w:p>
      <w:pPr>
        <w:keepNext w:val="0"/>
        <w:keepLines w:val="0"/>
        <w:pageBreakBefore w:val="0"/>
        <w:widowControl w:val="0"/>
        <w:shd w:val="clear" w:fill="E6FAF0"/>
        <w:kinsoku/>
        <w:wordWrap/>
        <w:overflowPunct w:val="0"/>
        <w:topLinePunct w:val="0"/>
        <w:autoSpaceDE/>
        <w:autoSpaceDN/>
        <w:bidi w:val="0"/>
        <w:adjustRightInd/>
        <w:snapToGrid/>
        <w:spacing w:line="370" w:lineRule="exact"/>
        <w:ind w:right="-218" w:rightChars="-104"/>
        <w:jc w:val="center"/>
        <w:textAlignment w:val="auto"/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eastAsia="zh-CN"/>
        </w:rPr>
      </w:pPr>
      <w:r>
        <w:rPr>
          <w:rFonts w:hint="eastAsia" w:ascii="黑体" w:hAnsi="黑体" w:eastAsia="黑体" w:cs="黑体"/>
          <w:b/>
          <w:bCs/>
          <w:color w:val="auto"/>
          <w:w w:val="98"/>
          <w:sz w:val="28"/>
          <w:szCs w:val="28"/>
          <w:highlight w:val="green"/>
          <w:shd w:val="clear" w:color="auto" w:fill="auto"/>
          <w:lang w:val="en-US" w:eastAsia="zh-CN"/>
        </w:rPr>
        <w:t>市场主体发展情况</w:t>
      </w:r>
    </w:p>
    <w:tbl>
      <w:tblPr>
        <w:tblStyle w:val="6"/>
        <w:tblW w:w="4789" w:type="pct"/>
        <w:jc w:val="center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56"/>
        <w:gridCol w:w="246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334" w:type="pct"/>
            <w:vMerge w:val="restart"/>
            <w:tcBorders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eastAsia" w:hAnsi="宋体"/>
                <w:b/>
                <w:bCs/>
                <w:color w:val="auto"/>
                <w:sz w:val="18"/>
                <w:szCs w:val="18"/>
                <w:lang w:val="en-US" w:eastAsia="zh-CN"/>
              </w:rPr>
              <w:t>指标（1-11月）</w:t>
            </w:r>
          </w:p>
        </w:tc>
        <w:tc>
          <w:tcPr>
            <w:tcW w:w="2665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</w:pPr>
            <w:bookmarkStart w:id="1" w:name="_GoBack"/>
            <w:bookmarkEnd w:id="1"/>
            <w:r>
              <w:rPr>
                <w:rFonts w:hint="eastAsia" w:hAnsi="宋体"/>
                <w:b/>
                <w:bCs/>
                <w:color w:val="auto"/>
                <w:sz w:val="20"/>
                <w:lang w:val="en-US" w:eastAsia="zh-CN"/>
              </w:rPr>
              <w:t>潜江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2334" w:type="pct"/>
            <w:vMerge w:val="continue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auto"/>
                <w:sz w:val="20"/>
                <w:szCs w:val="20"/>
                <w:u w:val="none"/>
                <w:lang w:val="en-US" w:eastAsia="zh-CN"/>
              </w:rPr>
            </w:pPr>
          </w:p>
        </w:tc>
        <w:tc>
          <w:tcPr>
            <w:tcW w:w="2665" w:type="pct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auto"/>
                <w:kern w:val="0"/>
                <w:sz w:val="20"/>
                <w:szCs w:val="20"/>
                <w:lang w:val="en-US" w:eastAsia="zh-CN"/>
              </w:rPr>
              <w:t>增速（%）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single" w:color="auto" w:sz="4" w:space="0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18"/>
                <w:szCs w:val="18"/>
                <w:lang w:val="en-US" w:eastAsia="zh-CN"/>
              </w:rPr>
              <w:t>各类市场主体总户数</w:t>
            </w:r>
          </w:p>
        </w:tc>
        <w:tc>
          <w:tcPr>
            <w:tcW w:w="2665" w:type="pct"/>
            <w:tcBorders>
              <w:top w:val="single" w:color="auto" w:sz="4" w:space="0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19.8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总注册资本(金)总额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28.9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新发展户数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30.1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新发展注册资本(金)数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auto"/>
                <w:kern w:val="0"/>
                <w:sz w:val="18"/>
                <w:szCs w:val="18"/>
                <w:lang w:val="en-US" w:eastAsia="zh-CN"/>
              </w:rPr>
              <w:t>68.5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center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一、国有集体及其控股企业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企业总数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4.4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注册资本(金)总数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82.1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-37.3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 w:firstLine="171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w w:val="95"/>
                <w:kern w:val="0"/>
                <w:sz w:val="18"/>
                <w:szCs w:val="18"/>
                <w:u w:val="none"/>
                <w:lang w:val="en-US" w:eastAsia="zh-CN" w:bidi="ar"/>
              </w:rPr>
              <w:t>新登记注册资本(金)数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44.8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center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二、外商投资企业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企业总数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1.1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注册资本总数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 w:cs="Times New Roman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 w:cs="Times New Roman"/>
                <w:color w:val="auto"/>
                <w:kern w:val="0"/>
                <w:sz w:val="18"/>
                <w:szCs w:val="18"/>
                <w:lang w:val="en-US" w:eastAsia="zh-CN"/>
              </w:rPr>
              <w:t>25.9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100.0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10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>新登记注册资本数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3479.0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center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三、私营企业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企业总数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81.5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注册资本(金)总数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14.1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350.5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 w:firstLine="171" w:firstLineChars="10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w w:val="95"/>
                <w:kern w:val="0"/>
                <w:sz w:val="18"/>
                <w:szCs w:val="18"/>
                <w:u w:val="none"/>
                <w:lang w:val="en-US" w:eastAsia="zh-CN" w:bidi="ar"/>
              </w:rPr>
              <w:t>新登记注册资本(金)数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105.6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四、个体工商户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个体工商户总数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6.8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资金数额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10.7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-26.2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新登记资金数额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-11.4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left"/>
              <w:textAlignment w:val="center"/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</w:pPr>
            <w:r>
              <w:rPr>
                <w:rStyle w:val="9"/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 w:bidi="ar"/>
              </w:rPr>
              <w:t>五、农民专业合作社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2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农民专业合作社总数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11.2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出资总额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6.5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" w:hRule="atLeast"/>
          <w:jc w:val="center"/>
        </w:trPr>
        <w:tc>
          <w:tcPr>
            <w:tcW w:w="2334" w:type="pct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新登记数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  <w:bottom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41.3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" w:hRule="atLeast"/>
          <w:jc w:val="center"/>
        </w:trPr>
        <w:tc>
          <w:tcPr>
            <w:tcW w:w="2334" w:type="pct"/>
            <w:tcBorders>
              <w:top w:val="nil"/>
              <w:right w:val="single" w:color="auto" w:sz="4" w:space="0"/>
            </w:tcBorders>
            <w:shd w:val="clear" w:color="auto" w:fill="E6FAF0"/>
            <w:noWrap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both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auto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  新登记出资总额</w:t>
            </w:r>
          </w:p>
        </w:tc>
        <w:tc>
          <w:tcPr>
            <w:tcW w:w="2665" w:type="pct"/>
            <w:tcBorders>
              <w:top w:val="nil"/>
              <w:left w:val="single" w:color="auto" w:sz="4" w:space="0"/>
            </w:tcBorders>
            <w:shd w:val="clear" w:color="auto" w:fill="E6FAF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180" w:lineRule="exact"/>
              <w:ind w:left="0" w:right="0"/>
              <w:jc w:val="center"/>
              <w:textAlignment w:val="center"/>
              <w:rPr>
                <w:rFonts w:hint="default"/>
                <w:color w:val="auto"/>
                <w:kern w:val="0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kern w:val="0"/>
                <w:sz w:val="18"/>
                <w:szCs w:val="18"/>
                <w:lang w:val="en-US" w:eastAsia="zh-CN"/>
              </w:rPr>
              <w:t>14.9</w:t>
            </w:r>
          </w:p>
        </w:tc>
      </w:tr>
    </w:tbl>
    <w:p>
      <w:pPr>
        <w:rPr>
          <w:rFonts w:eastAsia="仿宋"/>
          <w:color w:val="auto"/>
        </w:rPr>
      </w:pPr>
      <w:r>
        <w:rPr>
          <w:rFonts w:hint="eastAsia" w:eastAsia="仿宋"/>
          <w:color w:val="auto"/>
        </w:rPr>
        <w:br w:type="page"/>
      </w:r>
    </w:p>
    <w:p/>
    <w:p/>
    <w:sectPr>
      <w:headerReference r:id="rId3" w:type="default"/>
      <w:footerReference r:id="rId4" w:type="default"/>
      <w:pgSz w:w="5954" w:h="10773"/>
      <w:pgMar w:top="851" w:right="567" w:bottom="851" w:left="567" w:header="567" w:footer="680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 Light">
    <w:altName w:val="黑体"/>
    <w:panose1 w:val="020B0502040204020203"/>
    <w:charset w:val="86"/>
    <w:family w:val="swiss"/>
    <w:pitch w:val="default"/>
    <w:sig w:usb0="00000000" w:usb1="0000000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8"/>
        <w:sz w:val="24"/>
        <w:szCs w:val="24"/>
      </w:rPr>
    </w:pPr>
    <w:r>
      <w:rPr>
        <w:rStyle w:val="8"/>
        <w:rFonts w:hint="eastAsia"/>
        <w:sz w:val="24"/>
        <w:szCs w:val="24"/>
      </w:rPr>
      <w:t>—</w:t>
    </w:r>
    <w:r>
      <w:rPr>
        <w:sz w:val="24"/>
        <w:szCs w:val="24"/>
      </w:rPr>
      <w:fldChar w:fldCharType="begin"/>
    </w:r>
    <w:r>
      <w:rPr>
        <w:rStyle w:val="8"/>
        <w:sz w:val="24"/>
        <w:szCs w:val="24"/>
      </w:rPr>
      <w:instrText xml:space="preserve">PAGE  </w:instrText>
    </w:r>
    <w:r>
      <w:rPr>
        <w:sz w:val="24"/>
        <w:szCs w:val="24"/>
      </w:rPr>
      <w:fldChar w:fldCharType="separate"/>
    </w:r>
    <w:r>
      <w:rPr>
        <w:rStyle w:val="8"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Style w:val="8"/>
        <w:rFonts w:hint="eastAsia"/>
        <w:sz w:val="24"/>
        <w:szCs w:val="24"/>
      </w:rPr>
      <w:t>—</w:t>
    </w:r>
  </w:p>
  <w:p>
    <w:pPr>
      <w:pStyle w:val="3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U3ZWVhZGM1ZTgxNDMwMTdiMjA5Y2VkZDNjOWJkNzkifQ=="/>
  </w:docVars>
  <w:rsids>
    <w:rsidRoot w:val="09127E93"/>
    <w:rsid w:val="09127E93"/>
    <w:rsid w:val="713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nhideWhenUsed="0" w:uiPriority="99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文本缩进 2 Char Char"/>
    <w:basedOn w:val="1"/>
    <w:autoRedefine/>
    <w:qFormat/>
    <w:uiPriority w:val="0"/>
    <w:pPr>
      <w:spacing w:beforeAutospacing="1" w:line="480" w:lineRule="auto"/>
      <w:ind w:left="420" w:leftChars="200"/>
    </w:pPr>
    <w:rPr>
      <w:sz w:val="32"/>
      <w:szCs w:val="32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footnote text"/>
    <w:basedOn w:val="1"/>
    <w:autoRedefine/>
    <w:qFormat/>
    <w:uiPriority w:val="99"/>
    <w:pPr>
      <w:snapToGrid w:val="0"/>
      <w:jc w:val="left"/>
    </w:pPr>
    <w:rPr>
      <w:sz w:val="18"/>
      <w:szCs w:val="18"/>
    </w:r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font41"/>
    <w:basedOn w:val="7"/>
    <w:autoRedefine/>
    <w:qFormat/>
    <w:uiPriority w:val="0"/>
    <w:rPr>
      <w:rFonts w:hint="eastAsia" w:ascii="宋体" w:hAnsi="宋体" w:eastAsia="宋体" w:cs="宋体"/>
      <w:b/>
      <w:bCs/>
      <w:color w:val="000000"/>
      <w:sz w:val="20"/>
      <w:szCs w:val="20"/>
      <w:u w:val="none"/>
    </w:rPr>
  </w:style>
  <w:style w:type="character" w:customStyle="1" w:styleId="10">
    <w:name w:val="font101"/>
    <w:basedOn w:val="7"/>
    <w:autoRedefine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oleObject" Target="embeddings/oleObject1.bin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2024-01-02T08:44:00Z</dcterms:created>
  <dc:creator>徐倩倩</dc:creator>
  <cp:lastModifiedBy>徐倩倩</cp:lastModifiedBy>
  <dcterms:modified xsi:type="dcterms:W3CDTF">2024-02-28T03:21:50Z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E85882909AB44B0B8A4A9D778EE04305_13</vt:lpwstr>
  </property>
</Properties>
</file>