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2016年潜江市总工会决算公开补充资料</w:t>
      </w:r>
    </w:p>
    <w:p>
      <w:pPr>
        <w:numPr>
          <w:ilvl w:val="0"/>
          <w:numId w:val="0"/>
        </w:numPr>
        <w:rPr>
          <w:rFonts w:hint="eastAsia" w:ascii="黑体" w:hAnsi="黑体" w:eastAsia="黑体" w:cs="黑体"/>
          <w:sz w:val="44"/>
          <w:szCs w:val="44"/>
          <w:lang w:val="en-US" w:eastAsia="zh-CN"/>
        </w:rPr>
      </w:pP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机关运行经费执行情况说明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（一）收入总计</w:t>
      </w:r>
      <w:r>
        <w:rPr>
          <w:rFonts w:hint="default" w:ascii="仿宋" w:hAnsi="仿宋" w:eastAsia="仿宋" w:cs="仿宋"/>
          <w:kern w:val="2"/>
          <w:sz w:val="32"/>
          <w:szCs w:val="32"/>
          <w:lang w:val="en-US" w:eastAsia="zh-CN" w:bidi="ar-SA"/>
        </w:rPr>
        <w:t>1040.44万元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2016年度部门决算总收入1040.44万元，其中本年收入758.78万元。具体情况如下：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1.财政拨款收入429.69万元，其中政府性基金为0。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2.事业收入为0。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3.经营收入为0。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4.上级补助收入为0。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5.附属单位上缴收入为0。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6.其他收入329.09万元。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7.用事业基金弥补收支差额为0。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8.上年结转和结余281.66万元。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（二）支出总计1040.44万元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left"/>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2016年度部门决算总支出1040.44万元，其中本年支出650.58万元。具体情况如下：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1.基本支出384.69万元。其中，人员支出337.01万元，对个人和家庭补助支出112.48万元，公用支出47.68万元。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2.项目支出265.89万元。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3.上缴上级支出为0。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4.经营支出为0。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5.对附属单位补助支出为0。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6.结余分配0万元。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仿宋" w:hAnsi="仿宋" w:eastAsia="仿宋" w:cs="仿宋"/>
          <w:sz w:val="32"/>
          <w:szCs w:val="32"/>
          <w:lang w:val="en-US" w:eastAsia="zh-CN"/>
        </w:rPr>
      </w:pPr>
      <w:r>
        <w:rPr>
          <w:rFonts w:hint="default" w:ascii="仿宋" w:hAnsi="仿宋" w:eastAsia="仿宋" w:cs="仿宋"/>
          <w:kern w:val="2"/>
          <w:sz w:val="32"/>
          <w:szCs w:val="32"/>
          <w:lang w:val="en-US" w:eastAsia="zh-CN" w:bidi="ar-SA"/>
        </w:rPr>
        <w:t>7.年末结转结余389.86万元。</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政府采购执行情况说明</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2016年使用财政性资金政府采购办公用品共1.8万元。</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（一）财政拨款（补助）收入：指市财政当年拨付的资金。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（二）其他收入：指除上述“财政拨款收入”等以外的财政部交办任务相应安排的资金。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（三）基本支出：指为保障机构正常运转、完成日常工作任务而发生的人员支出（包括基本工资、津贴补贴等）和公用支出（包括办公费、水电费、邮电费、交通费、差旅费等）。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（五）“三公”经费：是指用财政拨款安排的因公出国（境）费、公务用车购置及运行维护费、公务接待费。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（六）年初结转和结余：指以前年度尚未完成、结转到本年按有关规定继续使用的资金年初结转和结余：指以前年度尚未完成、结转到本年按有关规定继续</w:t>
      </w:r>
      <w:bookmarkStart w:id="0" w:name="_GoBack"/>
      <w:bookmarkEnd w:id="0"/>
      <w:r>
        <w:rPr>
          <w:rFonts w:hint="eastAsia" w:ascii="仿宋" w:hAnsi="仿宋" w:eastAsia="仿宋" w:cs="仿宋"/>
          <w:kern w:val="2"/>
          <w:sz w:val="32"/>
          <w:szCs w:val="32"/>
          <w:lang w:val="en-US" w:eastAsia="zh-CN" w:bidi="ar-SA"/>
        </w:rPr>
        <w:t>使用的资金。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MingLiU_HKSCS">
    <w:panose1 w:val="02020500000000000000"/>
    <w:charset w:val="88"/>
    <w:family w:val="auto"/>
    <w:pitch w:val="default"/>
    <w:sig w:usb0="A00002FF" w:usb1="3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22AF5"/>
    <w:multiLevelType w:val="singleLevel"/>
    <w:tmpl w:val="5A522AF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97651"/>
    <w:rsid w:val="03981A14"/>
    <w:rsid w:val="0C446D4C"/>
    <w:rsid w:val="11497651"/>
    <w:rsid w:val="12F83659"/>
    <w:rsid w:val="162D4879"/>
    <w:rsid w:val="33D202C4"/>
    <w:rsid w:val="3B9C2FEA"/>
    <w:rsid w:val="3E313BFA"/>
    <w:rsid w:val="47F30C62"/>
    <w:rsid w:val="514D6178"/>
    <w:rsid w:val="77AF1F51"/>
    <w:rsid w:val="786B67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2018-01-07T14:11:00Z</dcterms:created>
  <dc:creator>qj</dc:creator>
  <cp:lastModifiedBy>qj</cp:lastModifiedBy>
  <dcterms:modified xsi:type="dcterms:W3CDTF">2018-01-07T15:03:53Z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