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方正小标宋简体" w:eastAsia="方正小标宋简体"/>
          <w:spacing w:val="-20"/>
          <w:w w:val="90"/>
          <w:kern w:val="1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pacing w:val="-20"/>
          <w:w w:val="85"/>
          <w:kern w:val="1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w w:val="85"/>
          <w:kern w:val="10"/>
          <w:sz w:val="44"/>
          <w:szCs w:val="44"/>
        </w:rPr>
        <w:t>潜江市202</w:t>
      </w:r>
      <w:r>
        <w:rPr>
          <w:rFonts w:hint="eastAsia" w:ascii="方正小标宋简体" w:eastAsia="方正小标宋简体"/>
          <w:spacing w:val="-20"/>
          <w:w w:val="85"/>
          <w:kern w:val="10"/>
          <w:sz w:val="44"/>
          <w:szCs w:val="44"/>
          <w:lang w:val="en-US" w:eastAsia="zh-CN"/>
        </w:rPr>
        <w:t>3</w:t>
      </w:r>
      <w:r>
        <w:rPr>
          <w:rFonts w:hint="eastAsia" w:ascii="方正小标宋简体" w:eastAsia="方正小标宋简体"/>
          <w:spacing w:val="-20"/>
          <w:w w:val="85"/>
          <w:kern w:val="10"/>
          <w:sz w:val="44"/>
          <w:szCs w:val="44"/>
        </w:rPr>
        <w:t>年预算执行情况和202</w:t>
      </w:r>
      <w:r>
        <w:rPr>
          <w:rFonts w:hint="eastAsia" w:ascii="方正小标宋简体" w:eastAsia="方正小标宋简体"/>
          <w:spacing w:val="-20"/>
          <w:w w:val="85"/>
          <w:kern w:val="10"/>
          <w:sz w:val="44"/>
          <w:szCs w:val="44"/>
          <w:lang w:val="en-US" w:eastAsia="zh-CN"/>
        </w:rPr>
        <w:t>4</w:t>
      </w:r>
      <w:r>
        <w:rPr>
          <w:rFonts w:hint="eastAsia" w:ascii="方正小标宋简体" w:eastAsia="方正小标宋简体"/>
          <w:spacing w:val="-20"/>
          <w:w w:val="85"/>
          <w:kern w:val="10"/>
          <w:sz w:val="44"/>
          <w:szCs w:val="44"/>
        </w:rPr>
        <w:t>年预算（草案）的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简体" w:eastAsia="方正小标宋简体"/>
          <w:spacing w:val="-20"/>
          <w:w w:val="90"/>
          <w:kern w:val="1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w w:val="90"/>
          <w:kern w:val="10"/>
          <w:sz w:val="44"/>
          <w:szCs w:val="44"/>
        </w:rPr>
        <w:t>报    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各位代表：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Cs w:val="32"/>
        </w:rPr>
        <w:t>受市人民政府委托，现将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Cs w:val="32"/>
        </w:rPr>
        <w:t>年预算执行情况和</w:t>
      </w:r>
      <w:r>
        <w:rPr>
          <w:rFonts w:hint="eastAsia" w:ascii="仿宋_GB2312" w:hAnsi="仿宋_GB2312" w:eastAsia="仿宋_GB2312" w:cs="仿宋_GB2312"/>
          <w:bCs/>
          <w:color w:val="000000"/>
          <w:sz w:val="32"/>
          <w:szCs w:val="32"/>
          <w:lang w:val="en-US" w:eastAsia="zh-CN"/>
        </w:rPr>
        <w:t>2024</w:t>
      </w:r>
      <w:r>
        <w:rPr>
          <w:rFonts w:hint="eastAsia" w:ascii="仿宋_GB2312" w:hAnsi="仿宋_GB2312" w:eastAsia="仿宋_GB2312" w:cs="仿宋_GB2312"/>
          <w:szCs w:val="32"/>
        </w:rPr>
        <w:t>年预算草案提请市九届人大四次会议审议，并请市政协各位委员提出意见。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hint="eastAsia" w:eastAsia="黑体"/>
          <w:sz w:val="32"/>
          <w:szCs w:val="32"/>
        </w:rPr>
        <w:t>202</w:t>
      </w:r>
      <w:r>
        <w:rPr>
          <w:rFonts w:hint="eastAsia" w:eastAsia="黑体"/>
          <w:sz w:val="32"/>
          <w:szCs w:val="32"/>
          <w:lang w:val="en-US" w:eastAsia="zh-CN"/>
        </w:rPr>
        <w:t>3</w:t>
      </w:r>
      <w:r>
        <w:rPr>
          <w:rFonts w:hint="eastAsia" w:eastAsia="黑体"/>
          <w:sz w:val="32"/>
          <w:szCs w:val="32"/>
        </w:rPr>
        <w:t>年</w:t>
      </w:r>
      <w:r>
        <w:rPr>
          <w:rFonts w:eastAsia="黑体"/>
          <w:sz w:val="32"/>
          <w:szCs w:val="32"/>
        </w:rPr>
        <w:t>预算执行情况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Cs w:val="32"/>
        </w:rPr>
        <w:t>年，面对严峻复杂形势，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全</w:t>
      </w:r>
      <w:r>
        <w:rPr>
          <w:rFonts w:hint="eastAsia" w:ascii="仿宋_GB2312" w:hAnsi="仿宋_GB2312" w:eastAsia="仿宋_GB2312" w:cs="仿宋_GB2312"/>
          <w:szCs w:val="32"/>
        </w:rPr>
        <w:t>市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财税部门</w:t>
      </w:r>
      <w:r>
        <w:rPr>
          <w:rFonts w:hint="eastAsia" w:ascii="仿宋_GB2312" w:hAnsi="仿宋_GB2312" w:eastAsia="仿宋_GB2312" w:cs="仿宋_GB2312"/>
          <w:szCs w:val="32"/>
        </w:rPr>
        <w:t>坚持以习近平新时代中国特色社会主义思想为指导，在市委、市政府的正确领导下和市人大、市政协的监督指导下，深入学习贯彻党的二十大精神，紧紧围绕强信心、稳增长、防风险、推改革、惠民生各项工作，加力提效落实积极财政政策，充分发挥“收支管调防”职能作用，全面提升财政资源配置效率、财政政策效能和资金管理使用效益，集中财力保障重大战略、重要任务、重点改革落实落地，全力服务保障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全</w:t>
      </w:r>
      <w:r>
        <w:rPr>
          <w:rFonts w:hint="eastAsia" w:ascii="仿宋_GB2312" w:hAnsi="仿宋_GB2312" w:eastAsia="仿宋_GB2312" w:cs="仿宋_GB2312"/>
          <w:szCs w:val="32"/>
        </w:rPr>
        <w:t>市经济社会平稳运行，为推动高质量发展提供了强有力的财力支撑。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楷体_GB2312" w:eastAsia="楷体_GB2312"/>
          <w:b/>
          <w:kern w:val="0"/>
          <w:sz w:val="32"/>
          <w:szCs w:val="32"/>
        </w:rPr>
      </w:pPr>
      <w:r>
        <w:rPr>
          <w:rFonts w:hint="eastAsia" w:ascii="楷体_GB2312" w:eastAsia="楷体_GB2312"/>
          <w:b/>
          <w:kern w:val="0"/>
          <w:sz w:val="32"/>
          <w:szCs w:val="32"/>
        </w:rPr>
        <w:t>（一）</w:t>
      </w:r>
      <w:r>
        <w:rPr>
          <w:rFonts w:hint="eastAsia" w:eastAsia="黑体"/>
          <w:sz w:val="32"/>
          <w:szCs w:val="32"/>
        </w:rPr>
        <w:t>202</w:t>
      </w:r>
      <w:r>
        <w:rPr>
          <w:rFonts w:hint="eastAsia" w:eastAsia="黑体"/>
          <w:sz w:val="32"/>
          <w:szCs w:val="32"/>
          <w:lang w:val="en-US" w:eastAsia="zh-CN"/>
        </w:rPr>
        <w:t>3</w:t>
      </w:r>
      <w:r>
        <w:rPr>
          <w:rFonts w:hint="eastAsia" w:eastAsia="黑体"/>
          <w:sz w:val="32"/>
          <w:szCs w:val="32"/>
        </w:rPr>
        <w:t>年全</w:t>
      </w:r>
      <w:r>
        <w:rPr>
          <w:rFonts w:hint="eastAsia" w:ascii="楷体_GB2312" w:eastAsia="楷体_GB2312"/>
          <w:b/>
          <w:kern w:val="0"/>
          <w:sz w:val="32"/>
          <w:szCs w:val="32"/>
        </w:rPr>
        <w:t>市公共预算预计执行情况。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楷体_GB2312" w:eastAsia="楷体_GB2312"/>
          <w:b/>
          <w:kern w:val="0"/>
          <w:sz w:val="32"/>
          <w:szCs w:val="32"/>
        </w:rPr>
      </w:pPr>
      <w:r>
        <w:rPr>
          <w:rFonts w:hint="eastAsia" w:ascii="楷体_GB2312" w:eastAsia="楷体_GB2312"/>
          <w:b/>
          <w:kern w:val="0"/>
          <w:sz w:val="32"/>
          <w:szCs w:val="32"/>
        </w:rPr>
        <w:t>1.公共预算收入预计情况。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2023年全市公共预算收入预计完成942103万元（含2023年预算调整增加的一般债券转贷收入67880万元），为调整预算数的100%，分大项明细为：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（1）2023年全市地方一般公共预算收入完成331122万元，为预算的100.01%，同比增长21.2%。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（2）上级转移性收入预计为419699万元。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（3）地方政府一般债券转贷收入67880万元。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（4）调入资金118519万元。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（5）调入预算稳定调节基金4883万元。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" w:eastAsia="仿宋_GB2312" w:cs="仿宋"/>
          <w:b/>
          <w:bCs/>
          <w:sz w:val="32"/>
          <w:szCs w:val="32"/>
          <w:u w:val="single" w:color="FFFFFF"/>
        </w:rPr>
      </w:pPr>
      <w:r>
        <w:rPr>
          <w:rFonts w:hint="eastAsia" w:ascii="仿宋_GB2312" w:hAnsi="仿宋" w:eastAsia="仿宋_GB2312" w:cs="仿宋"/>
          <w:b/>
          <w:bCs/>
          <w:sz w:val="32"/>
          <w:szCs w:val="32"/>
          <w:u w:val="single" w:color="FFFFFF"/>
        </w:rPr>
        <w:t>2.公共预算支出预计情况。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2023年全市公共预算预计支出为942103万元，为调整预算数的100%，具体情况是：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（1）体制结算上解支出55803万元。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（2）政府债务还本支出33138万元。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（3）全市地方一般公共预算预计支出853162万元。具体情况为：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一般公共服务支出72101万元，为预算的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93.5%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国防支出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511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万元，为预算的221.2%。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公共安全支出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32698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万元，为预算的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96.3%。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教育支出150108万元，为预算的110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科学技术支出20789万元，为预算的131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文化旅游体育与传媒支出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22229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万元，为预算的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108.8%。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社会保障和就业支出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131442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万元，为预算的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95.6%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卫生健康支出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83025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万元，为预算的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100.4%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节能环保支出27641万元，为预算的126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城乡社区事务支出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32130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万元，为预算的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117.5%。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农林水事务支出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163489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万元，为预算的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105.4%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交通运输支出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60478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万元，为预算的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109.8%。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资源勘探信息等事务支出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14127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万元，为预算的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104.3%。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商业服务业支出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4340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万元，为预算的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110.1%。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金融支出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150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万元，为预算的103%。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自然资源海洋气象等事务支出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6066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万元，为预算的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111.9%。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住房保障支出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9641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万元，为预算的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96.1%。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粮油物资储备管理事务支出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2393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万元，为预算的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95.9%。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灾害防治及应急支出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5508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万元，为预算的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96.2%。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债务付息支出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14226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万元，为预算的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102.47%。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债务发行费用支出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70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万元，为预算的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100%。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楷体_GB2312" w:eastAsia="楷体_GB2312"/>
          <w:b/>
          <w:kern w:val="0"/>
          <w:sz w:val="32"/>
          <w:szCs w:val="32"/>
        </w:rPr>
      </w:pPr>
      <w:r>
        <w:rPr>
          <w:rFonts w:hint="eastAsia" w:ascii="楷体_GB2312" w:eastAsia="楷体_GB2312"/>
          <w:b/>
          <w:kern w:val="0"/>
          <w:sz w:val="32"/>
          <w:szCs w:val="32"/>
        </w:rPr>
        <w:t>3.公共预算平衡情况。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年公共预算收支相抵，当年平衡。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楷体_GB2312" w:eastAsia="楷体_GB2312"/>
          <w:b/>
          <w:kern w:val="0"/>
          <w:sz w:val="32"/>
          <w:szCs w:val="32"/>
        </w:rPr>
      </w:pPr>
      <w:r>
        <w:rPr>
          <w:rFonts w:hint="eastAsia" w:ascii="楷体_GB2312" w:eastAsia="楷体_GB2312"/>
          <w:b/>
          <w:kern w:val="0"/>
          <w:sz w:val="32"/>
          <w:szCs w:val="32"/>
        </w:rPr>
        <w:t>（二）政府性基金预算收支预计情况。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楷体_GB2312" w:eastAsia="楷体_GB2312"/>
          <w:b/>
          <w:kern w:val="0"/>
          <w:sz w:val="32"/>
          <w:szCs w:val="32"/>
        </w:rPr>
      </w:pPr>
      <w:r>
        <w:rPr>
          <w:rFonts w:hint="eastAsia" w:ascii="楷体_GB2312" w:eastAsia="楷体_GB2312"/>
          <w:b/>
          <w:kern w:val="0"/>
          <w:sz w:val="32"/>
          <w:szCs w:val="32"/>
        </w:rPr>
        <w:t>1.收入情况。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年政府性基金预算预计收入总计为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71423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2万元，为调整预算数的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100%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。其中：本级政府性基金预算收入459204万元，地方政府专项转贷收入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255028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楷体_GB2312" w:eastAsia="楷体_GB2312"/>
          <w:b/>
          <w:kern w:val="0"/>
          <w:sz w:val="32"/>
          <w:szCs w:val="32"/>
        </w:rPr>
      </w:pPr>
      <w:r>
        <w:rPr>
          <w:rFonts w:hint="eastAsia" w:ascii="楷体_GB2312" w:eastAsia="楷体_GB2312"/>
          <w:b/>
          <w:kern w:val="0"/>
          <w:sz w:val="32"/>
          <w:szCs w:val="32"/>
        </w:rPr>
        <w:t>2.支出情况。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2023年政府性基金预算预计支出总计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71423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2万元，为调整预算数的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100%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。其中：本级政府性基金预算支出637604万元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专项债券还本支出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6628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万元，调出资金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70000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楷体_GB2312" w:eastAsia="楷体_GB2312"/>
          <w:b/>
          <w:kern w:val="0"/>
          <w:sz w:val="32"/>
          <w:szCs w:val="32"/>
        </w:rPr>
      </w:pPr>
      <w:r>
        <w:rPr>
          <w:rFonts w:hint="eastAsia" w:ascii="楷体_GB2312" w:eastAsia="楷体_GB2312"/>
          <w:b/>
          <w:kern w:val="0"/>
          <w:sz w:val="32"/>
          <w:szCs w:val="32"/>
        </w:rPr>
        <w:t>3.平衡情况。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年政府性基金预算收支相抵，当年平衡。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楷体_GB2312" w:eastAsia="楷体_GB2312"/>
          <w:b/>
          <w:kern w:val="0"/>
          <w:sz w:val="32"/>
          <w:szCs w:val="32"/>
        </w:rPr>
      </w:pPr>
      <w:r>
        <w:rPr>
          <w:rFonts w:hint="eastAsia" w:ascii="楷体_GB2312" w:eastAsia="楷体_GB2312"/>
          <w:b/>
          <w:kern w:val="0"/>
          <w:sz w:val="32"/>
          <w:szCs w:val="32"/>
        </w:rPr>
        <w:t>（三）国有资本经营收支预计情况。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楷体_GB2312" w:eastAsia="楷体_GB2312"/>
          <w:b/>
          <w:kern w:val="0"/>
          <w:sz w:val="32"/>
          <w:szCs w:val="32"/>
        </w:rPr>
      </w:pPr>
      <w:r>
        <w:rPr>
          <w:rFonts w:hint="eastAsia" w:ascii="楷体_GB2312" w:eastAsia="楷体_GB2312"/>
          <w:b/>
          <w:kern w:val="0"/>
          <w:sz w:val="32"/>
          <w:szCs w:val="32"/>
        </w:rPr>
        <w:t>1.收入情况。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年国有资本经营预算预计收入21650万元，为调整预算数的100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楷体_GB2312" w:eastAsia="楷体_GB2312"/>
          <w:b/>
          <w:kern w:val="0"/>
          <w:sz w:val="32"/>
          <w:szCs w:val="32"/>
        </w:rPr>
      </w:pPr>
      <w:r>
        <w:rPr>
          <w:rFonts w:hint="eastAsia" w:ascii="楷体_GB2312" w:eastAsia="楷体_GB2312"/>
          <w:b/>
          <w:kern w:val="0"/>
          <w:sz w:val="32"/>
          <w:szCs w:val="32"/>
        </w:rPr>
        <w:t>2.支出情况。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年国有资本经营预算预计支出21650万元，为调整预算数的100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。其中：一是解决历史遗留问题及改革成本支出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3000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万元；二是国有企业资本本金注入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8200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万元；三是其他国有资本经营预算支出2884万元；四是调出资金支出7566万元。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楷体_GB2312" w:eastAsia="楷体_GB2312"/>
          <w:b/>
          <w:kern w:val="0"/>
          <w:sz w:val="32"/>
          <w:szCs w:val="32"/>
        </w:rPr>
      </w:pPr>
      <w:r>
        <w:rPr>
          <w:rFonts w:hint="eastAsia" w:ascii="楷体_GB2312" w:eastAsia="楷体_GB2312"/>
          <w:b/>
          <w:kern w:val="0"/>
          <w:sz w:val="32"/>
          <w:szCs w:val="32"/>
        </w:rPr>
        <w:t>3.平衡情况。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年国有资本经营预算收支相抵，当年平衡。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（四）社会保险基金预计收支情况。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" w:eastAsia="仿宋_GB2312" w:cs="仿宋"/>
          <w:b/>
          <w:sz w:val="32"/>
          <w:szCs w:val="32"/>
          <w:u w:val="single" w:color="FFFFFF"/>
        </w:rPr>
      </w:pPr>
      <w:r>
        <w:rPr>
          <w:rFonts w:hint="eastAsia" w:ascii="仿宋_GB2312" w:hAnsi="仿宋" w:eastAsia="仿宋_GB2312" w:cs="仿宋"/>
          <w:b/>
          <w:sz w:val="32"/>
          <w:szCs w:val="32"/>
          <w:u w:val="single" w:color="FFFFFF"/>
        </w:rPr>
        <w:t>1.收入情况。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年，社会保险基金预计收入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240333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万元，为预算的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107.96%，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分险种为：城乡居民基本养老保险基金收入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45762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万元，机关事业单位养老保险基金收入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85132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万元，职工基本医疗保险(含生育保险)基金收入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39339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万元，城乡居民基本医疗保险基金收入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69289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万元，工伤保险基金收入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811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" w:eastAsia="仿宋_GB2312" w:cs="仿宋"/>
          <w:b/>
          <w:sz w:val="32"/>
          <w:szCs w:val="32"/>
          <w:u w:val="single" w:color="FFFFFF"/>
        </w:rPr>
      </w:pPr>
      <w:r>
        <w:rPr>
          <w:rFonts w:hint="eastAsia" w:ascii="仿宋_GB2312" w:hAnsi="仿宋" w:eastAsia="仿宋_GB2312" w:cs="仿宋"/>
          <w:b/>
          <w:sz w:val="32"/>
          <w:szCs w:val="32"/>
          <w:u w:val="single" w:color="FFFFFF"/>
        </w:rPr>
        <w:t>2.支出情况。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年，社会保险基金预计支出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210183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万元，为预算的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107.22%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，分险种为：城乡居民基本养老保险基金支出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24259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万元，机关事业单位养老保险基金支出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79179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万元，职工基本医疗保险(含生育保险)基金支出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37914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万元，城乡居民基本医疗保险基金支出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67810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万元，工伤保险基金支出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1021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 xml:space="preserve">万元。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仿宋_GB2312" w:hAnsi="仿宋" w:eastAsia="仿宋_GB2312" w:cs="仿宋"/>
          <w:b/>
          <w:sz w:val="32"/>
          <w:szCs w:val="32"/>
          <w:u w:val="single" w:color="FFFFFF"/>
        </w:rPr>
      </w:pPr>
      <w:r>
        <w:rPr>
          <w:rFonts w:hint="eastAsia" w:ascii="仿宋_GB2312" w:hAnsi="仿宋" w:eastAsia="仿宋_GB2312" w:cs="仿宋"/>
          <w:b/>
          <w:sz w:val="32"/>
          <w:szCs w:val="32"/>
          <w:u w:val="single" w:color="FFFFFF"/>
        </w:rPr>
        <w:t>3.平衡情况。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收支相抵后，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年当期社会保险基金预算结余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30150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万元，上年基金滚存结余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233471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万元，年末基金滚存结余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263621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万元，其中：城乡居民基本养老保险基金预计滚存结余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102146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万元，机关事业单位养老保险基金预计滚存结余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11907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万元，职工基本医疗保险(含生育保险)基金预计滚存结余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74291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万元，城乡居民基本医疗保险基金预计滚存结余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73299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万元，工伤保险基金滚存结余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1978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" w:eastAsia="仿宋_GB2312" w:cs="仿宋"/>
          <w:bCs/>
          <w:sz w:val="32"/>
          <w:szCs w:val="32"/>
          <w:u w:val="single" w:color="FFFFFF"/>
        </w:rPr>
      </w:pPr>
      <w:r>
        <w:rPr>
          <w:rFonts w:hint="eastAsia" w:ascii="仿宋_GB2312" w:hAnsi="仿宋" w:eastAsia="仿宋_GB2312" w:cs="仿宋"/>
          <w:bCs/>
          <w:sz w:val="32"/>
          <w:szCs w:val="32"/>
          <w:u w:val="single" w:color="FFFFFF"/>
        </w:rPr>
        <w:t>上述预算执行情况是预计数据，在年度决算编制完成后会有一些变化，届时再向市人大常委会报告。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楷体_GB2312" w:eastAsia="楷体_GB2312"/>
          <w:b/>
          <w:kern w:val="0"/>
          <w:sz w:val="32"/>
          <w:szCs w:val="32"/>
        </w:rPr>
      </w:pPr>
      <w:r>
        <w:rPr>
          <w:rFonts w:hint="eastAsia" w:ascii="楷体_GB2312" w:eastAsia="楷体_GB2312"/>
          <w:b/>
          <w:kern w:val="0"/>
          <w:sz w:val="32"/>
          <w:szCs w:val="32"/>
        </w:rPr>
        <w:t>（五）</w:t>
      </w:r>
      <w:r>
        <w:rPr>
          <w:rFonts w:hint="eastAsia" w:eastAsia="黑体"/>
          <w:sz w:val="32"/>
          <w:szCs w:val="32"/>
          <w:lang w:val="en-US" w:eastAsia="zh-CN"/>
        </w:rPr>
        <w:t>2023</w:t>
      </w:r>
      <w:r>
        <w:rPr>
          <w:rFonts w:hint="eastAsia" w:eastAsia="黑体"/>
          <w:sz w:val="32"/>
          <w:szCs w:val="32"/>
        </w:rPr>
        <w:t>年主</w:t>
      </w:r>
      <w:r>
        <w:rPr>
          <w:rFonts w:hint="eastAsia" w:ascii="楷体_GB2312" w:eastAsia="楷体_GB2312"/>
          <w:b/>
          <w:kern w:val="0"/>
          <w:sz w:val="32"/>
          <w:szCs w:val="32"/>
        </w:rPr>
        <w:t>要财税政策落实和重点财政工作情况。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年，全市财政部门认真贯彻市委、市政府决策部署，全面落实市九届人大二次会议决议，坚持“以政领财、以财辅政”，紧紧围绕发展第一要务，加强财政资源统筹，强化财政管理，优化财政服务，提高财政政策和资金效能，推动全市经济回升向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1.</w:t>
      </w:r>
      <w:r>
        <w:rPr>
          <w:rFonts w:hint="eastAsia" w:ascii="楷体_GB2312" w:eastAsia="楷体_GB2312"/>
          <w:b/>
          <w:sz w:val="32"/>
          <w:szCs w:val="32"/>
        </w:rPr>
        <w:t>聚焦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以政领财，敢担当勇作为</w:t>
      </w:r>
      <w:r>
        <w:rPr>
          <w:rFonts w:hint="eastAsia" w:ascii="楷体_GB2312" w:eastAsia="楷体_GB2312"/>
          <w:b/>
          <w:sz w:val="32"/>
          <w:szCs w:val="32"/>
        </w:rPr>
        <w:t>。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深刻认识财政工作的政治属性，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充分发扬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“以政领财、以财辅政，政令财行、财随政走”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的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优良财政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工作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传统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，敢于担当，勇于作为，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凡重大形势变化，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财政部门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第一时间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向“四大家”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拿出“财政应对预案”；凡重大政策出台，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财政部门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第一时间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向“四大家”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拿出“财政测算方案”；凡重大指示批示，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财政部门向“四大家”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第一时间拿出“财政落实方案”，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确保市委市政府重大决策部署和市人大决定、决议在财政部门落实落地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firstLine="643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2.</w:t>
      </w:r>
      <w:r>
        <w:rPr>
          <w:rFonts w:hint="eastAsia" w:ascii="楷体_GB2312" w:eastAsia="楷体_GB2312"/>
          <w:b/>
          <w:sz w:val="32"/>
          <w:szCs w:val="32"/>
        </w:rPr>
        <w:t>聚焦政策协同，稳</w:t>
      </w: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增长</w:t>
      </w:r>
      <w:r>
        <w:rPr>
          <w:rFonts w:hint="eastAsia" w:ascii="楷体_GB2312" w:eastAsia="楷体_GB2312"/>
          <w:b/>
          <w:sz w:val="32"/>
          <w:szCs w:val="32"/>
        </w:rPr>
        <w:t>促发展。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继续“巩固拓展”减税降费成效，激发市场主体活力。充分发挥财税政策对需求端的拉动作用，统筹财政资金35亿元，专项用于落实省市稳健经济发展系列政策和全市惠企政策兑现；安排产业发展专项资金3.2亿元，支持招商引资和纺织服装、家居制造、智能装备等特色产业和高新企业创新发展；落实“虾十条”政策资金3.5亿元，支持虾稻产业高质量发展。落实就业专项补助资金4963万元、财政贴息2797万元撬动发放个人创业担保贷款67884万元、小微企业贷款2060万元，全力支持创业就业。实施中小企业“采购优待”政策措施，面向中小微企业采购占比达到91.7%、利用政府采购合同融资10793万元，切实优化营商环境。继续促进恢复和扩大消费，落实财政资金7892万元，支持汽车消费、住房购买、“商文旅体”消费融合，释放消费潜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3.</w:t>
      </w:r>
      <w:r>
        <w:rPr>
          <w:rFonts w:hint="eastAsia" w:ascii="楷体_GB2312" w:eastAsia="楷体_GB2312"/>
          <w:b/>
          <w:sz w:val="32"/>
          <w:szCs w:val="32"/>
        </w:rPr>
        <w:t>聚焦项目建设，统资源扩投资。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坚持“项目为上”，精准谋划项目、储备项目、申报项目，加强周调度、月通报，做到即发即用，用足用好政府专项债限额，全年积极争取并发行债券322908万元，其中：新增一般债券43453万元，新增专项债券248400万元，再融资一般债券24427万元，再融资专项债券6628万元，集中支持24个民生项目和重点投资，激发活力助力稳增长。同时，统筹用好中央预算内投资3亿元、落实PPP支出责任2.5亿元、累计投放产业发展基金3.3亿元，支持带动扩大社会有效投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320" w:rightChars="10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楷体_GB2312" w:eastAsia="楷体_GB2312"/>
          <w:b/>
          <w:bCs w:val="0"/>
          <w:sz w:val="32"/>
          <w:szCs w:val="32"/>
          <w:lang w:val="en-US" w:eastAsia="zh-CN"/>
        </w:rPr>
        <w:t>4.</w:t>
      </w:r>
      <w:r>
        <w:rPr>
          <w:rFonts w:hint="eastAsia" w:ascii="楷体_GB2312" w:eastAsia="楷体_GB2312"/>
          <w:b/>
          <w:bCs w:val="0"/>
          <w:sz w:val="32"/>
          <w:szCs w:val="32"/>
        </w:rPr>
        <w:t>聚焦财源建设，抓收入壮实力。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强化收入征管协同共治，加强收入调度组织，实现财政收入平稳增长。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2023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年，全市财政运行稳中有进，持续向好，财政收入保持较高增速，财税各项指标均好于全省平均水平。同时，协同市直各部门积极向上争取到位中央、省级各类转移支付资金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54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亿元。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320" w:rightChars="10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5.</w:t>
      </w:r>
      <w:r>
        <w:rPr>
          <w:rFonts w:hint="eastAsia" w:ascii="楷体_GB2312" w:eastAsia="楷体_GB2312"/>
          <w:b/>
          <w:sz w:val="32"/>
          <w:szCs w:val="32"/>
        </w:rPr>
        <w:t>聚焦重点领域，兜底线保民生。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加强财政库款调度，加快各类资金的拨付，加大对经济社会发展薄弱环节和关键领域的投入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。2023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年，全市一般公共财政预算支出85.31亿元，实现保工资、保运转和保重点民生支出的目标，保持适度支出强度。其中：“三保支出”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67.58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亿元，全市民生支出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738641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万元，同比增长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13.6%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。优化区镇街道财政管理体制，加大财力向基层倾斜力度，确保基层平稳运行。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楷体_GB2312" w:eastAsia="楷体_GB2312"/>
          <w:b/>
          <w:sz w:val="32"/>
          <w:szCs w:val="32"/>
          <w:lang w:val="en-US" w:eastAsia="zh-CN"/>
        </w:rPr>
        <w:t>6.</w:t>
      </w:r>
      <w:r>
        <w:rPr>
          <w:rFonts w:hint="eastAsia" w:ascii="楷体_GB2312" w:eastAsia="楷体_GB2312"/>
          <w:b/>
          <w:sz w:val="32"/>
          <w:szCs w:val="32"/>
        </w:rPr>
        <w:t>聚焦改革创新，强管理增效能。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统筹推进各项财政管理改革，加快健全现代财政制度，切实把制度优势转化为治理效能，预算精准性与约束力明显增强，支出绩效有效提升。一年来，通过强化预算编制与执行管理，严格落实零基预算，压一般、减专项、统结余，共统筹财政资金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1.9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亿元，集中支持大事要事和重点项目建设。加强财政投资评审，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276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个送审项目累计审减资金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28125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万元，进一步提高了财政资金使用效益。实施政府采购全流程电子化、采购专员、质疑投诉处理机制、份额预留等改革，进一步提高采购绩效。加快推进国有企业重组改革和行政事业资产双集中管理，优化财政资源配置，提升国有资本资产效益。加强财会监督与审计、巡察等各类监督贯通协调机制建设，出台《进一步加强财会监督、严肃财经纪律的通知》，规范财政财务管理。严格落实地方债务化解责任，分类锁定五类债务，制定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“1+5”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化解方案，守住不发生系统性风险的底线。截止目前，统筹各类财政资金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8.1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亿元偿还法定债务；筹集</w:t>
      </w:r>
      <w:r>
        <w:rPr>
          <w:rFonts w:hint="default" w:ascii="仿宋_GB2312" w:hAnsi="仿宋_GB2312" w:eastAsia="仿宋_GB2312" w:cs="仿宋_GB2312"/>
          <w:szCs w:val="32"/>
          <w:lang w:val="en-US" w:eastAsia="zh-CN"/>
        </w:rPr>
        <w:t>4.3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亿元化解企业欠款问题。分类推进国有平台公司市场化转型，增强造血功能，严防融资平台债务风险。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 xml:space="preserve">过去一年，全市财政部门担当作为、改革创新、狠抓落实，取得了较好的成绩。同时，我们也清醒地认识到，预算执行和财政工作中还存在一些困难和问题，主要包括：受经济下行因素影响，财政收入增长基础不稳，市域内财源建设水平不均衡，财政收支矛盾依然突出，预算平衡难度加大；部分领域预算支出固化问题依然突出，调整优化支出结构力度还需加大；有的部门和单位预算绩效管理不够到位，预算绩效管理的质量有待提升等等，需要积极采取措施加以解决。                        </w:t>
      </w:r>
    </w:p>
    <w:p>
      <w:pPr>
        <w:pStyle w:val="1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firstLine="640" w:firstLineChars="200"/>
        <w:jc w:val="left"/>
        <w:textAlignment w:val="auto"/>
        <w:rPr>
          <w:rFonts w:hint="default" w:ascii="黑体" w:hAnsi="黑体" w:eastAsia="黑体"/>
          <w:sz w:val="32"/>
          <w:szCs w:val="32"/>
        </w:rPr>
      </w:pPr>
      <w:r>
        <w:rPr>
          <w:rFonts w:hint="default" w:ascii="黑体" w:hAnsi="黑体" w:eastAsia="黑体"/>
          <w:sz w:val="32"/>
          <w:szCs w:val="32"/>
        </w:rPr>
        <w:t>二、</w:t>
      </w:r>
      <w:r>
        <w:rPr>
          <w:rFonts w:ascii="黑体" w:hAnsi="黑体" w:eastAsia="黑体"/>
          <w:sz w:val="32"/>
          <w:szCs w:val="32"/>
        </w:rPr>
        <w:t>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r>
        <w:rPr>
          <w:rFonts w:ascii="黑体" w:hAnsi="黑体" w:eastAsia="黑体"/>
          <w:sz w:val="32"/>
          <w:szCs w:val="32"/>
        </w:rPr>
        <w:t>年</w:t>
      </w:r>
      <w:r>
        <w:rPr>
          <w:rFonts w:hint="default" w:ascii="黑体" w:hAnsi="黑体" w:eastAsia="黑体"/>
          <w:sz w:val="32"/>
          <w:szCs w:val="32"/>
        </w:rPr>
        <w:t>预算草案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（一）指导思想和基本原则。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/>
          <w:sz w:val="32"/>
          <w:szCs w:val="32"/>
        </w:rPr>
        <w:t>1.202</w:t>
      </w:r>
      <w:r>
        <w:rPr>
          <w:rFonts w:hint="eastAsia" w:ascii="仿宋_GB2312" w:hAnsi="Times New Roman" w:eastAsia="仿宋_GB2312"/>
          <w:b/>
          <w:bCs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/>
          <w:b/>
          <w:bCs/>
          <w:color w:val="000000"/>
          <w:sz w:val="32"/>
          <w:szCs w:val="32"/>
        </w:rPr>
        <w:t>年全市预算编制和财政工作指导思想。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以习近平新时代中国特色社会主义思想为指导，全面贯彻落实新发展理念，持续优化财政支出结构，强化落实重大政策保障能力；严格落实过紧日子要求，将艰苦奋斗、勤俭节约作为预算支出安排的基本方针；加强部门收入预算管理，强化财政资源统筹，集中财力办大事；加强项目全生命周期管理，加快支出标准体系建设，深化预算绩效管理，加强预算评审和监管，推进预算管理一体化系统应用，全面实施预算绩效管理，深化财政管理制度改革，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提升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财政服务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效能，放大财政支撑作用，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全力推进以流域综合治理为基础的四化同步发展，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为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建设社会主义现代化潜江</w:t>
      </w:r>
      <w:r>
        <w:rPr>
          <w:rFonts w:ascii="Times New Roman" w:hAnsi="Times New Roman" w:eastAsia="仿宋_GB2312"/>
          <w:bCs/>
          <w:color w:val="000000"/>
          <w:sz w:val="32"/>
          <w:szCs w:val="32"/>
        </w:rPr>
        <w:t>提供财政支撑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Times New Roman" w:eastAsia="仿宋_GB2312"/>
          <w:b/>
          <w:bCs/>
          <w:color w:val="000000"/>
          <w:sz w:val="32"/>
          <w:szCs w:val="32"/>
        </w:rPr>
      </w:pPr>
      <w:r>
        <w:rPr>
          <w:rFonts w:hint="eastAsia" w:ascii="仿宋_GB2312" w:hAnsi="Times New Roman" w:eastAsia="仿宋_GB2312"/>
          <w:b/>
          <w:bCs/>
          <w:color w:val="000000"/>
          <w:sz w:val="32"/>
          <w:szCs w:val="32"/>
        </w:rPr>
        <w:t>2.202</w:t>
      </w:r>
      <w:r>
        <w:rPr>
          <w:rFonts w:hint="eastAsia" w:ascii="仿宋_GB2312" w:hAnsi="Times New Roman" w:eastAsia="仿宋_GB2312"/>
          <w:b/>
          <w:bCs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Times New Roman" w:eastAsia="仿宋_GB2312"/>
          <w:b/>
          <w:bCs/>
          <w:color w:val="000000"/>
          <w:sz w:val="32"/>
          <w:szCs w:val="32"/>
        </w:rPr>
        <w:t>年预算编制原则。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</w:rPr>
        <w:t>一是坚持政府过“紧日子”。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把艰苦奋斗、勤俭节约作为预算收支安排的基本原则，坚持过紧日子，大力压减一般性支出，努力降低行政运行成本，勤俭办一切事业。在全力兜牢“三保”底线，重点保障上级重大决策部署和市委市政府重要工作安排的同时，大力压减一般性支出和非重点、非刚性支出。编制2024年部门预算时，全额保障民生类项目，将运转类项目统一按60%进行压减，地方政策类项目按30%进行压减，确保把钱花在刀刃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704" w:firstLineChars="219"/>
        <w:textAlignment w:val="auto"/>
        <w:rPr>
          <w:rFonts w:hint="eastAsia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</w:rPr>
        <w:t>二是全力抓好财政统筹。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一方面加强“四本”预算统筹。对属于国有资本经营预算和政府性基金预算保障范围的支出，一般公共预算不再安排。另一方面加强部门收支统筹。将各部门依法将取得的各类收入均纳入预算管理，未纳入预算的收入不得安排支出。要求各部门在编制预算时要优先使用事业收入、经营性收入、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>专户资金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等非财政拨款收入，安排部门支出预算。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Times New Roman" w:hAnsi="Times New Roman" w:eastAsia="仿宋_GB2312"/>
          <w:bCs/>
          <w:color w:val="000000"/>
          <w:sz w:val="32"/>
          <w:szCs w:val="32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Times New Roman" w:hAnsi="Times New Roman" w:eastAsia="仿宋_GB2312"/>
          <w:b/>
          <w:bCs/>
          <w:color w:val="000000"/>
          <w:sz w:val="32"/>
          <w:szCs w:val="32"/>
        </w:rPr>
        <w:t>三是推动预算绩效管理提质增效。</w:t>
      </w:r>
      <w:r>
        <w:rPr>
          <w:rFonts w:hint="eastAsia" w:ascii="Times New Roman" w:hAnsi="Times New Roman" w:eastAsia="仿宋_GB2312"/>
          <w:bCs/>
          <w:color w:val="000000"/>
          <w:sz w:val="32"/>
          <w:szCs w:val="32"/>
        </w:rPr>
        <w:t>坚持预算和绩效管理一体化，将绩效理念和方法深度融入预算编制、执行、监督全过程。加强绩效目标审核，坚持绩效目标与预算编制同步申报、同步下达，不断提高绩效指标和标准体系质量水平。开展绩效运行监控，实施对重点政策和重大项目绩效延伸监控。做实做优多层次多维度绩效评价，优化部门绩效自评，保持市级重点项目评价力度，加强转移支付自评审核，推进部门整体绩效评价。加强绩效评价结果应用，将绩效评价结果与改进管理、完善政策、预算安排有机衔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（二）</w:t>
      </w:r>
      <w:r>
        <w:rPr>
          <w:rFonts w:hint="eastAsia" w:ascii="楷体_GB2312" w:eastAsia="楷体_GB2312"/>
          <w:b/>
          <w:sz w:val="32"/>
          <w:szCs w:val="32"/>
        </w:rPr>
        <w:t>公共财政预算编制情况。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楷体" w:hAnsi="楷体" w:eastAsia="楷体" w:cs="楷体"/>
          <w:bCs/>
          <w:sz w:val="32"/>
          <w:szCs w:val="32"/>
          <w:u w:val="single" w:color="FFFFFF"/>
        </w:rPr>
      </w:pPr>
      <w:r>
        <w:rPr>
          <w:rFonts w:hint="eastAsia" w:ascii="楷体" w:hAnsi="楷体" w:eastAsia="楷体" w:cs="楷体"/>
          <w:bCs/>
          <w:sz w:val="32"/>
          <w:szCs w:val="32"/>
          <w:u w:val="single" w:color="FFFFFF"/>
        </w:rPr>
        <w:t>1.收入情况。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2024年公共预算总收入905507万元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（不含政府债券转贷收入）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，具体情况为：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（1）地方公共财政预算收入364210万元，比上年增长10%，其中：税务部门291720万元，财政部门72490万元。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（2）上级转移支付收入416964万元，其中：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①一般性转移支付收入373533万元，包含财力性补助142137万元，共同事权转移支付收入231396万元；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②专项转移支付收入43431万元。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（3）盘活存量资金55683万元。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（4）调入其他资金68650万元（其中政府性基金62000万元，国有资本预算资金6650万元）。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仿宋" w:eastAsia="仿宋_GB2312" w:cs="仿宋"/>
          <w:b/>
          <w:sz w:val="32"/>
          <w:szCs w:val="32"/>
          <w:u w:val="single" w:color="FFFFFF"/>
        </w:rPr>
      </w:pPr>
      <w:r>
        <w:rPr>
          <w:rFonts w:hint="eastAsia" w:ascii="楷体" w:hAnsi="楷体" w:eastAsia="楷体" w:cs="楷体"/>
          <w:bCs/>
          <w:sz w:val="32"/>
          <w:szCs w:val="32"/>
          <w:u w:val="single" w:color="FFFFFF"/>
        </w:rPr>
        <w:t>2.支出情况。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2024年公共预算支出905507万元。分大项支出情况是：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（1）体制结算上交支出67780万元，其中：原体制上解支出1224万元，调整完善财政体制上解支出55426万元，专项上解10253万元，出口退税专项上解支出877万元。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（2）政府债务还本支出18603万元。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（3）地方一般公共预算支出819124万元，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支出具体为：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一般公共服务支出110709万元，为上年预算113465万元的97.57%。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国防支出382万元，为上年预算231万元的165.37%。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公共安全支出30055万元，为上年预算33724万元的89.12%。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教育支出140214万元，为上年预算138539万元的101.21%。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科学技术支出22309万元，为上年预算20196万元的110.46%。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文化旅游体育与传媒支出11896万元，为上年预算12430万元的95.7%。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社会保障和就业支出139411万元，为上年预算137502万元的101.39%。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卫生健康支出86097万元，为上年预算82707万元的104.1%。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节能环保支出24443万元，为上年预算24347万元的100.39%。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城乡社区事务支出28011万元，为上年预算27353万元的102.41%。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农林水事务支出125004万元，为上年预算112426万元的111.19%。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交通运输支出38999万元，为上年预算35617万元的109.5%。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资源勘探信息等事务支出5716万元，为上年预算5555万元的102.9%。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自然资源海洋气象等事务支出5628万元，为上年预算5423万元的103.78%。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住房保障支出18830万元，为上年预算17174万元的109.64%。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粮油物资储备管理事务支出2308万元，为上年预算2786万元的82.84%。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灾害防治及应急支出7912万元，为上年预算7840 万元的100.92%。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预备费6000万元，为上年预算8000万元的75%。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债务付息支出15200万元，为上年预算16958万元的89.63%。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3.平衡情况。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2024年公共预算收支相抵，当年平衡。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(三)</w:t>
      </w:r>
      <w:r>
        <w:rPr>
          <w:rFonts w:ascii="楷体" w:hAnsi="楷体" w:eastAsia="楷体" w:cs="楷体"/>
          <w:b/>
          <w:bCs/>
          <w:sz w:val="32"/>
          <w:szCs w:val="32"/>
        </w:rPr>
        <w:t>政府性基金预算编制情况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政府性基金预算编制遵循“以收定支、专款专用、收支平衡、结余结转下年安排使用”的原则。政府性基金支出依据政府性基金收入安排，自求平衡，不编赤字预算。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1.2024年政府性基金收入预算情况。政府性基金收入预算435355万元，比2023年预算下降5.2%具体如下: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（1）国有土地使用权出让收入400000万元。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（2）城市建设配套费收入5000万元。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（3）污水处理费收入3000万元。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（4）转移性福利彩票公益金收入1000万元。转移性福彩公益金收入1000万元，其中上年结余资金550万元，预计2024年度下达资金450万元。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（5）转移性体育彩票公益金收入1455万元。转移性体彩公益金收入1455万元，其中上年结余资金655万元，预计2024年度下达资金800万元。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（6）专项债券项目收入24900万元。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2.2024年政府性基金支出预算情况。政府性基金支出预算435355万元，具体如下: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（1）国有土地出让金安排支出400000万元。主要安排项目:征地拆迁补偿支出64977万元，城市建设支出90000万元，农村基础设施建设支出8500万元，保障性住房支出60000万元，专项债券付息及费用支出39273万元,其他统筹用于政府购买服务支出42543万元，市政府安排其他支出32706万元，调入一般公共预算62000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（2）城市建设配套费安排支出5000万元。主要安排项目：项目前期费用2000万元，其他费用3000万元。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（3）污水处理费安排支出3000万元。主要安排用于市污水处理厂运营支出。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（4）转移性福利彩票公益金安排支出1000万元。主要安排项目：社会福利支出588万元，残疾人事业支出30万元，城乡医疗救助支出50万元，社会公益事业支出332万元。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（5）转移性体育彩票公益金收入安排支出1455万元。主要安排项目：群众体育支出935万元，青少年体育支出240万元，竞技体育支出250万元，体育产业支出30万元。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（6）专项债券项目收入安排的支出24900万元。主要用于到期专项债券的还本付息支出。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3.平衡情况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2024年政府性基金预算收支相抵，无结余。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ascii="楷体" w:hAnsi="楷体" w:eastAsia="楷体" w:cs="楷体"/>
          <w:b/>
          <w:bCs/>
          <w:sz w:val="32"/>
          <w:szCs w:val="32"/>
        </w:rPr>
        <w:t>（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四</w:t>
      </w:r>
      <w:r>
        <w:rPr>
          <w:rFonts w:ascii="楷体" w:hAnsi="楷体" w:eastAsia="楷体" w:cs="楷体"/>
          <w:b/>
          <w:bCs/>
          <w:sz w:val="32"/>
          <w:szCs w:val="32"/>
        </w:rPr>
        <w:t>）社会保险基金预算编制情况</w:t>
      </w:r>
      <w:r>
        <w:rPr>
          <w:rFonts w:hint="eastAsia" w:ascii="楷体" w:hAnsi="楷体" w:eastAsia="楷体" w:cs="楷体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1.收入情况。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2024年社会保险基金预算收入245919.56万元，分险种为：城乡居民基本养老保险基金收入49060.91万元，机关事业单位养老保险基金收入82654.63万元，职工基本医疗保险(含生育保险)基金收入41313.23万元，城乡居民基本医疗保险基金收入72890.79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2.支出情况。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2024年社会保险基金预算支出226748.11万元，分险种为：城乡居民基本养老保险基金支出26810.93万元，机关事业单位养老保险基金支出90911.85万元，职工基本医疗保险(含生育保险)基金支出39454.35万元，城乡居民基本医疗保险基金支出69570.98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3.平衡情况。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收支相抵后，2024年当期社会保险基金预算结余19171.45万元，年末预计滚存结余280815万元。分险种为：城乡居民基本养老保险基金当期收支结余22249.98万元，年末预计滚存结余124396万元；机关事业单位养老保险基金当期收支结余-8257.22万元，年末预计滚存结余3650万元；职工基本医疗保险(含生育保险)基金当期收支结余1858.88万元，年末预计滚存结余76150万元；城乡居民基本医疗保险基金当期收支结余3319.81万元，年末预计滚存结余76619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（五）国有资本经营预算编制情况。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1.收入情况。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2024年度国有资本经营预算收入为21850万元，比2023年预算增长31.2%，主要是加大了对国有企业资产的投入，国企增加了利润上缴。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2.支出情况。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2024年度国有资本经营预算支出21850万元， 其中：国有经济结构调整支出13200万元、国有企业政策性补贴2000万元、国有资金经营预算资金调出6650万元。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3.平衡情况。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2024年国有资本经营预算收支相抵，无结余。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三、确保202</w:t>
      </w:r>
      <w:r>
        <w:rPr>
          <w:rFonts w:hint="eastAsia" w:eastAsia="黑体"/>
          <w:bCs/>
          <w:sz w:val="32"/>
          <w:szCs w:val="32"/>
          <w:lang w:val="en-US" w:eastAsia="zh-CN"/>
        </w:rPr>
        <w:t>4</w:t>
      </w:r>
      <w:r>
        <w:rPr>
          <w:rFonts w:eastAsia="黑体"/>
          <w:bCs/>
          <w:sz w:val="32"/>
          <w:szCs w:val="32"/>
        </w:rPr>
        <w:t>年财政预算收支平稳运行的措施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2024年是实施“十四五”规划的关键一年，是加快打造“一城三基地”、奋力建设四化同步发展示范区的重要一年。全市财政部门将进一步提高政治站位，全面落实积极的财政政策要适度加力、提质增效的总体要求，紧紧围绕市委、市政府的重大决策部署，认真贯彻市人大决议、决定，求真务实，敢作善为，履行财政职责，加强财政管理，提升财政效能，巩固和增强经济回升向好势头，更大力度推动全市高质量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方正仿宋_GB2312" w:eastAsia="仿宋_GB2312" w:cs="方正仿宋_GB2312"/>
          <w:bCs/>
          <w:szCs w:val="32"/>
        </w:rPr>
      </w:pPr>
      <w:r>
        <w:rPr>
          <w:rFonts w:hint="eastAsia" w:ascii="楷体_GB2312" w:hAnsi="方正仿宋_GB2312" w:eastAsia="楷体_GB2312" w:cs="方正仿宋_GB2312"/>
          <w:b/>
          <w:bCs/>
          <w:szCs w:val="32"/>
        </w:rPr>
        <w:t>（一）坚持精准高效，全力推动高质量发展。</w:t>
      </w:r>
      <w:r>
        <w:rPr>
          <w:rFonts w:hint="eastAsia" w:ascii="仿宋_GB2312" w:hAnsi="方正仿宋_GB2312" w:eastAsia="仿宋_GB2312" w:cs="方正仿宋_GB2312"/>
          <w:bCs/>
          <w:szCs w:val="32"/>
        </w:rPr>
        <w:t>积极发挥财政政策资金综合效应，全力支持经济持续向好。管好用好中央预算投资资金和政府专项债，加快政府债券资金、基建项目资金支出进度，形成有效接续投资。积极发挥“财政+金融”等政策协同效应，进一步优化财政投入方式，发挥财政资金引导撬动作用，促进财税政策与金融政策、产业政策间的协同联动，努力实现最优政策组合和最大整体效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方正仿宋_GB2312" w:eastAsia="仿宋_GB2312" w:cs="方正仿宋_GB2312"/>
          <w:bCs/>
          <w:szCs w:val="32"/>
        </w:rPr>
      </w:pPr>
      <w:r>
        <w:rPr>
          <w:rFonts w:hint="eastAsia" w:ascii="楷体_GB2312" w:hAnsi="方正仿宋_GB2312" w:eastAsia="楷体_GB2312" w:cs="方正仿宋_GB2312"/>
          <w:b/>
          <w:bCs/>
          <w:szCs w:val="32"/>
        </w:rPr>
        <w:t>（二）坚持多措并举，全力增强财政实力。</w:t>
      </w:r>
      <w:r>
        <w:rPr>
          <w:rFonts w:hint="eastAsia" w:ascii="仿宋_GB2312" w:hAnsi="方正仿宋_GB2312" w:eastAsia="仿宋_GB2312" w:cs="方正仿宋_GB2312"/>
          <w:bCs/>
          <w:szCs w:val="32"/>
        </w:rPr>
        <w:t>推进财源建设年行动，做好优质潜力财源精准服务工作，提升财源转化成效。依法依规组织征缴各项税费收入，坚持应收尽收、坚决不收过头税，确保各项税费该征的征、该退的退。坚持财政收入调度机制，实现</w:t>
      </w:r>
      <w:r>
        <w:rPr>
          <w:rFonts w:hint="eastAsia" w:ascii="仿宋_GB2312" w:hAnsi="方正仿宋_GB2312" w:eastAsia="仿宋_GB2312" w:cs="方正仿宋_GB2312"/>
          <w:bCs/>
          <w:szCs w:val="32"/>
          <w:lang w:val="en-US" w:eastAsia="zh-CN"/>
        </w:rPr>
        <w:t>全</w:t>
      </w:r>
      <w:r>
        <w:rPr>
          <w:rFonts w:hint="eastAsia" w:ascii="仿宋_GB2312" w:hAnsi="方正仿宋_GB2312" w:eastAsia="仿宋_GB2312" w:cs="方正仿宋_GB2312"/>
          <w:bCs/>
          <w:szCs w:val="32"/>
        </w:rPr>
        <w:t>市财政收入质和量的合理增长。增强财税政策宣传的针对性和有效性，提高政策知晓度，确保市场主体全面享受政策红利。聚焦重大战略、重大改革、重大决策、重大项目，紧盯明年宏观财政政策动向，积极向上争政策、争资金、争项目、争额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方正仿宋_GB2312" w:eastAsia="仿宋_GB2312" w:cs="方正仿宋_GB2312"/>
          <w:bCs/>
          <w:szCs w:val="32"/>
        </w:rPr>
      </w:pPr>
      <w:r>
        <w:rPr>
          <w:rFonts w:hint="eastAsia" w:ascii="楷体_GB2312" w:hAnsi="方正仿宋_GB2312" w:eastAsia="楷体_GB2312" w:cs="方正仿宋_GB2312"/>
          <w:b/>
          <w:bCs/>
          <w:szCs w:val="32"/>
        </w:rPr>
        <w:t>（三）坚持深化改革，全力提升治理效能。</w:t>
      </w:r>
      <w:r>
        <w:rPr>
          <w:rFonts w:hint="eastAsia" w:ascii="仿宋_GB2312" w:hAnsi="方正仿宋_GB2312" w:eastAsia="仿宋_GB2312" w:cs="方正仿宋_GB2312"/>
          <w:bCs/>
          <w:szCs w:val="32"/>
        </w:rPr>
        <w:t>统筹推进各项财政管理制度改革，健全现代预算制度。加大财会监督力度，完善财会监督体系和工作机制，扎实开展财会监督专项行动，严肃财经纪律。提升财会监督效能，做好财会监督与纪检监察监督、审计监督、统计监督等各类监督贯通协同，逐步实现信息共享、成果共用，形成监督合力。加强财政管理，深入推进财政法治体系建设，加快预算管理一体化建设，完善预算绩效管理体系，加强会计和国有资产管理，强化政府投资基金管理，提升财政管理水平。按照“防爆雷，控增量，去存量”的总体目标，严格落实化债方案，积极争取政策支持，统筹各类财政，防范化解地方债务风险，牢牢守住不发生区域性系统性风险底线。持续推进国企高质量发展五年行动计划，做实做大资产底盘，加强运行监管，严防国企风险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方正仿宋_GB2312" w:eastAsia="仿宋_GB2312" w:cs="方正仿宋_GB2312"/>
          <w:bCs/>
          <w:szCs w:val="32"/>
        </w:rPr>
      </w:pPr>
      <w:r>
        <w:rPr>
          <w:rFonts w:hint="eastAsia" w:ascii="楷体_GB2312" w:hAnsi="方正仿宋_GB2312" w:eastAsia="楷体_GB2312" w:cs="方正仿宋_GB2312"/>
          <w:b/>
          <w:bCs/>
          <w:szCs w:val="32"/>
        </w:rPr>
        <w:t>（四）坚持强化统筹，全力优化配置效率。</w:t>
      </w:r>
      <w:r>
        <w:rPr>
          <w:rFonts w:hint="eastAsia" w:ascii="仿宋_GB2312" w:hAnsi="方正仿宋_GB2312" w:eastAsia="仿宋_GB2312" w:cs="方正仿宋_GB2312"/>
          <w:bCs/>
          <w:szCs w:val="32"/>
        </w:rPr>
        <w:t>紧紧围绕市委市政府部署要求，充分发挥“收、支、管、调、防”职能作用，更好统筹财政政策、资金资源，提高财政综合配置效率。加大政府预算、单位自有资金、债券资金、政府投资基金等各类资金统筹力度，持续优化支出结构，集中财力支持重大战略、重点项目落实落地。厉行节约树牢过紧日子理念，健全过紧日子制度，严格过紧日子执行，强化过紧日子监督。继续严控一般性支出及非刚性非必要支出，努力降低行政运行成本。健全和落实分级责任体系，扛牢“三保”责任，筑牢兜实“三保”。强化预算约束，严禁超预算支出。健全项目库三年滚动机制，建立健全支出标准体系，加强项目支出管理。积极推进政府投资项目绩效综合评价，做好项目财力支撑分析和财力论证，加强预算评审，强化竣工结算和财务决策管理，建立政府投资项目全生命周期绩效管理机制，切实提高政府投资效率、效益、效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楷体_GB2312" w:hAnsi="方正仿宋_GB2312" w:eastAsia="楷体_GB2312" w:cs="方正仿宋_GB2312"/>
          <w:b/>
          <w:bCs/>
          <w:szCs w:val="32"/>
        </w:rPr>
        <w:t>（五）坚持依法理财，全力增强预算约束。</w:t>
      </w:r>
      <w:r>
        <w:rPr>
          <w:rFonts w:hint="eastAsia" w:ascii="仿宋_GB2312" w:hAnsi="方正仿宋_GB2312" w:eastAsia="仿宋_GB2312" w:cs="方正仿宋_GB2312"/>
          <w:bCs/>
          <w:szCs w:val="32"/>
        </w:rPr>
        <w:t>牢固树立预算法治意识,依法依规组织财政收入、安排支出,管好用好各项财政资金.硬化预算执行约束,严格执行经人大批准的预算,严控预算调剂事项. 构建事前事中事后绩效管理闭环系统.全面规范预决算信息公开,提升财政资金管理透明度。严格依法接受预算监督，</w:t>
      </w:r>
      <w:r>
        <w:rPr>
          <w:rFonts w:ascii="仿宋_GB2312" w:hAnsi="方正仿宋_GB2312" w:eastAsia="仿宋_GB2312" w:cs="方正仿宋_GB2312"/>
          <w:bCs/>
          <w:szCs w:val="32"/>
        </w:rPr>
        <w:t>全面落实审查预算重点向支出</w:t>
      </w: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预算和政策拓展改革要求，认真听取吸纳人大代表和社会各界意见建议，紧紧围绕落实市委、市政府重大决策部署，改进预算报告和草案编制工作，提高支出预算和政策的科学性有效性。主动向市人大报告国有资产、预算绩效、政府债务管理等工作，积极配合推进预算联网监督，更好服务人大预算审查监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Cs/>
          <w:kern w:val="2"/>
          <w:sz w:val="32"/>
          <w:szCs w:val="32"/>
          <w:highlight w:val="none"/>
          <w:shd w:val="clear" w:color="auto" w:fill="FFFFFF"/>
          <w:lang w:val="en-US" w:eastAsia="zh-CN" w:bidi="ar-SA"/>
        </w:rPr>
        <w:t>各位代表，2024年财政预算工作任务艰巨、责任重大、使命光荣。全市财政部门将深入贯彻习近平新时代中国特色社会主义思想，在市委的坚强领导下，自觉接受市人大、市政协监督指导，攻坚克难，砥砺前行，更好发挥财政职能作用，为推动潜江实现新时代四化同步发展贡献财政力量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ascii="仿宋_GB2312" w:hAnsi="方正仿宋_GB2312" w:eastAsia="仿宋_GB2312" w:cs="方正仿宋_GB2312"/>
          <w:bCs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AB9FC2A-A688-455C-A1C2-331382BCBC03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  <w:embedRegular r:id="rId2" w:fontKey="{18620005-BE65-4A67-959A-420F8DEA55BB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A02EA795-CB00-4A59-A1C2-BF7BC02E646A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992A9556-9476-40F3-B0F9-73DBA9EEF66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53E5D458-B45F-455C-8CC9-FD9B1FEE308C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87574E7D-338A-4569-9281-B5D5B66FBCCA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444A04A2-FD75-4D51-89A5-A8EE4373802D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8" w:fontKey="{675B9D57-5143-4599-8E05-AD31FC11CAE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19149908"/>
    </w:sdtPr>
    <w:sdtContent>
      <w:p>
        <w:pPr>
          <w:pStyle w:val="10"/>
          <w:jc w:val="center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2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  <w:p>
    <w:pPr>
      <w:pStyle w:val="1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0ZDJjNjFkZjMyMjQ3ODFlZTkzODYxMGQxNzVjZjQifQ=="/>
  </w:docVars>
  <w:rsids>
    <w:rsidRoot w:val="00111188"/>
    <w:rsid w:val="00095C3B"/>
    <w:rsid w:val="000F45C9"/>
    <w:rsid w:val="00111188"/>
    <w:rsid w:val="001B4FC4"/>
    <w:rsid w:val="001D648B"/>
    <w:rsid w:val="001F1E78"/>
    <w:rsid w:val="00323AB4"/>
    <w:rsid w:val="003E172C"/>
    <w:rsid w:val="00445C85"/>
    <w:rsid w:val="00470136"/>
    <w:rsid w:val="00486BFD"/>
    <w:rsid w:val="005E59CB"/>
    <w:rsid w:val="00605563"/>
    <w:rsid w:val="00635A63"/>
    <w:rsid w:val="00670DE8"/>
    <w:rsid w:val="00763A71"/>
    <w:rsid w:val="008A1855"/>
    <w:rsid w:val="008B33CD"/>
    <w:rsid w:val="008C32AD"/>
    <w:rsid w:val="008C4D54"/>
    <w:rsid w:val="008C7DBC"/>
    <w:rsid w:val="008E2FFC"/>
    <w:rsid w:val="0090364A"/>
    <w:rsid w:val="00927B86"/>
    <w:rsid w:val="009E1A09"/>
    <w:rsid w:val="009F132E"/>
    <w:rsid w:val="00A013B2"/>
    <w:rsid w:val="00BF7FB3"/>
    <w:rsid w:val="00D524B5"/>
    <w:rsid w:val="00DC77B6"/>
    <w:rsid w:val="00E01AB4"/>
    <w:rsid w:val="00E6464C"/>
    <w:rsid w:val="00E878E6"/>
    <w:rsid w:val="00F11560"/>
    <w:rsid w:val="00F73F95"/>
    <w:rsid w:val="00FA5986"/>
    <w:rsid w:val="00FC1381"/>
    <w:rsid w:val="028B5638"/>
    <w:rsid w:val="037E7BC2"/>
    <w:rsid w:val="04B3724B"/>
    <w:rsid w:val="07103168"/>
    <w:rsid w:val="076259BE"/>
    <w:rsid w:val="0B483444"/>
    <w:rsid w:val="0D88416D"/>
    <w:rsid w:val="0F273BAD"/>
    <w:rsid w:val="0FA166E6"/>
    <w:rsid w:val="14AD6192"/>
    <w:rsid w:val="14EA511E"/>
    <w:rsid w:val="185305AB"/>
    <w:rsid w:val="1A4723EC"/>
    <w:rsid w:val="1CFC1FAB"/>
    <w:rsid w:val="1D1154AD"/>
    <w:rsid w:val="1DCE4AAC"/>
    <w:rsid w:val="1FC05FC4"/>
    <w:rsid w:val="20735849"/>
    <w:rsid w:val="23572D72"/>
    <w:rsid w:val="23583DEF"/>
    <w:rsid w:val="257260E8"/>
    <w:rsid w:val="25EB42DB"/>
    <w:rsid w:val="25F65289"/>
    <w:rsid w:val="260F754A"/>
    <w:rsid w:val="26797B39"/>
    <w:rsid w:val="26F64743"/>
    <w:rsid w:val="28BD4802"/>
    <w:rsid w:val="2E5D3DAB"/>
    <w:rsid w:val="2EC71203"/>
    <w:rsid w:val="31BB0FE7"/>
    <w:rsid w:val="322A1E06"/>
    <w:rsid w:val="35EB01B8"/>
    <w:rsid w:val="377B7262"/>
    <w:rsid w:val="3B1E6267"/>
    <w:rsid w:val="3C1E5271"/>
    <w:rsid w:val="43E34902"/>
    <w:rsid w:val="4522112C"/>
    <w:rsid w:val="45FA2938"/>
    <w:rsid w:val="48B87E4D"/>
    <w:rsid w:val="4C7E73A7"/>
    <w:rsid w:val="5264337B"/>
    <w:rsid w:val="54CB250E"/>
    <w:rsid w:val="5BCA6EF9"/>
    <w:rsid w:val="5C512BE0"/>
    <w:rsid w:val="5EC726D3"/>
    <w:rsid w:val="60850471"/>
    <w:rsid w:val="63F10405"/>
    <w:rsid w:val="64052E0F"/>
    <w:rsid w:val="677A416A"/>
    <w:rsid w:val="68C453EB"/>
    <w:rsid w:val="6CA65C5C"/>
    <w:rsid w:val="74A22ABB"/>
    <w:rsid w:val="77153011"/>
    <w:rsid w:val="79524723"/>
    <w:rsid w:val="79634BB7"/>
    <w:rsid w:val="7B5A03A2"/>
    <w:rsid w:val="7C6C39B4"/>
    <w:rsid w:val="7C6E65F7"/>
    <w:rsid w:val="7FFC2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方正仿宋_GB2312" w:cs="Times New Roman"/>
      <w:kern w:val="2"/>
      <w:sz w:val="32"/>
      <w:lang w:val="en-US" w:eastAsia="zh-CN" w:bidi="ar-SA"/>
    </w:rPr>
  </w:style>
  <w:style w:type="paragraph" w:styleId="4">
    <w:name w:val="heading 1"/>
    <w:basedOn w:val="1"/>
    <w:next w:val="1"/>
    <w:link w:val="19"/>
    <w:autoRedefine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5">
    <w:name w:val="heading 2"/>
    <w:basedOn w:val="1"/>
    <w:next w:val="1"/>
    <w:link w:val="22"/>
    <w:autoRedefine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6">
    <w:name w:val="heading 3"/>
    <w:basedOn w:val="1"/>
    <w:next w:val="1"/>
    <w:link w:val="20"/>
    <w:autoRedefine/>
    <w:semiHidden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paragraph" w:styleId="7">
    <w:name w:val="heading 4"/>
    <w:basedOn w:val="1"/>
    <w:next w:val="1"/>
    <w:link w:val="21"/>
    <w:autoRedefine/>
    <w:semiHidden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14">
    <w:name w:val="Default Paragraph Font"/>
    <w:autoRedefine/>
    <w:semiHidden/>
    <w:unhideWhenUsed/>
    <w:qFormat/>
    <w:uiPriority w:val="1"/>
  </w:style>
  <w:style w:type="table" w:default="1" w:styleId="1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semiHidden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autoRedefine/>
    <w:semiHidden/>
    <w:unhideWhenUsed/>
    <w:qFormat/>
    <w:uiPriority w:val="99"/>
    <w:pPr>
      <w:spacing w:after="120" w:afterLines="0" w:afterAutospacing="0"/>
      <w:ind w:left="420" w:leftChars="200"/>
    </w:pPr>
  </w:style>
  <w:style w:type="paragraph" w:styleId="8">
    <w:name w:val="Normal Indent"/>
    <w:basedOn w:val="1"/>
    <w:autoRedefine/>
    <w:qFormat/>
    <w:uiPriority w:val="0"/>
    <w:pPr>
      <w:ind w:firstLine="420" w:firstLineChars="200"/>
    </w:pPr>
  </w:style>
  <w:style w:type="paragraph" w:styleId="9">
    <w:name w:val="Balloon Text"/>
    <w:basedOn w:val="1"/>
    <w:link w:val="16"/>
    <w:autoRedefine/>
    <w:semiHidden/>
    <w:unhideWhenUsed/>
    <w:qFormat/>
    <w:uiPriority w:val="99"/>
    <w:rPr>
      <w:sz w:val="18"/>
      <w:szCs w:val="18"/>
    </w:rPr>
  </w:style>
  <w:style w:type="paragraph" w:styleId="10">
    <w:name w:val="footer"/>
    <w:basedOn w:val="1"/>
    <w:link w:val="1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1">
    <w:name w:val="header"/>
    <w:basedOn w:val="1"/>
    <w:link w:val="1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2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  <w:szCs w:val="24"/>
    </w:rPr>
  </w:style>
  <w:style w:type="character" w:styleId="15">
    <w:name w:val="Strong"/>
    <w:basedOn w:val="14"/>
    <w:autoRedefine/>
    <w:qFormat/>
    <w:uiPriority w:val="0"/>
    <w:rPr>
      <w:b/>
      <w:bCs/>
    </w:rPr>
  </w:style>
  <w:style w:type="character" w:customStyle="1" w:styleId="16">
    <w:name w:val="批注框文本 Char"/>
    <w:basedOn w:val="14"/>
    <w:link w:val="9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7">
    <w:name w:val="页眉 Char"/>
    <w:basedOn w:val="14"/>
    <w:link w:val="11"/>
    <w:autoRedefine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8">
    <w:name w:val="页脚 Char"/>
    <w:basedOn w:val="14"/>
    <w:link w:val="10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9">
    <w:name w:val="标题 1 Char"/>
    <w:basedOn w:val="14"/>
    <w:link w:val="4"/>
    <w:autoRedefine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20">
    <w:name w:val="标题 3 Char"/>
    <w:link w:val="6"/>
    <w:autoRedefine/>
    <w:qFormat/>
    <w:uiPriority w:val="0"/>
    <w:rPr>
      <w:b/>
      <w:sz w:val="32"/>
    </w:rPr>
  </w:style>
  <w:style w:type="character" w:customStyle="1" w:styleId="21">
    <w:name w:val="标题 4 Char"/>
    <w:link w:val="7"/>
    <w:autoRedefine/>
    <w:qFormat/>
    <w:uiPriority w:val="0"/>
    <w:rPr>
      <w:rFonts w:ascii="Arial" w:hAnsi="Arial" w:eastAsia="黑体"/>
      <w:b/>
      <w:sz w:val="28"/>
    </w:rPr>
  </w:style>
  <w:style w:type="character" w:customStyle="1" w:styleId="22">
    <w:name w:val="标题 2 Char"/>
    <w:link w:val="5"/>
    <w:autoRedefine/>
    <w:qFormat/>
    <w:uiPriority w:val="0"/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20</Pages>
  <Words>8540</Words>
  <Characters>9874</Characters>
  <Lines>72</Lines>
  <Paragraphs>20</Paragraphs>
  <TotalTime>19</TotalTime>
  <ScaleCrop>false</ScaleCrop>
  <LinksUpToDate>false</LinksUpToDate>
  <CharactersWithSpaces>9893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2022-12-16T02:05:00Z</dcterms:created>
  <dc:creator>lenovo</dc:creator>
  <cp:lastModifiedBy>WPS_1663132769</cp:lastModifiedBy>
  <cp:lastPrinted>2024-01-03T08:52:00Z</cp:lastPrinted>
  <dcterms:modified xsi:type="dcterms:W3CDTF">2024-01-26T01:04:56Z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3C02C5AA1C0844C1B9BBFAC50B82160C_13</vt:lpwstr>
  </property>
</Properties>
</file>