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color w:val="000000"/>
          <w:kern w:val="0"/>
          <w:sz w:val="32"/>
          <w:szCs w:val="32"/>
          <w:lang w:val="en-US" w:eastAsia="zh-CN"/>
        </w:rPr>
      </w:pPr>
      <w:r>
        <w:rPr>
          <w:rFonts w:hint="eastAsia" w:ascii="方正小标宋简体" w:hAnsi="方正小标宋简体" w:eastAsia="方正小标宋简体" w:cs="方正小标宋简体"/>
          <w:sz w:val="44"/>
          <w:szCs w:val="44"/>
        </w:rPr>
        <w:t>潜江市202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年预算绩效工作开展情况说明</w:t>
      </w:r>
    </w:p>
    <w:p>
      <w:pPr>
        <w:pStyle w:val="6"/>
        <w:rPr>
          <w:rFonts w:hint="eastAsia"/>
          <w:lang w:val="en-US" w:eastAsia="zh-CN"/>
        </w:rPr>
      </w:pPr>
    </w:p>
    <w:p>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b/>
          <w:bCs/>
          <w:sz w:val="32"/>
          <w:szCs w:val="32"/>
          <w:lang w:eastAsia="zh-CN"/>
        </w:rPr>
      </w:pP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年，绩效</w:t>
      </w:r>
      <w:r>
        <w:rPr>
          <w:rFonts w:hint="eastAsia" w:ascii="仿宋" w:hAnsi="仿宋" w:eastAsia="仿宋" w:cs="仿宋"/>
          <w:sz w:val="32"/>
          <w:szCs w:val="32"/>
          <w:lang w:val="en-US" w:eastAsia="zh-CN"/>
        </w:rPr>
        <w:t>科</w:t>
      </w:r>
      <w:r>
        <w:rPr>
          <w:rFonts w:hint="eastAsia" w:ascii="仿宋" w:hAnsi="仿宋" w:eastAsia="仿宋" w:cs="仿宋"/>
          <w:sz w:val="32"/>
          <w:szCs w:val="32"/>
        </w:rPr>
        <w:t>在局党</w:t>
      </w:r>
      <w:r>
        <w:rPr>
          <w:rFonts w:hint="eastAsia" w:ascii="仿宋" w:hAnsi="仿宋" w:eastAsia="仿宋" w:cs="仿宋"/>
          <w:sz w:val="32"/>
          <w:szCs w:val="32"/>
          <w:lang w:eastAsia="zh-CN"/>
        </w:rPr>
        <w:t>组</w:t>
      </w:r>
      <w:r>
        <w:rPr>
          <w:rFonts w:hint="eastAsia" w:ascii="仿宋" w:hAnsi="仿宋" w:eastAsia="仿宋" w:cs="仿宋"/>
          <w:sz w:val="32"/>
          <w:szCs w:val="32"/>
        </w:rPr>
        <w:t>的领导下，在省财政厅</w:t>
      </w:r>
      <w:r>
        <w:rPr>
          <w:rFonts w:hint="eastAsia" w:ascii="仿宋" w:hAnsi="仿宋" w:eastAsia="仿宋" w:cs="仿宋"/>
          <w:sz w:val="32"/>
          <w:szCs w:val="32"/>
          <w:lang w:val="en-US" w:eastAsia="zh-CN"/>
        </w:rPr>
        <w:t>综合</w:t>
      </w:r>
      <w:r>
        <w:rPr>
          <w:rFonts w:hint="eastAsia" w:ascii="仿宋" w:hAnsi="仿宋" w:eastAsia="仿宋" w:cs="仿宋"/>
          <w:sz w:val="32"/>
          <w:szCs w:val="32"/>
        </w:rPr>
        <w:t>绩效</w:t>
      </w:r>
      <w:r>
        <w:rPr>
          <w:rFonts w:hint="eastAsia" w:ascii="仿宋" w:hAnsi="仿宋" w:eastAsia="仿宋" w:cs="仿宋"/>
          <w:sz w:val="32"/>
          <w:szCs w:val="32"/>
          <w:lang w:val="en-US" w:eastAsia="zh-CN"/>
        </w:rPr>
        <w:t>处</w:t>
      </w:r>
      <w:r>
        <w:rPr>
          <w:rFonts w:hint="eastAsia" w:ascii="仿宋" w:hAnsi="仿宋" w:eastAsia="仿宋" w:cs="仿宋"/>
          <w:sz w:val="32"/>
          <w:szCs w:val="32"/>
        </w:rPr>
        <w:t>的指导下，</w:t>
      </w:r>
      <w:r>
        <w:rPr>
          <w:rFonts w:hint="eastAsia" w:ascii="仿宋" w:hAnsi="仿宋" w:eastAsia="仿宋" w:cs="仿宋"/>
          <w:sz w:val="32"/>
          <w:szCs w:val="32"/>
          <w:lang w:val="en-US" w:eastAsia="zh-CN"/>
        </w:rPr>
        <w:t>以习近平新世代中国特色社会主义思想为指导，</w:t>
      </w:r>
      <w:r>
        <w:rPr>
          <w:rFonts w:hint="eastAsia" w:ascii="仿宋" w:hAnsi="仿宋" w:eastAsia="仿宋" w:cs="仿宋"/>
          <w:sz w:val="32"/>
          <w:szCs w:val="32"/>
        </w:rPr>
        <w:t>围绕</w:t>
      </w:r>
      <w:r>
        <w:rPr>
          <w:rFonts w:hint="eastAsia" w:ascii="仿宋" w:hAnsi="仿宋" w:eastAsia="仿宋" w:cs="仿宋"/>
          <w:sz w:val="32"/>
          <w:szCs w:val="32"/>
          <w:lang w:val="en-US" w:eastAsia="zh-CN"/>
        </w:rPr>
        <w:t>大财政建设</w:t>
      </w:r>
      <w:r>
        <w:rPr>
          <w:rFonts w:hint="eastAsia" w:ascii="仿宋" w:hAnsi="仿宋" w:eastAsia="仿宋" w:cs="仿宋"/>
          <w:sz w:val="32"/>
          <w:szCs w:val="32"/>
        </w:rPr>
        <w:t>,</w:t>
      </w:r>
      <w:r>
        <w:rPr>
          <w:rFonts w:hint="eastAsia" w:ascii="仿宋" w:hAnsi="仿宋" w:eastAsia="仿宋" w:cs="仿宋"/>
          <w:sz w:val="32"/>
          <w:szCs w:val="32"/>
          <w:lang w:val="en-US" w:eastAsia="zh-CN"/>
        </w:rPr>
        <w:t>切实推进</w:t>
      </w:r>
      <w:r>
        <w:rPr>
          <w:rFonts w:hint="eastAsia" w:ascii="仿宋" w:hAnsi="仿宋" w:eastAsia="仿宋" w:cs="仿宋"/>
          <w:sz w:val="32"/>
          <w:szCs w:val="32"/>
        </w:rPr>
        <w:t>预算绩效管理各项工作</w:t>
      </w:r>
      <w:r>
        <w:rPr>
          <w:rFonts w:hint="eastAsia" w:ascii="仿宋" w:hAnsi="仿宋" w:eastAsia="仿宋" w:cs="仿宋"/>
          <w:sz w:val="32"/>
          <w:szCs w:val="32"/>
          <w:lang w:val="en-US" w:eastAsia="zh-CN"/>
        </w:rPr>
        <w:t>走深走实</w:t>
      </w:r>
      <w:r>
        <w:rPr>
          <w:rFonts w:hint="eastAsia" w:ascii="仿宋" w:hAnsi="仿宋" w:eastAsia="仿宋" w:cs="仿宋"/>
          <w:sz w:val="32"/>
          <w:szCs w:val="32"/>
        </w:rPr>
        <w:t>，</w:t>
      </w:r>
      <w:r>
        <w:rPr>
          <w:rFonts w:hint="eastAsia" w:ascii="仿宋" w:hAnsi="仿宋" w:eastAsia="仿宋" w:cs="仿宋"/>
          <w:sz w:val="32"/>
          <w:szCs w:val="32"/>
          <w:lang w:val="en-US" w:eastAsia="zh-CN"/>
        </w:rPr>
        <w:t>圆满完成了年初各项目标工作任务</w:t>
      </w:r>
      <w:r>
        <w:rPr>
          <w:rFonts w:hint="eastAsia" w:ascii="仿宋" w:hAnsi="仿宋" w:eastAsia="仿宋" w:cs="仿宋"/>
          <w:sz w:val="32"/>
          <w:szCs w:val="32"/>
        </w:rPr>
        <w:t>。</w:t>
      </w:r>
    </w:p>
    <w:p>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推动</w:t>
      </w:r>
      <w:r>
        <w:rPr>
          <w:rFonts w:hint="eastAsia" w:ascii="仿宋" w:hAnsi="仿宋" w:eastAsia="仿宋" w:cs="仿宋"/>
          <w:b/>
          <w:bCs/>
          <w:sz w:val="32"/>
          <w:szCs w:val="32"/>
          <w:lang w:val="en-US" w:eastAsia="zh-CN"/>
        </w:rPr>
        <w:t>了</w:t>
      </w:r>
      <w:r>
        <w:rPr>
          <w:rFonts w:hint="eastAsia" w:ascii="仿宋" w:hAnsi="仿宋" w:eastAsia="仿宋" w:cs="仿宋"/>
          <w:b/>
          <w:bCs/>
          <w:sz w:val="32"/>
          <w:szCs w:val="32"/>
          <w:lang w:eastAsia="zh-CN"/>
        </w:rPr>
        <w:t>事前绩效评估工作。</w:t>
      </w:r>
      <w:r>
        <w:rPr>
          <w:rFonts w:hint="eastAsia" w:ascii="仿宋" w:hAnsi="仿宋" w:eastAsia="仿宋" w:cs="仿宋"/>
          <w:sz w:val="32"/>
          <w:szCs w:val="32"/>
          <w:lang w:val="en-US" w:eastAsia="zh-CN"/>
        </w:rPr>
        <w:t>4月，在2024年财政</w:t>
      </w:r>
      <w:r>
        <w:rPr>
          <w:rFonts w:hint="eastAsia" w:ascii="仿宋" w:hAnsi="仿宋" w:eastAsia="仿宋" w:cs="仿宋"/>
          <w:sz w:val="32"/>
          <w:szCs w:val="32"/>
          <w:lang w:eastAsia="zh-CN"/>
        </w:rPr>
        <w:t>专项债券资金</w:t>
      </w:r>
      <w:r>
        <w:rPr>
          <w:rFonts w:hint="eastAsia" w:ascii="仿宋" w:hAnsi="仿宋" w:eastAsia="仿宋" w:cs="仿宋"/>
          <w:sz w:val="32"/>
          <w:szCs w:val="32"/>
          <w:lang w:val="en-US" w:eastAsia="zh-CN"/>
        </w:rPr>
        <w:t>中选择</w:t>
      </w:r>
      <w:r>
        <w:rPr>
          <w:rFonts w:hint="eastAsia" w:ascii="仿宋" w:hAnsi="仿宋" w:eastAsia="仿宋" w:cs="仿宋"/>
          <w:sz w:val="32"/>
          <w:szCs w:val="32"/>
          <w:lang w:eastAsia="zh-CN"/>
        </w:rPr>
        <w:t>“潜江市乡村振兴示范路闭环沿线农村生活污水治理及环境整治工程项目”、“潜江市乐宜康老年服务中心项目”、“潜江市公办幼儿园建设项目”、</w:t>
      </w:r>
      <w:r>
        <w:rPr>
          <w:rFonts w:hint="eastAsia" w:ascii="仿宋" w:hAnsi="仿宋" w:eastAsia="仿宋" w:cs="仿宋"/>
          <w:sz w:val="32"/>
          <w:szCs w:val="32"/>
          <w:lang w:val="en-US" w:eastAsia="zh-CN"/>
        </w:rPr>
        <w:t>“潜江市现代综合交通物流港项目”、</w:t>
      </w:r>
      <w:r>
        <w:rPr>
          <w:rFonts w:hint="eastAsia" w:ascii="仿宋" w:hAnsi="仿宋" w:eastAsia="仿宋" w:cs="仿宋"/>
          <w:sz w:val="32"/>
          <w:szCs w:val="32"/>
          <w:lang w:eastAsia="zh-CN"/>
        </w:rPr>
        <w:t>“潜江市城区污水收集管网建设与改造工程项目”、</w:t>
      </w:r>
      <w:r>
        <w:rPr>
          <w:rFonts w:hint="eastAsia" w:ascii="仿宋" w:hAnsi="仿宋" w:eastAsia="仿宋" w:cs="仿宋"/>
          <w:sz w:val="32"/>
          <w:szCs w:val="32"/>
          <w:lang w:val="en-US" w:eastAsia="zh-CN"/>
        </w:rPr>
        <w:t>“潜江市新型城镇化补短板强弱项一期（潜江市中心医院）项目”等6个重点项目，委托</w:t>
      </w:r>
      <w:r>
        <w:rPr>
          <w:rFonts w:hint="eastAsia" w:ascii="仿宋" w:hAnsi="仿宋" w:eastAsia="仿宋" w:cs="仿宋"/>
          <w:color w:val="auto"/>
          <w:sz w:val="32"/>
          <w:szCs w:val="32"/>
          <w:highlight w:val="none"/>
          <w:lang w:val="en-US" w:eastAsia="zh-CN"/>
        </w:rPr>
        <w:t>第三方机构对这6个项目开展了事前绩效评估，现已完成相关工作，其中予以通过的项目4个、不予通过的项目2个，随后我们将这些评估结果反馈给债务科等相关应用单位加以应用。</w:t>
      </w:r>
    </w:p>
    <w:p>
      <w:pPr>
        <w:keepNext w:val="0"/>
        <w:keepLines w:val="0"/>
        <w:pageBreakBefore w:val="0"/>
        <w:widowControl w:val="0"/>
        <w:numPr>
          <w:ilvl w:val="0"/>
          <w:numId w:val="0"/>
        </w:numPr>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二、审核</w:t>
      </w:r>
      <w:r>
        <w:rPr>
          <w:rFonts w:hint="eastAsia" w:ascii="仿宋" w:hAnsi="仿宋" w:eastAsia="仿宋" w:cs="仿宋"/>
          <w:b/>
          <w:bCs/>
          <w:sz w:val="32"/>
          <w:szCs w:val="32"/>
          <w:lang w:eastAsia="zh-CN"/>
        </w:rPr>
        <w:t>20</w:t>
      </w:r>
      <w:r>
        <w:rPr>
          <w:rFonts w:hint="eastAsia" w:ascii="仿宋" w:hAnsi="仿宋" w:eastAsia="仿宋" w:cs="仿宋"/>
          <w:b/>
          <w:bCs/>
          <w:sz w:val="32"/>
          <w:szCs w:val="32"/>
          <w:lang w:val="en-US" w:eastAsia="zh-CN"/>
        </w:rPr>
        <w:t>24</w:t>
      </w:r>
      <w:r>
        <w:rPr>
          <w:rFonts w:hint="eastAsia" w:ascii="仿宋" w:hAnsi="仿宋" w:eastAsia="仿宋" w:cs="仿宋"/>
          <w:b/>
          <w:bCs/>
          <w:sz w:val="32"/>
          <w:szCs w:val="32"/>
        </w:rPr>
        <w:t>年度</w:t>
      </w:r>
      <w:r>
        <w:rPr>
          <w:rFonts w:hint="eastAsia" w:ascii="仿宋" w:hAnsi="仿宋" w:eastAsia="仿宋" w:cs="仿宋"/>
          <w:b/>
          <w:bCs/>
          <w:sz w:val="32"/>
          <w:szCs w:val="32"/>
          <w:lang w:eastAsia="zh-CN"/>
        </w:rPr>
        <w:t>部门</w:t>
      </w:r>
      <w:r>
        <w:rPr>
          <w:rFonts w:hint="eastAsia" w:ascii="仿宋" w:hAnsi="仿宋" w:eastAsia="仿宋" w:cs="仿宋"/>
          <w:b/>
          <w:bCs/>
          <w:sz w:val="32"/>
          <w:szCs w:val="32"/>
        </w:rPr>
        <w:t>预算绩效目标。</w:t>
      </w:r>
      <w:r>
        <w:rPr>
          <w:rFonts w:hint="eastAsia" w:ascii="仿宋" w:hAnsi="仿宋" w:eastAsia="仿宋" w:cs="仿宋"/>
          <w:b w:val="0"/>
          <w:bCs w:val="0"/>
          <w:sz w:val="32"/>
          <w:szCs w:val="32"/>
          <w:lang w:val="en-US" w:eastAsia="zh-CN"/>
        </w:rPr>
        <w:t>组织全市预算单位申报2024年项目资金绩效目标和部门整体支出绩效目标，结合</w:t>
      </w:r>
      <w:r>
        <w:rPr>
          <w:rFonts w:hint="eastAsia" w:ascii="仿宋" w:hAnsi="仿宋" w:eastAsia="仿宋" w:cs="仿宋"/>
          <w:sz w:val="32"/>
          <w:szCs w:val="32"/>
          <w:lang w:val="en-US" w:eastAsia="zh-CN"/>
        </w:rPr>
        <w:t>预算一体化系统进行了线上线下审核，其中对纳入2024年部门预算入库项目的绩效目标及绩效指标进行全面审核，</w:t>
      </w:r>
      <w:r>
        <w:rPr>
          <w:rFonts w:hint="eastAsia" w:ascii="仿宋" w:hAnsi="仿宋" w:eastAsia="仿宋" w:cs="仿宋"/>
          <w:sz w:val="32"/>
          <w:szCs w:val="32"/>
          <w:lang w:eastAsia="zh-CN"/>
        </w:rPr>
        <w:t>审核</w:t>
      </w:r>
      <w:r>
        <w:rPr>
          <w:rFonts w:hint="eastAsia" w:ascii="仿宋" w:hAnsi="仿宋" w:eastAsia="仿宋" w:cs="仿宋"/>
          <w:sz w:val="32"/>
          <w:szCs w:val="32"/>
          <w:lang w:val="en-US" w:eastAsia="zh-CN"/>
        </w:rPr>
        <w:t>项目</w:t>
      </w:r>
      <w:r>
        <w:rPr>
          <w:rFonts w:hint="eastAsia" w:ascii="仿宋" w:hAnsi="仿宋" w:eastAsia="仿宋" w:cs="仿宋"/>
          <w:sz w:val="32"/>
          <w:szCs w:val="32"/>
          <w:lang w:eastAsia="zh-CN"/>
        </w:rPr>
        <w:t>绩效目标</w:t>
      </w:r>
      <w:r>
        <w:rPr>
          <w:rFonts w:hint="eastAsia" w:ascii="仿宋" w:hAnsi="仿宋" w:eastAsia="仿宋" w:cs="仿宋"/>
          <w:sz w:val="32"/>
          <w:szCs w:val="32"/>
          <w:lang w:val="en-US" w:eastAsia="zh-CN"/>
        </w:rPr>
        <w:t>906个、部门整体支出绩效目标62个。</w:t>
      </w:r>
    </w:p>
    <w:p>
      <w:pPr>
        <w:keepNext w:val="0"/>
        <w:keepLines w:val="0"/>
        <w:widowControl/>
        <w:suppressLineNumbers w:val="0"/>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三、组织开展了2024年绩效评价工作。</w:t>
      </w:r>
      <w:r>
        <w:rPr>
          <w:rFonts w:hint="eastAsia" w:ascii="仿宋" w:hAnsi="仿宋" w:eastAsia="仿宋" w:cs="仿宋"/>
          <w:color w:val="000000" w:themeColor="text1"/>
          <w:sz w:val="32"/>
          <w:szCs w:val="32"/>
          <w:lang w:val="en-US" w:eastAsia="zh-CN"/>
          <w14:textFill>
            <w14:solidFill>
              <w14:schemeClr w14:val="tx1"/>
            </w14:solidFill>
          </w14:textFill>
        </w:rPr>
        <w:t>4月，印发了《潜江市财政局关于开展2024年财政支出绩效评价工作的通知》（潜财</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绩</w:t>
      </w:r>
      <w:r>
        <w:rPr>
          <w:rFonts w:hint="eastAsia" w:ascii="CESI仿宋-GB2312" w:hAnsi="CESI仿宋-GB2312" w:eastAsia="CESI仿宋-GB2312" w:cs="CESI仿宋-GB2312"/>
          <w:i w:val="0"/>
          <w:iCs w:val="0"/>
          <w:caps w:val="0"/>
          <w:color w:val="000000" w:themeColor="text1"/>
          <w:spacing w:val="0"/>
          <w:kern w:val="0"/>
          <w:sz w:val="32"/>
          <w:szCs w:val="32"/>
          <w:shd w:val="clear" w:fill="FFFFFF"/>
          <w:lang w:val="en-US" w:eastAsia="zh-CN" w:bidi="ar"/>
          <w14:textFill>
            <w14:solidFill>
              <w14:schemeClr w14:val="tx1"/>
            </w14:solidFill>
          </w14:textFill>
        </w:rPr>
        <w:t>〔2024〕</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1号），明确了评价对象、要求。</w:t>
      </w:r>
      <w:r>
        <w:rPr>
          <w:rFonts w:hint="eastAsia" w:ascii="CESI仿宋-GB2312" w:hAnsi="CESI仿宋-GB2312" w:eastAsia="CESI仿宋-GB2312" w:cs="CESI仿宋-GB2312"/>
          <w:color w:val="000000" w:themeColor="text1"/>
          <w:sz w:val="32"/>
          <w:szCs w:val="32"/>
          <w14:textFill>
            <w14:solidFill>
              <w14:schemeClr w14:val="tx1"/>
            </w14:solidFill>
          </w14:textFill>
        </w:rPr>
        <w:t>组织对全市</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66</w:t>
      </w:r>
      <w:r>
        <w:rPr>
          <w:rFonts w:hint="eastAsia" w:ascii="CESI仿宋-GB2312" w:hAnsi="CESI仿宋-GB2312" w:eastAsia="CESI仿宋-GB2312" w:cs="CESI仿宋-GB2312"/>
          <w:color w:val="000000" w:themeColor="text1"/>
          <w:sz w:val="32"/>
          <w:szCs w:val="32"/>
          <w14:textFill>
            <w14:solidFill>
              <w14:schemeClr w14:val="tx1"/>
            </w14:solidFill>
          </w14:textFill>
        </w:rPr>
        <w:t>个预算部门开展整体支出绩效评价，对</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448</w:t>
      </w:r>
      <w:r>
        <w:rPr>
          <w:rFonts w:hint="eastAsia" w:ascii="CESI仿宋-GB2312" w:hAnsi="CESI仿宋-GB2312" w:eastAsia="CESI仿宋-GB2312" w:cs="CESI仿宋-GB2312"/>
          <w:color w:val="000000" w:themeColor="text1"/>
          <w:sz w:val="32"/>
          <w:szCs w:val="32"/>
          <w14:textFill>
            <w14:solidFill>
              <w14:schemeClr w14:val="tx1"/>
            </w14:solidFill>
          </w14:textFill>
        </w:rPr>
        <w:t>个市级项目资金使用情况进行绩效自评，在此基础上，市财政</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部门</w:t>
      </w:r>
      <w:r>
        <w:rPr>
          <w:rFonts w:hint="eastAsia" w:ascii="CESI仿宋-GB2312" w:hAnsi="CESI仿宋-GB2312" w:eastAsia="CESI仿宋-GB2312" w:cs="CESI仿宋-GB2312"/>
          <w:color w:val="000000" w:themeColor="text1"/>
          <w:sz w:val="32"/>
          <w:szCs w:val="32"/>
          <w14:textFill>
            <w14:solidFill>
              <w14:schemeClr w14:val="tx1"/>
            </w14:solidFill>
          </w14:textFill>
        </w:rPr>
        <w:t>选择重点民生、重要支出和</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衔接</w:t>
      </w:r>
      <w:r>
        <w:rPr>
          <w:rFonts w:hint="eastAsia" w:ascii="CESI仿宋-GB2312" w:hAnsi="CESI仿宋-GB2312" w:eastAsia="CESI仿宋-GB2312" w:cs="CESI仿宋-GB2312"/>
          <w:color w:val="000000" w:themeColor="text1"/>
          <w:sz w:val="32"/>
          <w:szCs w:val="32"/>
          <w14:textFill>
            <w14:solidFill>
              <w14:schemeClr w14:val="tx1"/>
            </w14:solidFill>
          </w14:textFill>
        </w:rPr>
        <w:t>资金等</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25</w:t>
      </w:r>
      <w:r>
        <w:rPr>
          <w:rFonts w:hint="eastAsia" w:ascii="CESI仿宋-GB2312" w:hAnsi="CESI仿宋-GB2312" w:eastAsia="CESI仿宋-GB2312" w:cs="CESI仿宋-GB2312"/>
          <w:color w:val="000000" w:themeColor="text1"/>
          <w:sz w:val="32"/>
          <w:szCs w:val="32"/>
          <w14:textFill>
            <w14:solidFill>
              <w14:schemeClr w14:val="tx1"/>
            </w14:solidFill>
          </w14:textFill>
        </w:rPr>
        <w:t>个项目开展了绩效评价，涉及资金</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3.35</w:t>
      </w:r>
      <w:r>
        <w:rPr>
          <w:rFonts w:hint="eastAsia" w:ascii="CESI仿宋-GB2312" w:hAnsi="CESI仿宋-GB2312" w:eastAsia="CESI仿宋-GB2312" w:cs="CESI仿宋-GB2312"/>
          <w:color w:val="000000" w:themeColor="text1"/>
          <w:sz w:val="32"/>
          <w:szCs w:val="32"/>
          <w14:textFill>
            <w14:solidFill>
              <w14:schemeClr w14:val="tx1"/>
            </w14:solidFill>
          </w14:textFill>
        </w:rPr>
        <w:t>亿元。</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同时，</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组织全市预算单位开展了2023年度中央对地方转移支付预算执行情况绩效自评工作。</w:t>
      </w:r>
    </w:p>
    <w:p>
      <w:pPr>
        <w:keepNext w:val="0"/>
        <w:keepLines w:val="0"/>
        <w:pageBreakBefore w:val="0"/>
        <w:widowControl w:val="0"/>
        <w:kinsoku/>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四、推进财政预算绩效管理工作机制创新。</w:t>
      </w:r>
      <w:r>
        <w:rPr>
          <w:rFonts w:hint="eastAsia" w:ascii="仿宋" w:hAnsi="仿宋" w:eastAsia="仿宋" w:cs="仿宋"/>
          <w:sz w:val="32"/>
          <w:szCs w:val="32"/>
          <w:lang w:val="en-US" w:eastAsia="zh-CN"/>
        </w:rPr>
        <w:t>根据“潜江市财政预算绩效管理工作委员会”主要任务，制订了2024年重点工作计划，</w:t>
      </w:r>
      <w:r>
        <w:rPr>
          <w:rFonts w:hint="eastAsia" w:ascii="仿宋" w:hAnsi="仿宋" w:eastAsia="仿宋" w:cs="仿宋"/>
          <w:color w:val="000000"/>
          <w:kern w:val="0"/>
          <w:sz w:val="32"/>
          <w:szCs w:val="32"/>
          <w:lang w:val="en-US" w:eastAsia="zh-CN" w:bidi="ar"/>
        </w:rPr>
        <w:t>着力研究解决预算绩效管理工作中遇到的重点、难点和需要多部门配合完成的工作问题，并制定了详细的时间表和路线图。</w:t>
      </w:r>
      <w:r>
        <w:rPr>
          <w:rFonts w:hint="eastAsia" w:ascii="仿宋" w:hAnsi="仿宋" w:eastAsia="仿宋" w:cs="仿宋"/>
          <w:sz w:val="32"/>
          <w:szCs w:val="32"/>
          <w:lang w:val="en-US" w:eastAsia="zh-CN"/>
        </w:rPr>
        <w:t>召开工作会议4次，采取预算单位讲、业务科室审、工作委员会成员评的方式，分科室对2024年重点项目绩效目标申报表进行回头瞄，解决预算单位不会填、资金管理科室不会审的问题。</w:t>
      </w:r>
    </w:p>
    <w:p>
      <w:pPr>
        <w:keepNext w:val="0"/>
        <w:keepLines w:val="0"/>
        <w:pageBreakBefore w:val="0"/>
        <w:widowControl w:val="0"/>
        <w:numPr>
          <w:ilvl w:val="0"/>
          <w:numId w:val="0"/>
        </w:numPr>
        <w:kinsoku/>
        <w:overflowPunct/>
        <w:topLinePunct w:val="0"/>
        <w:autoSpaceDE/>
        <w:autoSpaceDN/>
        <w:bidi w:val="0"/>
        <w:adjustRightInd/>
        <w:snapToGrid/>
        <w:spacing w:line="360" w:lineRule="auto"/>
        <w:ind w:firstLine="64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lang w:eastAsia="zh-CN"/>
        </w:rPr>
        <w:t>组织开展</w:t>
      </w:r>
      <w:r>
        <w:rPr>
          <w:rFonts w:hint="eastAsia" w:ascii="仿宋" w:hAnsi="仿宋" w:eastAsia="仿宋" w:cs="仿宋"/>
          <w:b/>
          <w:bCs/>
          <w:sz w:val="32"/>
          <w:szCs w:val="32"/>
          <w:lang w:val="en-US" w:eastAsia="zh-CN"/>
        </w:rPr>
        <w:t>2024年绩效目标运行监控。</w:t>
      </w:r>
      <w:r>
        <w:rPr>
          <w:rFonts w:hint="eastAsia" w:ascii="仿宋" w:hAnsi="仿宋" w:eastAsia="仿宋" w:cs="仿宋"/>
          <w:b w:val="0"/>
          <w:bCs w:val="0"/>
          <w:color w:val="auto"/>
          <w:sz w:val="32"/>
          <w:szCs w:val="32"/>
          <w:lang w:val="en-US" w:eastAsia="zh-CN"/>
        </w:rPr>
        <w:t>组</w:t>
      </w:r>
      <w:r>
        <w:rPr>
          <w:rFonts w:hint="eastAsia" w:ascii="仿宋" w:hAnsi="仿宋" w:eastAsia="仿宋" w:cs="仿宋"/>
          <w:color w:val="auto"/>
          <w:sz w:val="32"/>
          <w:szCs w:val="32"/>
          <w:lang w:val="en-US" w:eastAsia="zh-CN"/>
        </w:rPr>
        <w:t>织全市预算单位对2024年市财政部门批复了绩效目标的项目资金开展绩效运行监控，</w:t>
      </w:r>
      <w:r>
        <w:rPr>
          <w:rFonts w:hint="eastAsia" w:ascii="仿宋" w:hAnsi="仿宋" w:eastAsia="仿宋" w:cs="仿宋"/>
          <w:sz w:val="32"/>
          <w:szCs w:val="32"/>
          <w:lang w:val="en-US" w:eastAsia="zh-CN"/>
        </w:rPr>
        <w:t>绩效运行监控覆盖率100%，确保了绩效目标运行没有出现太大的偏差。</w:t>
      </w:r>
    </w:p>
    <w:p>
      <w:pPr>
        <w:keepNext w:val="0"/>
        <w:keepLines w:val="0"/>
        <w:pageBreakBefore w:val="0"/>
        <w:widowControl w:val="0"/>
        <w:numPr>
          <w:ilvl w:val="0"/>
          <w:numId w:val="0"/>
        </w:numPr>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六、加大绩效评价结果应用力度。</w:t>
      </w:r>
      <w:r>
        <w:rPr>
          <w:rFonts w:hint="eastAsia" w:ascii="仿宋" w:hAnsi="仿宋" w:eastAsia="仿宋" w:cs="仿宋"/>
          <w:sz w:val="32"/>
          <w:szCs w:val="32"/>
          <w:lang w:val="en-US" w:eastAsia="zh-CN"/>
        </w:rPr>
        <w:t>一是将25个重点项目财政绩效评价结果反馈到项目实施单位，并下达整改通知书，要求单位针对绩效评价报告中指出的问题进行整改，并提出下年度改进计划，整改措施及整改结果上报主管部门和财政部门备案。二是将这25份重点项目绩效评价报告在市财政局门户网站上进行了公开，接受社会查询和监督。三是向市人大上报了《潜江市人民政府关于2024年财政资金预算绩效评价的报告》等10份重点项目绩效评价报告，作为市人大审议2025年预算的参考。四是将开展的绩效评价报告结果汇编成《关于2024年度重点项目绩效评价结果应用有关事项的通知》，用于2025年度全市部门预算编制。</w:t>
      </w:r>
    </w:p>
    <w:p>
      <w:pPr>
        <w:pStyle w:val="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olor w:val="000000"/>
          <w:kern w:val="0"/>
          <w:sz w:val="32"/>
          <w:szCs w:val="32"/>
          <w:highlight w:val="none"/>
          <w:u w:val="none"/>
          <w:lang w:val="en-US" w:eastAsia="zh-CN" w:bidi="ar"/>
        </w:rPr>
      </w:pPr>
    </w:p>
    <w:p>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附件1：2024年度网格化运行相关经费项目绩效评价报告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仿宋" w:hAnsi="仿宋" w:eastAsia="仿宋" w:cs="仿宋"/>
          <w:i w:val="0"/>
          <w:iCs w:val="0"/>
          <w:color w:val="000000"/>
          <w:kern w:val="0"/>
          <w:sz w:val="32"/>
          <w:szCs w:val="32"/>
          <w:highlight w:val="none"/>
          <w:u w:val="none"/>
          <w:lang w:val="en-US" w:eastAsia="zh-CN" w:bidi="ar"/>
        </w:rPr>
        <w:t>附件2：建设临时管网污泥处理站项目绩效评价报告</w:t>
      </w:r>
    </w:p>
    <w:p>
      <w:pPr>
        <w:keepNext w:val="0"/>
        <w:keepLines w:val="0"/>
        <w:pageBreakBefore w:val="0"/>
        <w:widowControl w:val="0"/>
        <w:kinsoku/>
        <w:wordWrap w:val="0"/>
        <w:overflowPunct/>
        <w:topLinePunct w:val="0"/>
        <w:autoSpaceDE/>
        <w:autoSpaceDN/>
        <w:bidi w:val="0"/>
        <w:adjustRightInd/>
        <w:snapToGrid/>
        <w:spacing w:line="360" w:lineRule="auto"/>
        <w:ind w:right="640" w:firstLine="640" w:firstLineChars="200"/>
        <w:jc w:val="center"/>
        <w:textAlignment w:val="auto"/>
        <w:rPr>
          <w:rFonts w:hint="eastAsia" w:ascii="仿宋" w:hAnsi="仿宋" w:eastAsia="仿宋" w:cs="仿宋"/>
          <w:sz w:val="32"/>
          <w:szCs w:val="32"/>
        </w:rPr>
      </w:pPr>
    </w:p>
    <w:p>
      <w:pPr>
        <w:pStyle w:val="6"/>
        <w:rPr>
          <w:rFonts w:hint="eastAsia" w:ascii="仿宋" w:hAnsi="仿宋" w:eastAsia="仿宋" w:cs="仿宋"/>
          <w:sz w:val="32"/>
          <w:szCs w:val="32"/>
        </w:rPr>
      </w:pPr>
    </w:p>
    <w:p>
      <w:pPr>
        <w:pStyle w:val="5"/>
        <w:rPr>
          <w:rFonts w:hint="eastAsia" w:ascii="仿宋" w:hAnsi="仿宋" w:eastAsia="仿宋" w:cs="仿宋"/>
          <w:sz w:val="32"/>
          <w:szCs w:val="32"/>
        </w:rPr>
      </w:pPr>
    </w:p>
    <w:p>
      <w:pPr>
        <w:rPr>
          <w:rFonts w:hint="eastAsia"/>
        </w:rPr>
      </w:pPr>
    </w:p>
    <w:p>
      <w:pPr>
        <w:keepNext w:val="0"/>
        <w:keepLines w:val="0"/>
        <w:pageBreakBefore w:val="0"/>
        <w:widowControl w:val="0"/>
        <w:kinsoku/>
        <w:wordWrap w:val="0"/>
        <w:overflowPunct/>
        <w:topLinePunct w:val="0"/>
        <w:autoSpaceDE/>
        <w:autoSpaceDN/>
        <w:bidi w:val="0"/>
        <w:adjustRightInd/>
        <w:snapToGrid/>
        <w:spacing w:line="360" w:lineRule="auto"/>
        <w:ind w:right="640"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right="641" w:firstLine="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pPr>
        <w:ind w:left="0" w:leftChars="0" w:firstLine="0" w:firstLineChars="0"/>
        <w:jc w:val="center"/>
        <w:rPr>
          <w:rFonts w:hint="eastAsia" w:ascii="方正小标宋_GBK" w:eastAsia="方正小标宋_GBK"/>
          <w:sz w:val="36"/>
          <w:szCs w:val="36"/>
          <w:highlight w:val="none"/>
        </w:rPr>
      </w:pPr>
      <w:bookmarkStart w:id="0" w:name="_Toc20017_WPSOffice_Level1"/>
      <w:r>
        <w:rPr>
          <w:rFonts w:hint="eastAsia" w:ascii="方正小标宋_GBK" w:eastAsia="方正小标宋_GBK"/>
          <w:sz w:val="36"/>
          <w:szCs w:val="36"/>
          <w:highlight w:val="none"/>
          <w:lang w:val="en-US" w:eastAsia="zh-CN"/>
        </w:rPr>
        <w:t>2024年度网格化运行相关经费</w:t>
      </w:r>
      <w:r>
        <w:rPr>
          <w:rFonts w:hint="eastAsia" w:ascii="方正小标宋_GBK" w:eastAsia="方正小标宋_GBK"/>
          <w:sz w:val="36"/>
          <w:szCs w:val="36"/>
          <w:highlight w:val="none"/>
        </w:rPr>
        <w:t>项目</w:t>
      </w:r>
    </w:p>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方正小标宋_GBK" w:eastAsia="方正小标宋_GBK"/>
          <w:sz w:val="36"/>
          <w:szCs w:val="36"/>
          <w:highlight w:val="none"/>
        </w:rPr>
      </w:pPr>
      <w:r>
        <w:rPr>
          <w:rFonts w:hint="eastAsia" w:ascii="方正小标宋_GBK" w:eastAsia="方正小标宋_GBK"/>
          <w:sz w:val="36"/>
          <w:szCs w:val="36"/>
          <w:highlight w:val="none"/>
        </w:rPr>
        <w:t>绩效评价报告</w:t>
      </w:r>
    </w:p>
    <w:p>
      <w:pPr>
        <w:keepNext w:val="0"/>
        <w:keepLines w:val="0"/>
        <w:pageBreakBefore w:val="0"/>
        <w:widowControl w:val="0"/>
        <w:kinsoku/>
        <w:wordWrap/>
        <w:overflowPunct/>
        <w:topLinePunct w:val="0"/>
        <w:autoSpaceDE/>
        <w:autoSpaceDN/>
        <w:bidi w:val="0"/>
        <w:adjustRightInd/>
        <w:snapToGrid/>
        <w:ind w:firstLine="0"/>
        <w:jc w:val="center"/>
        <w:textAlignment w:val="auto"/>
        <w:rPr>
          <w:highlight w:val="none"/>
        </w:rPr>
      </w:pPr>
      <w:r>
        <w:rPr>
          <w:rFonts w:hint="eastAsia" w:ascii="楷体" w:hAnsi="楷体" w:eastAsia="楷体"/>
          <w:szCs w:val="32"/>
          <w:highlight w:val="none"/>
        </w:rPr>
        <w:t>（</w:t>
      </w:r>
      <w:r>
        <w:rPr>
          <w:rFonts w:hint="eastAsia" w:ascii="楷体" w:hAnsi="楷体" w:eastAsia="楷体"/>
          <w:szCs w:val="32"/>
          <w:highlight w:val="none"/>
          <w:lang w:val="en-US" w:eastAsia="zh-CN"/>
        </w:rPr>
        <w:t>摘要</w:t>
      </w:r>
      <w:r>
        <w:rPr>
          <w:rFonts w:hint="eastAsia" w:ascii="楷体" w:hAnsi="楷体" w:eastAsia="楷体"/>
          <w:szCs w:val="32"/>
          <w:highlight w:val="none"/>
        </w:rPr>
        <w:t>版）</w:t>
      </w:r>
      <w:bookmarkEnd w:id="0"/>
    </w:p>
    <w:p>
      <w:pPr>
        <w:pStyle w:val="2"/>
        <w:keepNext/>
        <w:keepLines/>
        <w:pageBreakBefore w:val="0"/>
        <w:widowControl w:val="0"/>
        <w:numPr>
          <w:ilvl w:val="0"/>
          <w:numId w:val="0"/>
        </w:numPr>
        <w:kinsoku/>
        <w:wordWrap/>
        <w:overflowPunct/>
        <w:topLinePunct w:val="0"/>
        <w:autoSpaceDE/>
        <w:autoSpaceDN/>
        <w:bidi w:val="0"/>
        <w:adjustRightInd/>
        <w:snapToGrid/>
        <w:ind w:left="566" w:leftChars="0"/>
        <w:textAlignment w:val="auto"/>
        <w:rPr>
          <w:rFonts w:ascii="Times New Roman" w:hAnsi="Times New Roman"/>
          <w:b/>
          <w:bCs/>
          <w:sz w:val="32"/>
          <w:highlight w:val="none"/>
        </w:rPr>
      </w:pPr>
      <w:bookmarkStart w:id="1" w:name="_Toc25693_WPSOffice_Level1"/>
      <w:bookmarkStart w:id="2" w:name="_Toc26597"/>
      <w:bookmarkStart w:id="3" w:name="_Toc48569206"/>
      <w:bookmarkStart w:id="4" w:name="_Toc78897819"/>
      <w:r>
        <w:rPr>
          <w:rFonts w:hint="eastAsia" w:ascii="Times New Roman" w:hAnsi="Times New Roman"/>
          <w:b/>
          <w:bCs/>
          <w:sz w:val="32"/>
          <w:highlight w:val="none"/>
          <w:lang w:val="en-US" w:eastAsia="zh-CN"/>
        </w:rPr>
        <w:t>1</w:t>
      </w:r>
      <w:r>
        <w:rPr>
          <w:rFonts w:hint="eastAsia"/>
          <w:b/>
          <w:bCs/>
          <w:sz w:val="32"/>
          <w:highlight w:val="none"/>
          <w:lang w:val="en-US" w:eastAsia="zh-CN"/>
        </w:rPr>
        <w:t>.</w:t>
      </w:r>
      <w:r>
        <w:rPr>
          <w:rFonts w:hint="eastAsia" w:ascii="Times New Roman" w:hAnsi="Times New Roman"/>
          <w:b/>
          <w:bCs/>
          <w:sz w:val="32"/>
          <w:highlight w:val="none"/>
        </w:rPr>
        <w:t>评价结论</w:t>
      </w:r>
      <w:bookmarkEnd w:id="1"/>
      <w:bookmarkEnd w:id="2"/>
      <w:bookmarkEnd w:id="3"/>
      <w:bookmarkEnd w:id="4"/>
    </w:p>
    <w:p>
      <w:pPr>
        <w:pStyle w:val="3"/>
        <w:numPr>
          <w:ilvl w:val="0"/>
          <w:numId w:val="0"/>
        </w:numPr>
        <w:ind w:left="634" w:leftChars="0"/>
        <w:rPr>
          <w:rFonts w:ascii="Times New Roman" w:hAnsi="Times New Roman"/>
          <w:b/>
          <w:bCs/>
          <w:sz w:val="32"/>
          <w:highlight w:val="none"/>
        </w:rPr>
      </w:pPr>
      <w:bookmarkStart w:id="5" w:name="_Toc3486"/>
      <w:bookmarkStart w:id="6" w:name="_Toc20017_WPSOffice_Level2"/>
      <w:bookmarkStart w:id="7" w:name="_Toc78897820"/>
      <w:r>
        <w:rPr>
          <w:rFonts w:hint="eastAsia" w:ascii="Times New Roman" w:hAnsi="Times New Roman"/>
          <w:b/>
          <w:bCs/>
          <w:sz w:val="32"/>
          <w:highlight w:val="none"/>
          <w:lang w:val="en-US" w:eastAsia="zh-CN"/>
        </w:rPr>
        <w:t>1.1</w:t>
      </w:r>
      <w:r>
        <w:rPr>
          <w:rFonts w:hint="eastAsia" w:ascii="Times New Roman" w:hAnsi="Times New Roman"/>
          <w:b/>
          <w:bCs/>
          <w:sz w:val="32"/>
          <w:highlight w:val="none"/>
        </w:rPr>
        <w:t>绩效</w:t>
      </w:r>
      <w:r>
        <w:rPr>
          <w:rFonts w:ascii="Times New Roman" w:hAnsi="Times New Roman"/>
          <w:b/>
          <w:bCs/>
          <w:sz w:val="32"/>
          <w:highlight w:val="none"/>
        </w:rPr>
        <w:t>评价分数和等级</w:t>
      </w:r>
      <w:bookmarkEnd w:id="5"/>
      <w:bookmarkEnd w:id="6"/>
      <w:bookmarkEnd w:id="7"/>
    </w:p>
    <w:p>
      <w:pPr>
        <w:ind w:firstLine="640"/>
        <w:rPr>
          <w:highlight w:val="none"/>
        </w:rPr>
      </w:pPr>
      <w:r>
        <w:rPr>
          <w:rFonts w:hint="eastAsia" w:ascii="仿宋" w:hAnsi="仿宋" w:eastAsia="仿宋" w:cs="仿宋"/>
          <w:highlight w:val="none"/>
        </w:rPr>
        <w:t>按照</w:t>
      </w:r>
      <w:r>
        <w:rPr>
          <w:rFonts w:hint="eastAsia" w:ascii="仿宋" w:hAnsi="仿宋" w:cs="仿宋"/>
          <w:highlight w:val="none"/>
          <w:lang w:eastAsia="zh-CN"/>
        </w:rPr>
        <w:t>潜江市委政法委2024年度网格化运行相关经费项目</w:t>
      </w:r>
      <w:r>
        <w:rPr>
          <w:rFonts w:hint="eastAsia" w:ascii="仿宋" w:hAnsi="仿宋" w:eastAsia="仿宋" w:cs="仿宋"/>
          <w:highlight w:val="none"/>
        </w:rPr>
        <w:t>绩效评价指标体系，该项目综合评分为</w:t>
      </w:r>
      <w:r>
        <w:rPr>
          <w:rFonts w:hint="eastAsia" w:ascii="仿宋" w:hAnsi="仿宋" w:cs="仿宋"/>
          <w:highlight w:val="none"/>
          <w:lang w:val="en-US" w:eastAsia="zh-CN"/>
        </w:rPr>
        <w:t>90.39</w:t>
      </w:r>
      <w:r>
        <w:rPr>
          <w:rFonts w:hint="eastAsia" w:ascii="仿宋" w:hAnsi="仿宋" w:eastAsia="仿宋" w:cs="仿宋"/>
          <w:highlight w:val="none"/>
        </w:rPr>
        <w:t>分，评价结果级别为“</w:t>
      </w:r>
      <w:r>
        <w:rPr>
          <w:rFonts w:hint="eastAsia" w:ascii="仿宋" w:hAnsi="仿宋" w:cs="仿宋"/>
          <w:highlight w:val="none"/>
          <w:lang w:val="en-US" w:eastAsia="zh-CN"/>
        </w:rPr>
        <w:t>优</w:t>
      </w:r>
      <w:r>
        <w:rPr>
          <w:rFonts w:hint="eastAsia" w:ascii="仿宋" w:hAnsi="仿宋" w:eastAsia="仿宋" w:cs="仿宋"/>
          <w:highlight w:val="none"/>
        </w:rPr>
        <w:t>”。 具体分布如下：</w:t>
      </w:r>
    </w:p>
    <w:tbl>
      <w:tblPr>
        <w:tblStyle w:val="9"/>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637"/>
        <w:gridCol w:w="1666"/>
        <w:gridCol w:w="1584"/>
        <w:gridCol w:w="1650"/>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90" w:type="dxa"/>
            <w:tcBorders>
              <w:bottom w:val="single" w:color="auto" w:sz="4" w:space="0"/>
            </w:tcBorders>
            <w:vAlign w:val="center"/>
          </w:tcPr>
          <w:p>
            <w:pPr>
              <w:ind w:firstLine="0" w:firstLineChars="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评价准则</w:t>
            </w:r>
          </w:p>
        </w:tc>
        <w:tc>
          <w:tcPr>
            <w:tcW w:w="1637" w:type="dxa"/>
            <w:tcBorders>
              <w:bottom w:val="single" w:color="auto" w:sz="4" w:space="0"/>
            </w:tcBorders>
            <w:vAlign w:val="center"/>
          </w:tcPr>
          <w:p>
            <w:pPr>
              <w:ind w:firstLine="0" w:firstLineChars="0"/>
              <w:jc w:val="center"/>
              <w:rPr>
                <w:rFonts w:hint="eastAsia" w:ascii="仿宋" w:hAnsi="仿宋" w:eastAsia="仿宋" w:cs="仿宋"/>
                <w:sz w:val="32"/>
                <w:szCs w:val="32"/>
                <w:highlight w:val="none"/>
                <w:lang w:eastAsia="zh-CN"/>
              </w:rPr>
            </w:pPr>
            <w:r>
              <w:rPr>
                <w:rFonts w:hint="eastAsia" w:ascii="仿宋" w:hAnsi="仿宋" w:cs="仿宋"/>
                <w:sz w:val="32"/>
                <w:szCs w:val="32"/>
                <w:highlight w:val="none"/>
                <w:lang w:eastAsia="zh-CN"/>
              </w:rPr>
              <w:t>项目决策</w:t>
            </w:r>
          </w:p>
        </w:tc>
        <w:tc>
          <w:tcPr>
            <w:tcW w:w="1666" w:type="dxa"/>
            <w:tcBorders>
              <w:bottom w:val="single" w:color="auto" w:sz="4" w:space="0"/>
            </w:tcBorders>
            <w:vAlign w:val="center"/>
          </w:tcPr>
          <w:p>
            <w:pPr>
              <w:ind w:firstLine="0" w:firstLineChars="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项目过程</w:t>
            </w:r>
          </w:p>
        </w:tc>
        <w:tc>
          <w:tcPr>
            <w:tcW w:w="1584" w:type="dxa"/>
            <w:tcBorders>
              <w:bottom w:val="single" w:color="auto" w:sz="4" w:space="0"/>
            </w:tcBorders>
            <w:vAlign w:val="center"/>
          </w:tcPr>
          <w:p>
            <w:pPr>
              <w:ind w:firstLine="0" w:firstLineChars="0"/>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t>项目产出</w:t>
            </w:r>
          </w:p>
        </w:tc>
        <w:tc>
          <w:tcPr>
            <w:tcW w:w="1650" w:type="dxa"/>
            <w:tcBorders>
              <w:bottom w:val="single" w:color="auto" w:sz="4" w:space="0"/>
            </w:tcBorders>
            <w:vAlign w:val="center"/>
          </w:tcPr>
          <w:p>
            <w:pPr>
              <w:ind w:firstLine="0" w:firstLineChars="0"/>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t>项目效果</w:t>
            </w:r>
          </w:p>
        </w:tc>
        <w:tc>
          <w:tcPr>
            <w:tcW w:w="1716" w:type="dxa"/>
            <w:tcBorders>
              <w:bottom w:val="single" w:color="auto" w:sz="4" w:space="0"/>
            </w:tcBorders>
            <w:vAlign w:val="center"/>
          </w:tcPr>
          <w:p>
            <w:pPr>
              <w:ind w:firstLine="0" w:firstLineChars="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综合绩效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9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准则分值</w:t>
            </w:r>
          </w:p>
        </w:tc>
        <w:tc>
          <w:tcPr>
            <w:tcW w:w="163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32"/>
                <w:szCs w:val="32"/>
                <w:highlight w:val="none"/>
              </w:rPr>
            </w:pPr>
            <w:r>
              <w:rPr>
                <w:rFonts w:hint="eastAsia" w:ascii="仿宋" w:hAnsi="仿宋" w:cs="仿宋"/>
                <w:sz w:val="32"/>
                <w:szCs w:val="32"/>
                <w:highlight w:val="none"/>
                <w:lang w:val="en-US" w:eastAsia="zh-CN"/>
              </w:rPr>
              <w:t>16</w:t>
            </w:r>
            <w:r>
              <w:rPr>
                <w:rFonts w:hint="eastAsia" w:ascii="仿宋" w:hAnsi="仿宋" w:eastAsia="仿宋" w:cs="仿宋"/>
                <w:sz w:val="32"/>
                <w:szCs w:val="32"/>
                <w:highlight w:val="none"/>
              </w:rPr>
              <w:t>分</w:t>
            </w:r>
          </w:p>
        </w:tc>
        <w:tc>
          <w:tcPr>
            <w:tcW w:w="166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32"/>
                <w:szCs w:val="32"/>
                <w:highlight w:val="none"/>
              </w:rPr>
            </w:pPr>
            <w:r>
              <w:rPr>
                <w:rFonts w:hint="eastAsia" w:ascii="仿宋" w:hAnsi="仿宋" w:cs="仿宋"/>
                <w:sz w:val="32"/>
                <w:szCs w:val="32"/>
                <w:highlight w:val="none"/>
                <w:lang w:val="en-US" w:eastAsia="zh-CN"/>
              </w:rPr>
              <w:t>24</w:t>
            </w:r>
            <w:r>
              <w:rPr>
                <w:rFonts w:hint="eastAsia" w:ascii="仿宋" w:hAnsi="仿宋" w:eastAsia="仿宋" w:cs="仿宋"/>
                <w:sz w:val="32"/>
                <w:szCs w:val="32"/>
                <w:highlight w:val="none"/>
              </w:rPr>
              <w:t>分</w:t>
            </w:r>
          </w:p>
        </w:tc>
        <w:tc>
          <w:tcPr>
            <w:tcW w:w="1584"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cs="仿宋"/>
                <w:sz w:val="32"/>
                <w:szCs w:val="32"/>
                <w:highlight w:val="none"/>
                <w:lang w:val="en-US" w:eastAsia="zh-CN"/>
              </w:rPr>
            </w:pPr>
            <w:r>
              <w:rPr>
                <w:rFonts w:hint="eastAsia" w:ascii="仿宋" w:hAnsi="仿宋" w:cs="仿宋"/>
                <w:sz w:val="32"/>
                <w:szCs w:val="32"/>
                <w:highlight w:val="none"/>
                <w:lang w:val="en-US" w:eastAsia="zh-CN"/>
              </w:rPr>
              <w:t>24分</w:t>
            </w:r>
          </w:p>
        </w:tc>
        <w:tc>
          <w:tcPr>
            <w:tcW w:w="165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cs="仿宋"/>
                <w:sz w:val="32"/>
                <w:szCs w:val="32"/>
                <w:highlight w:val="none"/>
                <w:lang w:val="en-US" w:eastAsia="zh-CN"/>
              </w:rPr>
            </w:pPr>
            <w:r>
              <w:rPr>
                <w:rFonts w:hint="eastAsia" w:ascii="仿宋" w:hAnsi="仿宋" w:cs="仿宋"/>
                <w:sz w:val="32"/>
                <w:szCs w:val="32"/>
                <w:highlight w:val="none"/>
                <w:lang w:val="en-US" w:eastAsia="zh-CN"/>
              </w:rPr>
              <w:t>36分</w:t>
            </w:r>
          </w:p>
        </w:tc>
        <w:tc>
          <w:tcPr>
            <w:tcW w:w="171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cs="仿宋"/>
                <w:sz w:val="32"/>
                <w:szCs w:val="32"/>
                <w:highlight w:val="none"/>
                <w:lang w:val="en-US" w:eastAsia="zh-CN"/>
              </w:rPr>
            </w:pPr>
            <w:r>
              <w:rPr>
                <w:rFonts w:hint="eastAsia" w:ascii="仿宋" w:hAnsi="仿宋" w:cs="仿宋"/>
                <w:sz w:val="32"/>
                <w:szCs w:val="32"/>
                <w:highlight w:val="none"/>
                <w:lang w:val="en-US" w:eastAsia="zh-CN"/>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1590" w:type="dxa"/>
            <w:vAlign w:val="center"/>
          </w:tcPr>
          <w:p>
            <w:pPr>
              <w:ind w:firstLine="0" w:firstLineChars="0"/>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评价分数</w:t>
            </w:r>
          </w:p>
        </w:tc>
        <w:tc>
          <w:tcPr>
            <w:tcW w:w="163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cs="仿宋"/>
                <w:sz w:val="32"/>
                <w:szCs w:val="32"/>
                <w:highlight w:val="none"/>
                <w:lang w:val="en-US" w:eastAsia="zh-CN"/>
              </w:rPr>
            </w:pPr>
            <w:r>
              <w:rPr>
                <w:rFonts w:hint="eastAsia" w:ascii="仿宋" w:hAnsi="仿宋" w:cs="仿宋"/>
                <w:sz w:val="32"/>
                <w:szCs w:val="32"/>
                <w:highlight w:val="none"/>
                <w:lang w:val="en-US" w:eastAsia="zh-CN"/>
              </w:rPr>
              <w:t>14分</w:t>
            </w:r>
          </w:p>
        </w:tc>
        <w:tc>
          <w:tcPr>
            <w:tcW w:w="166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cs="仿宋"/>
                <w:sz w:val="32"/>
                <w:szCs w:val="32"/>
                <w:highlight w:val="none"/>
                <w:lang w:val="en-US" w:eastAsia="zh-CN"/>
              </w:rPr>
            </w:pPr>
            <w:r>
              <w:rPr>
                <w:rFonts w:hint="eastAsia" w:ascii="仿宋" w:hAnsi="仿宋" w:cs="仿宋"/>
                <w:sz w:val="32"/>
                <w:szCs w:val="32"/>
                <w:highlight w:val="none"/>
                <w:lang w:val="en-US" w:eastAsia="zh-CN"/>
              </w:rPr>
              <w:t>21.54分</w:t>
            </w:r>
          </w:p>
        </w:tc>
        <w:tc>
          <w:tcPr>
            <w:tcW w:w="158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cs="仿宋"/>
                <w:sz w:val="32"/>
                <w:szCs w:val="32"/>
                <w:highlight w:val="none"/>
                <w:lang w:val="en-US" w:eastAsia="zh-CN"/>
              </w:rPr>
            </w:pPr>
            <w:r>
              <w:rPr>
                <w:rFonts w:hint="eastAsia" w:ascii="仿宋" w:hAnsi="仿宋" w:cs="仿宋"/>
                <w:sz w:val="32"/>
                <w:szCs w:val="32"/>
                <w:highlight w:val="none"/>
                <w:lang w:val="en-US" w:eastAsia="zh-CN"/>
              </w:rPr>
              <w:t>20分</w:t>
            </w:r>
          </w:p>
        </w:tc>
        <w:tc>
          <w:tcPr>
            <w:tcW w:w="165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cs="仿宋"/>
                <w:sz w:val="32"/>
                <w:szCs w:val="32"/>
                <w:highlight w:val="none"/>
                <w:lang w:val="en-US" w:eastAsia="zh-CN"/>
              </w:rPr>
            </w:pPr>
            <w:r>
              <w:rPr>
                <w:rFonts w:hint="eastAsia" w:ascii="仿宋" w:hAnsi="仿宋" w:cs="仿宋"/>
                <w:sz w:val="32"/>
                <w:szCs w:val="32"/>
                <w:highlight w:val="none"/>
                <w:lang w:val="en-US" w:eastAsia="zh-CN"/>
              </w:rPr>
              <w:t>34.85分</w:t>
            </w:r>
          </w:p>
        </w:tc>
        <w:tc>
          <w:tcPr>
            <w:tcW w:w="171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cs="仿宋"/>
                <w:sz w:val="32"/>
                <w:szCs w:val="32"/>
                <w:highlight w:val="none"/>
                <w:lang w:val="en-US" w:eastAsia="zh-CN"/>
              </w:rPr>
            </w:pPr>
            <w:r>
              <w:rPr>
                <w:rFonts w:hint="eastAsia" w:ascii="仿宋" w:hAnsi="仿宋" w:cs="仿宋"/>
                <w:highlight w:val="none"/>
                <w:lang w:val="en-US" w:eastAsia="zh-CN"/>
              </w:rPr>
              <w:t>90.39</w:t>
            </w:r>
            <w:r>
              <w:rPr>
                <w:rFonts w:hint="eastAsia" w:ascii="仿宋" w:hAnsi="仿宋" w:cs="仿宋"/>
                <w:sz w:val="32"/>
                <w:szCs w:val="32"/>
                <w:highlight w:val="none"/>
                <w:lang w:val="en-US" w:eastAsia="zh-CN"/>
              </w:rPr>
              <w:t>分</w:t>
            </w:r>
          </w:p>
        </w:tc>
      </w:tr>
    </w:tbl>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sz w:val="10"/>
          <w:szCs w:val="10"/>
          <w:highlight w:val="none"/>
        </w:rPr>
      </w:pPr>
    </w:p>
    <w:p>
      <w:pPr>
        <w:pStyle w:val="3"/>
        <w:numPr>
          <w:ilvl w:val="0"/>
          <w:numId w:val="0"/>
        </w:numPr>
        <w:ind w:left="634" w:leftChars="0"/>
        <w:rPr>
          <w:highlight w:val="none"/>
        </w:rPr>
      </w:pPr>
      <w:bookmarkStart w:id="8" w:name="_Toc78897821"/>
      <w:bookmarkStart w:id="9" w:name="_Toc25693_WPSOffice_Level2"/>
      <w:bookmarkStart w:id="10" w:name="_Toc1272"/>
      <w:r>
        <w:rPr>
          <w:rFonts w:hint="eastAsia"/>
          <w:highlight w:val="none"/>
          <w:lang w:val="en-US" w:eastAsia="zh-CN"/>
        </w:rPr>
        <w:t>1.2</w:t>
      </w:r>
      <w:r>
        <w:rPr>
          <w:rFonts w:hint="eastAsia"/>
          <w:highlight w:val="none"/>
        </w:rPr>
        <w:t>绩效</w:t>
      </w:r>
      <w:r>
        <w:rPr>
          <w:rFonts w:hint="eastAsia"/>
          <w:highlight w:val="none"/>
          <w:lang w:val="en-US" w:eastAsia="zh-CN"/>
        </w:rPr>
        <w:t>目标完成</w:t>
      </w:r>
      <w:r>
        <w:rPr>
          <w:highlight w:val="none"/>
        </w:rPr>
        <w:t>情况</w:t>
      </w:r>
      <w:bookmarkEnd w:id="8"/>
      <w:bookmarkEnd w:id="9"/>
      <w:r>
        <w:rPr>
          <w:rFonts w:hint="eastAsia"/>
          <w:highlight w:val="none"/>
          <w:lang w:val="en-US" w:eastAsia="zh-CN"/>
        </w:rPr>
        <w:t>分析</w:t>
      </w:r>
      <w:bookmarkEnd w:id="10"/>
    </w:p>
    <w:p>
      <w:pPr>
        <w:pStyle w:val="4"/>
        <w:numPr>
          <w:ilvl w:val="0"/>
          <w:numId w:val="0"/>
        </w:numPr>
        <w:ind w:firstLine="640" w:firstLineChars="200"/>
        <w:rPr>
          <w:rFonts w:hint="default"/>
          <w:highlight w:val="none"/>
          <w:lang w:val="en-US"/>
        </w:rPr>
      </w:pPr>
      <w:bookmarkStart w:id="11" w:name="_Toc5321"/>
      <w:r>
        <w:rPr>
          <w:rFonts w:hint="eastAsia"/>
          <w:highlight w:val="none"/>
          <w:lang w:val="en-US" w:eastAsia="zh-CN"/>
        </w:rPr>
        <w:t>1.2.1项目决策</w:t>
      </w:r>
      <w:bookmarkEnd w:id="11"/>
    </w:p>
    <w:p>
      <w:pPr>
        <w:ind w:firstLine="640"/>
        <w:rPr>
          <w:rFonts w:hint="default" w:eastAsia="仿宋"/>
          <w:highlight w:val="none"/>
          <w:lang w:val="en-US" w:eastAsia="zh-CN"/>
        </w:rPr>
      </w:pPr>
      <w:r>
        <w:rPr>
          <w:rFonts w:hint="eastAsia" w:ascii="仿宋" w:hAnsi="仿宋" w:eastAsia="仿宋" w:cs="仿宋"/>
          <w:highlight w:val="none"/>
        </w:rPr>
        <w:t>决策指标分数</w:t>
      </w:r>
      <w:r>
        <w:rPr>
          <w:rFonts w:hint="eastAsia" w:ascii="仿宋" w:hAnsi="仿宋" w:cs="仿宋"/>
          <w:highlight w:val="none"/>
          <w:lang w:val="en-US" w:eastAsia="zh-CN"/>
        </w:rPr>
        <w:t>16</w:t>
      </w:r>
      <w:r>
        <w:rPr>
          <w:rFonts w:hint="eastAsia" w:ascii="仿宋" w:hAnsi="仿宋" w:eastAsia="仿宋" w:cs="仿宋"/>
          <w:highlight w:val="none"/>
        </w:rPr>
        <w:t>分，实际评价得分为</w:t>
      </w:r>
      <w:r>
        <w:rPr>
          <w:rFonts w:hint="eastAsia" w:ascii="仿宋" w:hAnsi="仿宋" w:cs="仿宋"/>
          <w:highlight w:val="none"/>
          <w:lang w:val="en-US" w:eastAsia="zh-CN"/>
        </w:rPr>
        <w:t>14</w:t>
      </w:r>
      <w:r>
        <w:rPr>
          <w:rFonts w:hint="eastAsia" w:ascii="仿宋" w:hAnsi="仿宋" w:eastAsia="仿宋" w:cs="仿宋"/>
          <w:highlight w:val="none"/>
        </w:rPr>
        <w:t>分。项目立项符合</w:t>
      </w:r>
      <w:r>
        <w:rPr>
          <w:rFonts w:hint="eastAsia" w:ascii="仿宋" w:hAnsi="仿宋" w:cs="仿宋"/>
          <w:highlight w:val="none"/>
          <w:lang w:val="en-US" w:eastAsia="zh-CN"/>
        </w:rPr>
        <w:t>潜江市委政法委</w:t>
      </w:r>
      <w:r>
        <w:rPr>
          <w:rFonts w:hint="eastAsia" w:ascii="仿宋" w:hAnsi="仿宋" w:eastAsia="仿宋" w:cs="仿宋"/>
          <w:highlight w:val="none"/>
        </w:rPr>
        <w:t>职责</w:t>
      </w:r>
      <w:r>
        <w:rPr>
          <w:rFonts w:hint="eastAsia" w:ascii="仿宋" w:hAnsi="仿宋" w:cs="仿宋"/>
          <w:highlight w:val="none"/>
          <w:lang w:val="en-US" w:eastAsia="zh-CN"/>
        </w:rPr>
        <w:t>范围，不与内部相关项目重复</w:t>
      </w:r>
      <w:r>
        <w:rPr>
          <w:rFonts w:hint="eastAsia" w:ascii="仿宋" w:hAnsi="仿宋" w:cs="仿宋"/>
          <w:highlight w:val="none"/>
          <w:lang w:eastAsia="zh-CN"/>
        </w:rPr>
        <w:t>；</w:t>
      </w:r>
      <w:r>
        <w:rPr>
          <w:rFonts w:hint="eastAsia" w:ascii="仿宋" w:hAnsi="仿宋" w:eastAsia="仿宋" w:cs="仿宋"/>
          <w:highlight w:val="none"/>
        </w:rPr>
        <w:t>项目按照规定的程序申请</w:t>
      </w:r>
      <w:r>
        <w:rPr>
          <w:rFonts w:hint="eastAsia" w:ascii="仿宋" w:hAnsi="仿宋" w:cs="仿宋"/>
          <w:highlight w:val="none"/>
          <w:lang w:eastAsia="zh-CN"/>
        </w:rPr>
        <w:t>，有相关审批文件</w:t>
      </w:r>
      <w:r>
        <w:rPr>
          <w:rFonts w:hint="eastAsia" w:ascii="仿宋" w:hAnsi="仿宋" w:eastAsia="仿宋" w:cs="仿宋"/>
          <w:highlight w:val="none"/>
        </w:rPr>
        <w:t>；项目设立长期目标、年度目标和绩效指标；绩效指标能清晰、可衡量的指标值予以体现</w:t>
      </w:r>
      <w:r>
        <w:rPr>
          <w:rFonts w:hint="eastAsia" w:ascii="仿宋" w:hAnsi="仿宋" w:cs="仿宋"/>
          <w:highlight w:val="none"/>
          <w:lang w:eastAsia="zh-CN"/>
        </w:rPr>
        <w:t>；</w:t>
      </w:r>
      <w:r>
        <w:rPr>
          <w:rFonts w:hint="eastAsia" w:ascii="仿宋" w:hAnsi="仿宋" w:eastAsia="仿宋" w:cs="仿宋"/>
          <w:highlight w:val="none"/>
        </w:rPr>
        <w:t>预算内容与项目内容基本相匹配，预算额度测算依据充分，预算确定的项目资金量与</w:t>
      </w:r>
      <w:r>
        <w:rPr>
          <w:rFonts w:hint="eastAsia" w:ascii="仿宋" w:hAnsi="仿宋" w:cs="仿宋"/>
          <w:highlight w:val="none"/>
          <w:lang w:val="en-US" w:eastAsia="zh-CN"/>
        </w:rPr>
        <w:t>实际资金量匹配。但</w:t>
      </w:r>
      <w:r>
        <w:rPr>
          <w:rFonts w:hint="eastAsia" w:ascii="仿宋" w:hAnsi="仿宋" w:eastAsia="仿宋" w:cs="仿宋"/>
          <w:highlight w:val="none"/>
        </w:rPr>
        <w:t>绩效指标</w:t>
      </w:r>
      <w:r>
        <w:rPr>
          <w:rFonts w:hint="eastAsia" w:ascii="仿宋" w:hAnsi="仿宋" w:cs="仿宋"/>
          <w:highlight w:val="none"/>
          <w:lang w:val="en-US" w:eastAsia="zh-CN"/>
        </w:rPr>
        <w:t>设置不够全面。</w:t>
      </w:r>
    </w:p>
    <w:p>
      <w:pPr>
        <w:pStyle w:val="4"/>
        <w:numPr>
          <w:ilvl w:val="0"/>
          <w:numId w:val="0"/>
        </w:numPr>
        <w:ind w:left="634" w:leftChars="0"/>
        <w:rPr>
          <w:rFonts w:hint="default"/>
          <w:highlight w:val="none"/>
          <w:lang w:val="en-US"/>
        </w:rPr>
      </w:pPr>
      <w:bookmarkStart w:id="12" w:name="_Toc78897823"/>
      <w:bookmarkStart w:id="13" w:name="_Toc25693_WPSOffice_Level3"/>
      <w:bookmarkStart w:id="14" w:name="_Toc13670"/>
      <w:r>
        <w:rPr>
          <w:rFonts w:hint="eastAsia"/>
          <w:highlight w:val="none"/>
          <w:lang w:val="en-US" w:eastAsia="zh-CN"/>
        </w:rPr>
        <w:t>1.2.2</w:t>
      </w:r>
      <w:bookmarkEnd w:id="12"/>
      <w:bookmarkEnd w:id="13"/>
      <w:r>
        <w:rPr>
          <w:rFonts w:hint="eastAsia"/>
          <w:highlight w:val="none"/>
          <w:lang w:val="en-US" w:eastAsia="zh-CN"/>
        </w:rPr>
        <w:t>项目过程</w:t>
      </w:r>
      <w:bookmarkEnd w:id="14"/>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 w:hAnsi="仿宋" w:eastAsia="仿宋" w:cs="仿宋"/>
          <w:highlight w:val="yellow"/>
        </w:rPr>
      </w:pPr>
      <w:r>
        <w:rPr>
          <w:rFonts w:hint="eastAsia" w:ascii="仿宋" w:hAnsi="仿宋" w:eastAsia="仿宋" w:cs="仿宋"/>
          <w:highlight w:val="none"/>
        </w:rPr>
        <w:t>过程指标分数</w:t>
      </w:r>
      <w:r>
        <w:rPr>
          <w:rFonts w:hint="eastAsia" w:ascii="仿宋" w:hAnsi="仿宋" w:cs="仿宋"/>
          <w:highlight w:val="none"/>
          <w:lang w:val="en-US" w:eastAsia="zh-CN"/>
        </w:rPr>
        <w:t>24</w:t>
      </w:r>
      <w:r>
        <w:rPr>
          <w:rFonts w:hint="eastAsia" w:ascii="仿宋" w:hAnsi="仿宋" w:eastAsia="仿宋" w:cs="仿宋"/>
          <w:highlight w:val="none"/>
        </w:rPr>
        <w:t>分，实际评价得分为</w:t>
      </w:r>
      <w:r>
        <w:rPr>
          <w:rFonts w:hint="eastAsia" w:ascii="仿宋" w:hAnsi="仿宋" w:cs="仿宋"/>
          <w:sz w:val="32"/>
          <w:szCs w:val="32"/>
          <w:highlight w:val="none"/>
          <w:lang w:val="en-US" w:eastAsia="zh-CN"/>
        </w:rPr>
        <w:t>21.54</w:t>
      </w:r>
      <w:r>
        <w:rPr>
          <w:rFonts w:hint="eastAsia" w:ascii="仿宋" w:hAnsi="仿宋" w:eastAsia="仿宋" w:cs="仿宋"/>
          <w:highlight w:val="none"/>
        </w:rPr>
        <w:t>分。该项目资金预算资金为</w:t>
      </w:r>
      <w:r>
        <w:rPr>
          <w:rFonts w:hint="eastAsia" w:ascii="仿宋" w:hAnsi="仿宋" w:cs="仿宋"/>
          <w:highlight w:val="none"/>
          <w:lang w:val="en-US" w:eastAsia="zh-CN"/>
        </w:rPr>
        <w:t>189.82</w:t>
      </w:r>
      <w:r>
        <w:rPr>
          <w:rFonts w:hint="eastAsia" w:ascii="仿宋" w:hAnsi="仿宋" w:eastAsia="仿宋" w:cs="仿宋"/>
          <w:highlight w:val="none"/>
        </w:rPr>
        <w:t>万元，实际到位资金总额为</w:t>
      </w:r>
      <w:r>
        <w:rPr>
          <w:rFonts w:hint="eastAsia" w:ascii="仿宋" w:hAnsi="仿宋" w:cs="仿宋"/>
          <w:highlight w:val="none"/>
          <w:lang w:val="en-US" w:eastAsia="zh-CN"/>
        </w:rPr>
        <w:t>189.82</w:t>
      </w:r>
      <w:r>
        <w:rPr>
          <w:rFonts w:hint="eastAsia" w:ascii="仿宋" w:hAnsi="仿宋" w:eastAsia="仿宋" w:cs="仿宋"/>
          <w:highlight w:val="none"/>
        </w:rPr>
        <w:t>万元，资金到位率</w:t>
      </w:r>
      <w:r>
        <w:rPr>
          <w:rFonts w:hint="eastAsia" w:ascii="仿宋" w:hAnsi="仿宋" w:cs="仿宋"/>
          <w:highlight w:val="none"/>
          <w:lang w:val="en-US" w:eastAsia="zh-CN"/>
        </w:rPr>
        <w:t>100</w:t>
      </w:r>
      <w:r>
        <w:rPr>
          <w:rFonts w:hint="eastAsia" w:ascii="仿宋" w:hAnsi="仿宋" w:eastAsia="仿宋" w:cs="仿宋"/>
          <w:highlight w:val="none"/>
        </w:rPr>
        <w:t>%</w:t>
      </w:r>
      <w:r>
        <w:rPr>
          <w:rFonts w:hint="eastAsia" w:ascii="仿宋" w:hAnsi="仿宋" w:cs="仿宋"/>
          <w:highlight w:val="none"/>
          <w:lang w:val="en-US" w:eastAsia="zh-CN"/>
        </w:rPr>
        <w:t>，</w:t>
      </w:r>
      <w:r>
        <w:rPr>
          <w:rFonts w:hint="eastAsia" w:ascii="仿宋" w:hAnsi="仿宋" w:eastAsia="仿宋" w:cs="仿宋"/>
          <w:highlight w:val="none"/>
        </w:rPr>
        <w:t>实际</w:t>
      </w:r>
      <w:r>
        <w:rPr>
          <w:rFonts w:hint="eastAsia" w:ascii="仿宋" w:hAnsi="仿宋" w:cs="仿宋"/>
          <w:highlight w:val="none"/>
          <w:lang w:eastAsia="zh-CN"/>
        </w:rPr>
        <w:t>使用资金</w:t>
      </w:r>
      <w:r>
        <w:rPr>
          <w:rFonts w:hint="eastAsia" w:ascii="仿宋" w:hAnsi="仿宋" w:cs="仿宋"/>
          <w:highlight w:val="none"/>
          <w:lang w:val="en-US" w:eastAsia="zh-CN"/>
        </w:rPr>
        <w:t>160.51</w:t>
      </w:r>
      <w:r>
        <w:rPr>
          <w:rFonts w:hint="eastAsia" w:ascii="仿宋" w:hAnsi="仿宋" w:eastAsia="仿宋" w:cs="仿宋"/>
          <w:highlight w:val="none"/>
        </w:rPr>
        <w:t>万元，</w:t>
      </w:r>
      <w:r>
        <w:rPr>
          <w:rFonts w:hint="eastAsia" w:ascii="仿宋" w:hAnsi="仿宋" w:cs="仿宋"/>
          <w:highlight w:val="none"/>
          <w:lang w:eastAsia="zh-CN"/>
        </w:rPr>
        <w:t>预算执行率为</w:t>
      </w:r>
      <w:r>
        <w:rPr>
          <w:rFonts w:hint="eastAsia" w:ascii="仿宋" w:hAnsi="仿宋" w:cs="仿宋"/>
          <w:highlight w:val="none"/>
          <w:lang w:val="en-US" w:eastAsia="zh-CN"/>
        </w:rPr>
        <w:t>85</w:t>
      </w:r>
      <w:r>
        <w:rPr>
          <w:rFonts w:hint="eastAsia" w:ascii="仿宋" w:hAnsi="仿宋" w:eastAsia="仿宋" w:cs="仿宋"/>
          <w:highlight w:val="none"/>
        </w:rPr>
        <w:t>%。</w:t>
      </w:r>
      <w:r>
        <w:rPr>
          <w:rFonts w:hint="eastAsia" w:ascii="仿宋" w:hAnsi="仿宋" w:cs="仿宋"/>
          <w:highlight w:val="none"/>
          <w:lang w:eastAsia="zh-CN"/>
        </w:rPr>
        <w:t>项目实施基本</w:t>
      </w:r>
      <w:r>
        <w:rPr>
          <w:rFonts w:hint="eastAsia" w:ascii="仿宋" w:hAnsi="仿宋" w:cs="仿宋"/>
          <w:highlight w:val="none"/>
          <w:lang w:val="en-US" w:eastAsia="zh-CN"/>
        </w:rPr>
        <w:t>制定了相关财务制度，</w:t>
      </w:r>
      <w:r>
        <w:rPr>
          <w:rFonts w:hint="eastAsia" w:ascii="仿宋" w:hAnsi="仿宋" w:eastAsia="仿宋" w:cs="仿宋"/>
          <w:highlight w:val="none"/>
        </w:rPr>
        <w:t>资金使用符合财务管理制度规定</w:t>
      </w:r>
      <w:r>
        <w:rPr>
          <w:rFonts w:hint="eastAsia" w:ascii="仿宋" w:hAnsi="仿宋" w:cs="仿宋"/>
          <w:highlight w:val="none"/>
          <w:lang w:eastAsia="zh-CN"/>
        </w:rPr>
        <w:t>，资金的使用有审批手续，符合规定的用途，不存在虚列、挪用、挤占等情况；</w:t>
      </w:r>
      <w:r>
        <w:rPr>
          <w:rFonts w:hint="eastAsia" w:ascii="仿宋" w:hAnsi="仿宋" w:cs="仿宋"/>
          <w:highlight w:val="none"/>
          <w:lang w:val="en-US" w:eastAsia="zh-CN"/>
        </w:rPr>
        <w:t>但项目未制定相应的业务管理制度</w:t>
      </w:r>
      <w:r>
        <w:rPr>
          <w:rFonts w:hint="eastAsia" w:ascii="仿宋" w:hAnsi="仿宋" w:cs="仿宋"/>
          <w:highlight w:val="none"/>
          <w:lang w:eastAsia="zh-CN"/>
        </w:rPr>
        <w:t>。</w:t>
      </w:r>
    </w:p>
    <w:p>
      <w:pPr>
        <w:pStyle w:val="4"/>
        <w:numPr>
          <w:ilvl w:val="0"/>
          <w:numId w:val="0"/>
        </w:numPr>
        <w:ind w:left="634" w:leftChars="0"/>
        <w:rPr>
          <w:rFonts w:hint="default"/>
          <w:highlight w:val="none"/>
          <w:lang w:val="en-US"/>
        </w:rPr>
      </w:pPr>
      <w:bookmarkStart w:id="15" w:name="_Toc3669"/>
      <w:r>
        <w:rPr>
          <w:rFonts w:hint="eastAsia"/>
          <w:highlight w:val="none"/>
          <w:lang w:val="en-US" w:eastAsia="zh-CN"/>
        </w:rPr>
        <w:t>1.2.3项目产出</w:t>
      </w:r>
      <w:bookmarkEnd w:id="15"/>
    </w:p>
    <w:p>
      <w:pPr>
        <w:pageBreakBefore w:val="0"/>
        <w:widowControl w:val="0"/>
        <w:kinsoku/>
        <w:wordWrap/>
        <w:overflowPunct/>
        <w:topLinePunct w:val="0"/>
        <w:autoSpaceDE/>
        <w:autoSpaceDN/>
        <w:bidi w:val="0"/>
        <w:adjustRightInd/>
        <w:snapToGrid/>
        <w:ind w:firstLine="640"/>
        <w:textAlignment w:val="auto"/>
        <w:rPr>
          <w:rFonts w:hint="eastAsia" w:ascii="仿宋" w:hAnsi="仿宋" w:cs="仿宋"/>
          <w:highlight w:val="none"/>
          <w:lang w:val="en-US" w:eastAsia="zh-CN"/>
        </w:rPr>
      </w:pPr>
      <w:r>
        <w:rPr>
          <w:rFonts w:hint="eastAsia" w:ascii="仿宋" w:hAnsi="仿宋" w:eastAsia="仿宋" w:cs="仿宋"/>
          <w:highlight w:val="none"/>
        </w:rPr>
        <w:t>产出指标分数</w:t>
      </w:r>
      <w:r>
        <w:rPr>
          <w:rFonts w:hint="eastAsia" w:ascii="仿宋" w:hAnsi="仿宋" w:cs="仿宋"/>
          <w:highlight w:val="none"/>
          <w:lang w:val="en-US" w:eastAsia="zh-CN"/>
        </w:rPr>
        <w:t>24</w:t>
      </w:r>
      <w:r>
        <w:rPr>
          <w:rFonts w:hint="eastAsia" w:ascii="仿宋" w:hAnsi="仿宋" w:eastAsia="仿宋" w:cs="仿宋"/>
          <w:highlight w:val="none"/>
        </w:rPr>
        <w:t>分，实际评价得分为</w:t>
      </w:r>
      <w:r>
        <w:rPr>
          <w:rFonts w:hint="eastAsia" w:ascii="仿宋" w:hAnsi="仿宋" w:cs="仿宋"/>
          <w:highlight w:val="none"/>
          <w:lang w:val="en-US" w:eastAsia="zh-CN"/>
        </w:rPr>
        <w:t>20</w:t>
      </w:r>
      <w:r>
        <w:rPr>
          <w:rFonts w:hint="eastAsia" w:ascii="仿宋" w:hAnsi="仿宋" w:eastAsia="仿宋" w:cs="仿宋"/>
          <w:highlight w:val="none"/>
        </w:rPr>
        <w:t>分</w:t>
      </w:r>
      <w:r>
        <w:rPr>
          <w:rFonts w:hint="eastAsia" w:ascii="仿宋" w:hAnsi="仿宋" w:cs="仿宋"/>
          <w:highlight w:val="none"/>
          <w:lang w:eastAsia="zh-CN"/>
        </w:rPr>
        <w:t>。</w:t>
      </w:r>
      <w:r>
        <w:rPr>
          <w:rFonts w:hint="eastAsia" w:ascii="仿宋" w:hAnsi="仿宋" w:eastAsia="仿宋" w:cs="仿宋"/>
          <w:highlight w:val="none"/>
        </w:rPr>
        <w:t>项目配备农村网格工作光纤专用电路441条</w:t>
      </w:r>
      <w:r>
        <w:rPr>
          <w:rFonts w:hint="eastAsia" w:ascii="仿宋" w:hAnsi="仿宋" w:cs="仿宋"/>
          <w:highlight w:val="none"/>
          <w:lang w:eastAsia="zh-CN"/>
        </w:rPr>
        <w:t>，农村网格员工作手机配备469部，配备城区网络线路光纤专用电路26条，配备城区网格员工作手机配备150部，网格化管理覆盖率</w:t>
      </w:r>
      <w:r>
        <w:rPr>
          <w:rFonts w:hint="eastAsia" w:ascii="仿宋" w:hAnsi="仿宋" w:cs="仿宋"/>
          <w:highlight w:val="none"/>
          <w:lang w:val="en-US" w:eastAsia="zh-CN"/>
        </w:rPr>
        <w:t>100%，项目实际成本小于计划成本，但网格化运行系统维护稳定性有待优化，上报工作完成及时率有待提高。</w:t>
      </w:r>
    </w:p>
    <w:p>
      <w:pPr>
        <w:pStyle w:val="4"/>
        <w:numPr>
          <w:ilvl w:val="0"/>
          <w:numId w:val="0"/>
        </w:numPr>
        <w:ind w:left="634" w:leftChars="0"/>
        <w:rPr>
          <w:rFonts w:hint="default"/>
          <w:highlight w:val="none"/>
          <w:lang w:val="en-US"/>
        </w:rPr>
      </w:pPr>
      <w:bookmarkStart w:id="16" w:name="_Toc4710"/>
      <w:r>
        <w:rPr>
          <w:rFonts w:hint="eastAsia"/>
          <w:highlight w:val="none"/>
          <w:lang w:val="en-US" w:eastAsia="zh-CN"/>
        </w:rPr>
        <w:t>1.2.4项目效果</w:t>
      </w:r>
      <w:bookmarkEnd w:id="16"/>
    </w:p>
    <w:p>
      <w:pPr>
        <w:ind w:firstLine="640"/>
        <w:rPr>
          <w:rFonts w:hint="eastAsia" w:ascii="仿宋" w:hAnsi="仿宋" w:eastAsia="仿宋" w:cs="仿宋"/>
          <w:highlight w:val="none"/>
        </w:rPr>
      </w:pPr>
      <w:r>
        <w:rPr>
          <w:rFonts w:hint="eastAsia" w:ascii="仿宋" w:hAnsi="仿宋" w:eastAsia="仿宋" w:cs="仿宋"/>
          <w:highlight w:val="none"/>
        </w:rPr>
        <w:t>效果指标分数</w:t>
      </w:r>
      <w:r>
        <w:rPr>
          <w:rFonts w:hint="eastAsia" w:ascii="仿宋" w:hAnsi="仿宋" w:cs="仿宋"/>
          <w:highlight w:val="none"/>
          <w:lang w:val="en-US" w:eastAsia="zh-CN"/>
        </w:rPr>
        <w:t>36</w:t>
      </w:r>
      <w:r>
        <w:rPr>
          <w:rFonts w:hint="eastAsia" w:ascii="仿宋" w:hAnsi="仿宋" w:eastAsia="仿宋" w:cs="仿宋"/>
          <w:highlight w:val="none"/>
        </w:rPr>
        <w:t>分，实际评价得分为</w:t>
      </w:r>
      <w:r>
        <w:rPr>
          <w:rFonts w:hint="eastAsia" w:ascii="仿宋" w:hAnsi="仿宋" w:cs="仿宋"/>
          <w:highlight w:val="none"/>
          <w:lang w:val="en-US" w:eastAsia="zh-CN"/>
        </w:rPr>
        <w:t>34.85</w:t>
      </w:r>
      <w:r>
        <w:rPr>
          <w:rFonts w:hint="eastAsia" w:ascii="仿宋" w:hAnsi="仿宋" w:eastAsia="仿宋" w:cs="仿宋"/>
          <w:highlight w:val="none"/>
        </w:rPr>
        <w:t>分。项目实施</w:t>
      </w:r>
      <w:r>
        <w:rPr>
          <w:rFonts w:hint="eastAsia" w:ascii="仿宋" w:hAnsi="仿宋" w:cs="仿宋"/>
          <w:highlight w:val="none"/>
          <w:lang w:val="en-US" w:eastAsia="zh-CN"/>
        </w:rPr>
        <w:t>后在</w:t>
      </w:r>
      <w:r>
        <w:rPr>
          <w:rFonts w:hint="eastAsia" w:ascii="仿宋" w:hAnsi="仿宋" w:eastAsia="仿宋" w:cs="仿宋"/>
          <w:highlight w:val="none"/>
        </w:rPr>
        <w:t>社会治安防控方面、信访维稳方面、基层社会矛盾化解方面、舆情管控方面都起到了一定的积极作用，有效应对各类涉稳风险，维护了公共安全和社会大局稳定</w:t>
      </w:r>
      <w:r>
        <w:rPr>
          <w:rFonts w:hint="eastAsia" w:ascii="仿宋" w:hAnsi="仿宋" w:cs="仿宋"/>
          <w:highlight w:val="none"/>
          <w:lang w:eastAsia="zh-CN"/>
        </w:rPr>
        <w:t>，</w:t>
      </w:r>
      <w:r>
        <w:rPr>
          <w:rFonts w:hint="eastAsia" w:ascii="仿宋" w:hAnsi="仿宋" w:cs="仿宋"/>
          <w:highlight w:val="none"/>
          <w:lang w:val="en-US" w:eastAsia="zh-CN"/>
        </w:rPr>
        <w:t>网络</w:t>
      </w:r>
      <w:r>
        <w:rPr>
          <w:rFonts w:hint="eastAsia" w:ascii="仿宋" w:hAnsi="仿宋" w:cs="仿宋"/>
          <w:highlight w:val="none"/>
          <w:lang w:eastAsia="zh-CN"/>
        </w:rPr>
        <w:t>收集上报基础信息采集率100%，对群众发生的矛盾纠纷及时调解，</w:t>
      </w:r>
      <w:r>
        <w:rPr>
          <w:rFonts w:hint="eastAsia" w:ascii="仿宋" w:hAnsi="仿宋" w:cs="仿宋"/>
          <w:highlight w:val="none"/>
          <w:lang w:val="en-US" w:eastAsia="zh-CN"/>
        </w:rPr>
        <w:t>防治社会不稳定因素，实行网格员代办协办服务，着力解决农村公共服务“最后一公里”问题，提升综合服务管理水平</w:t>
      </w:r>
      <w:r>
        <w:rPr>
          <w:rFonts w:hint="eastAsia" w:ascii="仿宋" w:hAnsi="仿宋" w:cs="仿宋"/>
          <w:highlight w:val="none"/>
          <w:lang w:eastAsia="zh-CN"/>
        </w:rPr>
        <w:t>。</w:t>
      </w:r>
    </w:p>
    <w:p>
      <w:pPr>
        <w:pStyle w:val="3"/>
        <w:numPr>
          <w:ilvl w:val="0"/>
          <w:numId w:val="0"/>
        </w:numPr>
        <w:ind w:left="634" w:leftChars="0"/>
        <w:rPr>
          <w:rFonts w:hint="eastAsia"/>
          <w:color w:val="auto"/>
          <w:highlight w:val="none"/>
          <w:lang w:val="en-US" w:eastAsia="zh-CN"/>
        </w:rPr>
      </w:pPr>
      <w:bookmarkStart w:id="17" w:name="_Toc23562"/>
      <w:bookmarkStart w:id="18" w:name="_Toc805"/>
      <w:bookmarkStart w:id="19" w:name="_Toc22931_WPSOffice_Level2"/>
      <w:bookmarkStart w:id="20" w:name="_Toc78897826"/>
      <w:r>
        <w:rPr>
          <w:rFonts w:hint="eastAsia"/>
          <w:color w:val="auto"/>
          <w:highlight w:val="none"/>
          <w:lang w:val="en-US" w:eastAsia="zh-CN"/>
        </w:rPr>
        <w:t>1.3上年度绩效评价结果应用情况</w:t>
      </w:r>
      <w:bookmarkEnd w:id="17"/>
      <w:bookmarkEnd w:id="18"/>
    </w:p>
    <w:p>
      <w:pPr>
        <w:ind w:firstLine="640"/>
        <w:rPr>
          <w:rFonts w:hint="default" w:ascii="仿宋" w:hAnsi="仿宋" w:cs="仿宋"/>
          <w:highlight w:val="none"/>
          <w:lang w:val="en-US" w:eastAsia="zh-CN"/>
        </w:rPr>
      </w:pPr>
      <w:r>
        <w:rPr>
          <w:rFonts w:hint="eastAsia" w:ascii="仿宋" w:hAnsi="仿宋" w:cs="仿宋"/>
          <w:highlight w:val="none"/>
          <w:lang w:val="en-US" w:eastAsia="zh-CN"/>
        </w:rPr>
        <w:t>无。</w:t>
      </w:r>
    </w:p>
    <w:p>
      <w:pPr>
        <w:pStyle w:val="3"/>
        <w:ind w:firstLine="643"/>
        <w:rPr>
          <w:rFonts w:hint="eastAsia" w:ascii="仿宋" w:hAnsi="仿宋" w:eastAsia="仿宋" w:cs="仿宋"/>
          <w:highlight w:val="none"/>
          <w:lang w:val="en-US" w:eastAsia="zh-CN"/>
        </w:rPr>
      </w:pPr>
      <w:bookmarkStart w:id="21" w:name="_Toc13898"/>
      <w:r>
        <w:rPr>
          <w:rFonts w:hint="eastAsia"/>
          <w:highlight w:val="none"/>
          <w:lang w:val="en-US" w:eastAsia="zh-CN"/>
        </w:rPr>
        <w:t>1.4</w:t>
      </w:r>
      <w:r>
        <w:rPr>
          <w:rFonts w:hint="eastAsia"/>
          <w:highlight w:val="none"/>
        </w:rPr>
        <w:t>项目</w:t>
      </w:r>
      <w:r>
        <w:rPr>
          <w:highlight w:val="none"/>
        </w:rPr>
        <w:t>成效、存在的问题和原因</w:t>
      </w:r>
      <w:bookmarkEnd w:id="19"/>
      <w:bookmarkEnd w:id="20"/>
      <w:bookmarkEnd w:id="21"/>
      <w:bookmarkStart w:id="22" w:name="_Toc78897827"/>
      <w:bookmarkStart w:id="23" w:name="_Toc22862_WPSOffice_Level3"/>
    </w:p>
    <w:p>
      <w:pPr>
        <w:pStyle w:val="4"/>
        <w:numPr>
          <w:ilvl w:val="0"/>
          <w:numId w:val="0"/>
        </w:numPr>
        <w:ind w:left="634" w:leftChars="0"/>
        <w:rPr>
          <w:highlight w:val="none"/>
        </w:rPr>
      </w:pPr>
      <w:bookmarkStart w:id="24" w:name="_Toc6130"/>
      <w:r>
        <w:rPr>
          <w:rFonts w:hint="eastAsia"/>
          <w:highlight w:val="none"/>
          <w:lang w:val="en-US" w:eastAsia="zh-CN"/>
        </w:rPr>
        <w:t>1.4.1</w:t>
      </w:r>
      <w:r>
        <w:rPr>
          <w:rFonts w:hint="eastAsia"/>
          <w:highlight w:val="none"/>
        </w:rPr>
        <w:t>主要成效</w:t>
      </w:r>
      <w:bookmarkEnd w:id="22"/>
      <w:bookmarkEnd w:id="23"/>
      <w:bookmarkEnd w:id="24"/>
    </w:p>
    <w:p>
      <w:pPr>
        <w:keepNext w:val="0"/>
        <w:keepLines w:val="0"/>
        <w:widowControl/>
        <w:suppressLineNumbers w:val="0"/>
        <w:jc w:val="left"/>
        <w:rPr>
          <w:rFonts w:hint="eastAsia" w:ascii="仿宋" w:hAnsi="仿宋" w:cs="仿宋"/>
          <w:color w:val="000000"/>
          <w:kern w:val="0"/>
          <w:sz w:val="31"/>
          <w:szCs w:val="31"/>
          <w:highlight w:val="none"/>
          <w:lang w:val="en-US" w:eastAsia="zh-CN" w:bidi="ar"/>
        </w:rPr>
      </w:pPr>
      <w:r>
        <w:rPr>
          <w:rFonts w:hint="eastAsia" w:ascii="仿宋" w:hAnsi="仿宋" w:cs="仿宋"/>
          <w:color w:val="000000"/>
          <w:kern w:val="0"/>
          <w:sz w:val="31"/>
          <w:szCs w:val="31"/>
          <w:highlight w:val="none"/>
          <w:lang w:val="en-US" w:eastAsia="zh-CN" w:bidi="ar"/>
        </w:rPr>
        <w:t>一是基层治理根基更加稳固。网格化管理以城区、集镇为重点,覆盖所有村 (社区)，实现了“一格一员”的网格员配备要求，配备固定的办公场所、电脑、手机等基本设施，有效激发了网格员工作积极性。建立网格化信息系统，依托电子政务专网，统一村(社区)IP规划，统一互联网出口，统一接入宽带，实现连通“一张网”。网格员日常收集上报各类信息,排查化解矛盾纠纷 ,巡查上报安全隐患,帮扶特殊人群和留守家庭、困难群众,宣传党的惠民利民政策,协助村 (社区)党组织、村(居)委会开展平安创建和公共服务,协助做好信息录入更新工作，基层治理 “神经末梢” 更加灵敏。</w:t>
      </w:r>
    </w:p>
    <w:p>
      <w:pPr>
        <w:keepNext w:val="0"/>
        <w:keepLines w:val="0"/>
        <w:widowControl/>
        <w:suppressLineNumbers w:val="0"/>
        <w:jc w:val="left"/>
        <w:rPr>
          <w:rFonts w:hint="eastAsia" w:ascii="仿宋" w:hAnsi="仿宋" w:cs="仿宋"/>
          <w:color w:val="000000"/>
          <w:kern w:val="0"/>
          <w:sz w:val="31"/>
          <w:szCs w:val="31"/>
          <w:highlight w:val="none"/>
          <w:lang w:val="en-US" w:eastAsia="zh-CN" w:bidi="ar"/>
        </w:rPr>
      </w:pPr>
      <w:r>
        <w:rPr>
          <w:rFonts w:hint="eastAsia" w:ascii="仿宋" w:hAnsi="仿宋" w:cs="仿宋"/>
          <w:color w:val="000000"/>
          <w:kern w:val="0"/>
          <w:sz w:val="31"/>
          <w:szCs w:val="31"/>
          <w:highlight w:val="none"/>
          <w:lang w:val="en-US" w:eastAsia="zh-CN" w:bidi="ar"/>
        </w:rPr>
        <w:t>二是服务群众质效持续提升。依托网格化管理信息系统支持，网格服务阵地规范化建设全面推进，深入实施电子政务进社区，推进便民类审批项目下放，实行村级前台受理、部门后台办理、村级前台办理回复，实现“一平台”受理、“一站式”服务、“一条龙”办理，小事不出网格、大事不出乡镇，打通了服务群众 “最后一公里”。</w:t>
      </w:r>
    </w:p>
    <w:p>
      <w:pPr>
        <w:keepNext w:val="0"/>
        <w:keepLines w:val="0"/>
        <w:widowControl/>
        <w:suppressLineNumbers w:val="0"/>
        <w:jc w:val="left"/>
        <w:rPr>
          <w:rFonts w:hint="eastAsia" w:ascii="仿宋" w:hAnsi="仿宋" w:cs="仿宋"/>
          <w:color w:val="000000"/>
          <w:kern w:val="0"/>
          <w:sz w:val="31"/>
          <w:szCs w:val="31"/>
          <w:highlight w:val="none"/>
          <w:lang w:val="en-US" w:eastAsia="zh-CN" w:bidi="ar"/>
        </w:rPr>
      </w:pPr>
      <w:r>
        <w:rPr>
          <w:rFonts w:hint="eastAsia" w:ascii="仿宋" w:hAnsi="仿宋" w:cs="仿宋"/>
          <w:color w:val="000000"/>
          <w:kern w:val="0"/>
          <w:sz w:val="31"/>
          <w:szCs w:val="31"/>
          <w:highlight w:val="none"/>
          <w:lang w:val="en-US" w:eastAsia="zh-CN" w:bidi="ar"/>
        </w:rPr>
        <w:t>三是平安建设成果不断巩固。推动网格化与信息化深度融合，建设全市网格化管理信息系统，实现了事件上报、流转处置、跟踪反馈全流程线上办理。针对社会治安、安全生产、环境保护等重点领域，消除安全隐患，最大限度预防和减少可防性案件的法伤，保障社会大局持续和谐稳定。</w:t>
      </w:r>
    </w:p>
    <w:p>
      <w:pPr>
        <w:pStyle w:val="4"/>
        <w:numPr>
          <w:ilvl w:val="0"/>
          <w:numId w:val="0"/>
        </w:numPr>
        <w:ind w:firstLine="640" w:firstLineChars="200"/>
        <w:rPr>
          <w:highlight w:val="none"/>
        </w:rPr>
      </w:pPr>
      <w:bookmarkStart w:id="25" w:name="_Toc78897828"/>
      <w:bookmarkStart w:id="26" w:name="_Toc514_WPSOffice_Level3"/>
      <w:bookmarkStart w:id="27" w:name="_Toc8173"/>
      <w:r>
        <w:rPr>
          <w:rFonts w:hint="eastAsia"/>
          <w:highlight w:val="none"/>
          <w:lang w:val="en-US" w:eastAsia="zh-CN"/>
        </w:rPr>
        <w:t>1.4.2</w:t>
      </w:r>
      <w:r>
        <w:rPr>
          <w:rFonts w:hint="eastAsia"/>
          <w:highlight w:val="none"/>
        </w:rPr>
        <w:t>存在的问题和</w:t>
      </w:r>
      <w:r>
        <w:rPr>
          <w:highlight w:val="none"/>
        </w:rPr>
        <w:t>原因</w:t>
      </w:r>
      <w:bookmarkEnd w:id="25"/>
      <w:bookmarkEnd w:id="26"/>
      <w:bookmarkEnd w:id="27"/>
    </w:p>
    <w:p>
      <w:pPr>
        <w:keepNext w:val="0"/>
        <w:keepLines w:val="0"/>
        <w:widowControl/>
        <w:suppressLineNumbers w:val="0"/>
        <w:jc w:val="left"/>
        <w:rPr>
          <w:rFonts w:hint="eastAsia" w:ascii="Times New Roman" w:hAnsi="Times New Roman" w:eastAsia="楷体" w:cs="Times New Roman"/>
          <w:b/>
          <w:bCs/>
          <w:kern w:val="2"/>
          <w:sz w:val="32"/>
          <w:szCs w:val="32"/>
          <w:highlight w:val="none"/>
          <w:lang w:val="en-US" w:eastAsia="zh-CN" w:bidi="ar-SA"/>
        </w:rPr>
      </w:pPr>
      <w:r>
        <w:rPr>
          <w:rFonts w:hint="eastAsia" w:ascii="Times New Roman" w:hAnsi="Times New Roman" w:eastAsia="楷体" w:cs="Times New Roman"/>
          <w:b/>
          <w:bCs/>
          <w:kern w:val="2"/>
          <w:sz w:val="32"/>
          <w:szCs w:val="32"/>
          <w:highlight w:val="none"/>
          <w:lang w:val="en-US" w:eastAsia="zh-CN" w:bidi="ar-SA"/>
        </w:rPr>
        <w:t>1.4.2.1绩效指标设置不够全面</w:t>
      </w:r>
    </w:p>
    <w:p>
      <w:pPr>
        <w:keepNext w:val="0"/>
        <w:keepLines w:val="0"/>
        <w:widowControl/>
        <w:suppressLineNumbers w:val="0"/>
        <w:jc w:val="left"/>
        <w:rPr>
          <w:rFonts w:hint="default"/>
          <w:highlight w:val="none"/>
          <w:lang w:val="en-US" w:eastAsia="zh-CN"/>
        </w:rPr>
      </w:pPr>
      <w:r>
        <w:rPr>
          <w:rFonts w:ascii="仿宋" w:hAnsi="仿宋" w:eastAsia="仿宋" w:cs="仿宋"/>
          <w:color w:val="000000"/>
          <w:kern w:val="0"/>
          <w:sz w:val="31"/>
          <w:szCs w:val="31"/>
          <w:highlight w:val="none"/>
          <w:lang w:val="en-US" w:eastAsia="zh-CN" w:bidi="ar"/>
        </w:rPr>
        <w:t>根据《</w:t>
      </w:r>
      <w:r>
        <w:rPr>
          <w:rFonts w:hint="eastAsia" w:ascii="仿宋" w:hAnsi="仿宋" w:cs="仿宋"/>
          <w:color w:val="000000"/>
          <w:kern w:val="0"/>
          <w:sz w:val="31"/>
          <w:szCs w:val="31"/>
          <w:highlight w:val="none"/>
          <w:lang w:val="en-US" w:eastAsia="zh-CN" w:bidi="ar"/>
        </w:rPr>
        <w:t>网格化运行相关经费项目支出绩效目标申报表</w:t>
      </w:r>
      <w:r>
        <w:rPr>
          <w:rFonts w:hint="eastAsia" w:eastAsia="仿宋_GB2312"/>
          <w:sz w:val="32"/>
          <w:szCs w:val="32"/>
          <w:highlight w:val="none"/>
          <w:lang w:val="en-US" w:eastAsia="zh-CN"/>
        </w:rPr>
        <w:t>》</w:t>
      </w:r>
      <w:r>
        <w:rPr>
          <w:rFonts w:ascii="仿宋" w:hAnsi="仿宋" w:eastAsia="仿宋" w:cs="仿宋"/>
          <w:color w:val="000000"/>
          <w:kern w:val="0"/>
          <w:sz w:val="31"/>
          <w:szCs w:val="31"/>
          <w:highlight w:val="none"/>
          <w:lang w:val="en-US" w:eastAsia="zh-CN" w:bidi="ar"/>
        </w:rPr>
        <w:t>文件，</w:t>
      </w:r>
      <w:r>
        <w:rPr>
          <w:rFonts w:hint="eastAsia" w:ascii="仿宋" w:hAnsi="仿宋" w:eastAsia="仿宋" w:cs="仿宋"/>
          <w:color w:val="000000"/>
          <w:kern w:val="0"/>
          <w:sz w:val="31"/>
          <w:szCs w:val="31"/>
          <w:highlight w:val="none"/>
          <w:lang w:val="en-US" w:eastAsia="zh-CN" w:bidi="ar"/>
        </w:rPr>
        <w:t>绩效指标设置不够全面</w:t>
      </w:r>
      <w:r>
        <w:rPr>
          <w:rFonts w:hint="eastAsia" w:ascii="仿宋" w:hAnsi="仿宋" w:cs="仿宋"/>
          <w:color w:val="000000"/>
          <w:kern w:val="0"/>
          <w:sz w:val="31"/>
          <w:szCs w:val="31"/>
          <w:highlight w:val="none"/>
          <w:lang w:val="en-US" w:eastAsia="zh-CN" w:bidi="ar"/>
        </w:rPr>
        <w:t>，</w:t>
      </w:r>
      <w:r>
        <w:rPr>
          <w:rFonts w:hint="eastAsia" w:ascii="仿宋" w:hAnsi="仿宋" w:eastAsia="仿宋" w:cs="仿宋"/>
          <w:color w:val="000000"/>
          <w:kern w:val="0"/>
          <w:sz w:val="31"/>
          <w:szCs w:val="31"/>
          <w:highlight w:val="none"/>
          <w:lang w:val="en-US" w:eastAsia="zh-CN" w:bidi="ar"/>
        </w:rPr>
        <w:t>未设定系统平台运行维护质量</w:t>
      </w:r>
      <w:r>
        <w:rPr>
          <w:rFonts w:hint="eastAsia" w:ascii="仿宋" w:hAnsi="仿宋" w:cs="仿宋"/>
          <w:color w:val="000000"/>
          <w:kern w:val="0"/>
          <w:sz w:val="31"/>
          <w:szCs w:val="31"/>
          <w:highlight w:val="none"/>
          <w:lang w:val="en-US" w:eastAsia="zh-CN" w:bidi="ar"/>
        </w:rPr>
        <w:t>、</w:t>
      </w:r>
      <w:r>
        <w:rPr>
          <w:rFonts w:hint="eastAsia" w:ascii="仿宋" w:hAnsi="仿宋" w:eastAsia="仿宋" w:cs="仿宋"/>
          <w:color w:val="000000"/>
          <w:kern w:val="0"/>
          <w:sz w:val="31"/>
          <w:szCs w:val="31"/>
          <w:highlight w:val="none"/>
          <w:lang w:val="en-US" w:eastAsia="zh-CN" w:bidi="ar"/>
        </w:rPr>
        <w:t>系统平台运行</w:t>
      </w:r>
      <w:r>
        <w:rPr>
          <w:rFonts w:hint="eastAsia" w:ascii="仿宋" w:hAnsi="仿宋" w:cs="仿宋"/>
          <w:color w:val="000000"/>
          <w:kern w:val="0"/>
          <w:sz w:val="31"/>
          <w:szCs w:val="31"/>
          <w:highlight w:val="none"/>
          <w:lang w:val="en-US" w:eastAsia="zh-CN" w:bidi="ar"/>
        </w:rPr>
        <w:t>修复</w:t>
      </w:r>
      <w:r>
        <w:rPr>
          <w:rFonts w:hint="eastAsia" w:ascii="仿宋" w:hAnsi="仿宋" w:eastAsia="仿宋" w:cs="仿宋"/>
          <w:color w:val="000000"/>
          <w:kern w:val="0"/>
          <w:sz w:val="31"/>
          <w:szCs w:val="31"/>
          <w:highlight w:val="none"/>
          <w:lang w:val="en-US" w:eastAsia="zh-CN" w:bidi="ar"/>
        </w:rPr>
        <w:t>及时性相关指标，信息采集质量等</w:t>
      </w:r>
      <w:r>
        <w:rPr>
          <w:rFonts w:hint="eastAsia" w:ascii="仿宋" w:hAnsi="仿宋" w:cs="仿宋"/>
          <w:color w:val="000000"/>
          <w:kern w:val="0"/>
          <w:sz w:val="31"/>
          <w:szCs w:val="31"/>
          <w:highlight w:val="none"/>
          <w:lang w:val="en-US" w:eastAsia="zh-CN" w:bidi="ar"/>
        </w:rPr>
        <w:t>相应</w:t>
      </w:r>
      <w:r>
        <w:rPr>
          <w:rFonts w:hint="eastAsia" w:ascii="仿宋" w:hAnsi="仿宋" w:eastAsia="仿宋" w:cs="仿宋"/>
          <w:color w:val="000000"/>
          <w:kern w:val="0"/>
          <w:sz w:val="31"/>
          <w:szCs w:val="31"/>
          <w:highlight w:val="none"/>
          <w:lang w:val="en-US" w:eastAsia="zh-CN" w:bidi="ar"/>
        </w:rPr>
        <w:t>指标</w:t>
      </w:r>
      <w:r>
        <w:rPr>
          <w:rFonts w:hint="eastAsia" w:ascii="仿宋" w:hAnsi="仿宋" w:cs="仿宋"/>
          <w:color w:val="000000"/>
          <w:kern w:val="0"/>
          <w:sz w:val="31"/>
          <w:szCs w:val="31"/>
          <w:highlight w:val="none"/>
          <w:lang w:val="en-US" w:eastAsia="zh-CN" w:bidi="ar"/>
        </w:rPr>
        <w:t>，未全面设定项目社会效益指标</w:t>
      </w:r>
      <w:r>
        <w:rPr>
          <w:rFonts w:hint="eastAsia" w:ascii="仿宋" w:hAnsi="仿宋" w:cs="Times New Roman"/>
          <w:sz w:val="32"/>
          <w:szCs w:val="32"/>
          <w:highlight w:val="none"/>
          <w:lang w:val="en-US" w:eastAsia="zh-CN"/>
        </w:rPr>
        <w:t>。</w:t>
      </w:r>
    </w:p>
    <w:p>
      <w:pPr>
        <w:pageBreakBefore w:val="0"/>
        <w:widowControl w:val="0"/>
        <w:kinsoku/>
        <w:wordWrap/>
        <w:overflowPunct/>
        <w:topLinePunct w:val="0"/>
        <w:autoSpaceDE/>
        <w:autoSpaceDN/>
        <w:bidi w:val="0"/>
        <w:adjustRightInd/>
        <w:snapToGrid/>
        <w:ind w:firstLine="640"/>
        <w:textAlignment w:val="auto"/>
        <w:rPr>
          <w:rFonts w:hint="eastAsia" w:ascii="Times New Roman" w:hAnsi="Times New Roman" w:eastAsia="楷体" w:cs="Times New Roman"/>
          <w:b/>
          <w:bCs/>
          <w:kern w:val="2"/>
          <w:sz w:val="32"/>
          <w:szCs w:val="32"/>
          <w:highlight w:val="none"/>
          <w:lang w:val="en-US" w:eastAsia="zh-CN" w:bidi="ar-SA"/>
        </w:rPr>
      </w:pPr>
      <w:r>
        <w:rPr>
          <w:rFonts w:hint="eastAsia" w:ascii="Times New Roman" w:hAnsi="Times New Roman" w:eastAsia="楷体" w:cs="Times New Roman"/>
          <w:b/>
          <w:bCs/>
          <w:kern w:val="2"/>
          <w:sz w:val="32"/>
          <w:szCs w:val="32"/>
          <w:highlight w:val="none"/>
          <w:lang w:val="en-US" w:eastAsia="zh-CN" w:bidi="ar-SA"/>
        </w:rPr>
        <w:t>1.4.2.2项目管理制度不够健全</w:t>
      </w:r>
    </w:p>
    <w:p>
      <w:pPr>
        <w:pageBreakBefore w:val="0"/>
        <w:widowControl w:val="0"/>
        <w:kinsoku/>
        <w:wordWrap/>
        <w:overflowPunct/>
        <w:topLinePunct w:val="0"/>
        <w:autoSpaceDE/>
        <w:autoSpaceDN/>
        <w:bidi w:val="0"/>
        <w:adjustRightInd/>
        <w:snapToGrid/>
        <w:ind w:firstLine="640"/>
        <w:textAlignment w:val="auto"/>
        <w:rPr>
          <w:rFonts w:hint="default" w:ascii="仿宋" w:hAnsi="仿宋" w:cs="Times New Roman"/>
          <w:sz w:val="32"/>
          <w:szCs w:val="32"/>
          <w:highlight w:val="none"/>
          <w:lang w:val="en-US" w:eastAsia="zh-CN"/>
        </w:rPr>
      </w:pPr>
      <w:r>
        <w:rPr>
          <w:rFonts w:hint="eastAsia" w:ascii="仿宋" w:hAnsi="仿宋" w:cs="仿宋"/>
          <w:highlight w:val="none"/>
          <w:lang w:eastAsia="zh-CN"/>
        </w:rPr>
        <w:t>网格化运行相关经费项目</w:t>
      </w:r>
      <w:r>
        <w:rPr>
          <w:rFonts w:hint="eastAsia" w:ascii="仿宋" w:hAnsi="仿宋" w:cs="仿宋"/>
          <w:highlight w:val="none"/>
          <w:lang w:val="en-US" w:eastAsia="zh-CN"/>
        </w:rPr>
        <w:t>未针对项目制定相应的业务管理制度，如收集上报矛</w:t>
      </w:r>
      <w:bookmarkStart w:id="40" w:name="_GoBack"/>
      <w:bookmarkEnd w:id="40"/>
      <w:r>
        <w:rPr>
          <w:rFonts w:hint="eastAsia" w:ascii="仿宋" w:hAnsi="仿宋" w:cs="仿宋"/>
          <w:highlight w:val="none"/>
          <w:lang w:val="en-US" w:eastAsia="zh-CN"/>
        </w:rPr>
        <w:t>盾纠纷时间，仅口头要求上报时间，未针对矛盾纠纷情况按紧急程度划定上报时间，信息上报的范围要求与质量、信息安全管理及保密制度等等</w:t>
      </w:r>
      <w:r>
        <w:rPr>
          <w:rFonts w:hint="eastAsia" w:ascii="仿宋" w:hAnsi="仿宋" w:cs="Times New Roman"/>
          <w:sz w:val="32"/>
          <w:szCs w:val="32"/>
          <w:highlight w:val="none"/>
          <w:lang w:val="en-US" w:eastAsia="zh-CN"/>
        </w:rPr>
        <w:t>。</w:t>
      </w:r>
    </w:p>
    <w:p>
      <w:pPr>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楷体" w:cs="Times New Roman"/>
          <w:b/>
          <w:bCs/>
          <w:kern w:val="2"/>
          <w:sz w:val="32"/>
          <w:szCs w:val="32"/>
          <w:highlight w:val="none"/>
          <w:lang w:val="en-US" w:eastAsia="zh-CN" w:bidi="ar-SA"/>
        </w:rPr>
      </w:pPr>
      <w:r>
        <w:rPr>
          <w:rFonts w:hint="eastAsia" w:ascii="Times New Roman" w:hAnsi="Times New Roman" w:eastAsia="楷体" w:cs="Times New Roman"/>
          <w:b/>
          <w:bCs/>
          <w:kern w:val="2"/>
          <w:sz w:val="32"/>
          <w:szCs w:val="32"/>
          <w:highlight w:val="none"/>
          <w:lang w:val="en-US" w:eastAsia="zh-CN" w:bidi="ar-SA"/>
        </w:rPr>
        <w:t>1.4.2.3网格化运行系统有待优化</w:t>
      </w:r>
    </w:p>
    <w:p>
      <w:pPr>
        <w:pageBreakBefore w:val="0"/>
        <w:widowControl w:val="0"/>
        <w:kinsoku/>
        <w:wordWrap/>
        <w:overflowPunct/>
        <w:topLinePunct w:val="0"/>
        <w:autoSpaceDE/>
        <w:autoSpaceDN/>
        <w:bidi w:val="0"/>
        <w:adjustRightInd/>
        <w:snapToGrid/>
        <w:ind w:firstLine="640"/>
        <w:textAlignment w:val="auto"/>
        <w:rPr>
          <w:rFonts w:hint="default" w:ascii="仿宋" w:hAnsi="仿宋" w:cs="Times New Roman"/>
          <w:sz w:val="32"/>
          <w:szCs w:val="32"/>
          <w:highlight w:val="none"/>
          <w:lang w:val="en-US" w:eastAsia="zh-CN"/>
        </w:rPr>
      </w:pPr>
      <w:r>
        <w:rPr>
          <w:rFonts w:hint="eastAsia" w:ascii="仿宋" w:hAnsi="仿宋" w:cs="Times New Roman"/>
          <w:sz w:val="32"/>
          <w:szCs w:val="32"/>
          <w:highlight w:val="none"/>
          <w:lang w:val="en-US" w:eastAsia="zh-CN"/>
        </w:rPr>
        <w:t>经评价人员问卷访谈了解，</w:t>
      </w:r>
      <w:r>
        <w:rPr>
          <w:rFonts w:hint="eastAsia" w:ascii="仿宋" w:hAnsi="仿宋" w:cs="仿宋"/>
          <w:highlight w:val="none"/>
          <w:lang w:val="en-US" w:eastAsia="zh-CN"/>
        </w:rPr>
        <w:t>网格化治理系统需进一步优化，如系统网络比较延迟卡顿，经常掉网，网络运行速度需要加强，系统平台界面难以很快理解反馈，操作系统太过繁琐，经常变换地址，重点人口信息要及时更新，希望系统能更便捷简单，增加学习模块</w:t>
      </w:r>
      <w:r>
        <w:rPr>
          <w:rFonts w:hint="eastAsia" w:ascii="仿宋" w:hAnsi="仿宋" w:cs="Times New Roman"/>
          <w:sz w:val="32"/>
          <w:szCs w:val="32"/>
          <w:highlight w:val="none"/>
          <w:lang w:val="en-US" w:eastAsia="zh-CN"/>
        </w:rPr>
        <w:t>。</w:t>
      </w:r>
    </w:p>
    <w:p>
      <w:pPr>
        <w:pageBreakBefore w:val="0"/>
        <w:widowControl w:val="0"/>
        <w:kinsoku/>
        <w:wordWrap/>
        <w:overflowPunct/>
        <w:topLinePunct w:val="0"/>
        <w:autoSpaceDE/>
        <w:autoSpaceDN/>
        <w:bidi w:val="0"/>
        <w:adjustRightInd/>
        <w:snapToGrid/>
        <w:ind w:firstLine="640"/>
        <w:textAlignment w:val="auto"/>
        <w:rPr>
          <w:rFonts w:hint="eastAsia" w:ascii="Times New Roman" w:hAnsi="Times New Roman" w:eastAsia="楷体" w:cs="Times New Roman"/>
          <w:b/>
          <w:bCs/>
          <w:kern w:val="2"/>
          <w:sz w:val="32"/>
          <w:szCs w:val="32"/>
          <w:highlight w:val="none"/>
          <w:lang w:val="en-US" w:eastAsia="zh-CN" w:bidi="ar-SA"/>
        </w:rPr>
      </w:pPr>
      <w:r>
        <w:rPr>
          <w:rFonts w:hint="eastAsia" w:ascii="Times New Roman" w:hAnsi="Times New Roman" w:eastAsia="楷体" w:cs="Times New Roman"/>
          <w:b/>
          <w:bCs/>
          <w:kern w:val="2"/>
          <w:sz w:val="32"/>
          <w:szCs w:val="32"/>
          <w:highlight w:val="none"/>
          <w:lang w:val="en-US" w:eastAsia="zh-CN" w:bidi="ar-SA"/>
        </w:rPr>
        <w:t>1.4.2.4上报工作不够及时</w:t>
      </w:r>
    </w:p>
    <w:p>
      <w:pPr>
        <w:pageBreakBefore w:val="0"/>
        <w:widowControl w:val="0"/>
        <w:kinsoku/>
        <w:wordWrap/>
        <w:overflowPunct/>
        <w:topLinePunct w:val="0"/>
        <w:autoSpaceDE/>
        <w:autoSpaceDN/>
        <w:bidi w:val="0"/>
        <w:adjustRightInd/>
        <w:snapToGrid/>
        <w:ind w:firstLine="640"/>
        <w:textAlignment w:val="auto"/>
        <w:rPr>
          <w:rFonts w:hint="default" w:ascii="仿宋" w:hAnsi="仿宋" w:cs="Times New Roman"/>
          <w:sz w:val="32"/>
          <w:szCs w:val="32"/>
          <w:highlight w:val="none"/>
          <w:lang w:val="en-US" w:eastAsia="zh-CN"/>
        </w:rPr>
      </w:pPr>
      <w:r>
        <w:rPr>
          <w:rFonts w:hint="eastAsia" w:ascii="仿宋" w:hAnsi="仿宋" w:cs="Times New Roman"/>
          <w:sz w:val="32"/>
          <w:szCs w:val="32"/>
          <w:highlight w:val="none"/>
          <w:lang w:val="en-US" w:eastAsia="zh-CN"/>
        </w:rPr>
        <w:t>通过评价人员查看网格化管理系统个别矛盾纠纷时间与信息上传时间滞后1-2日，上报工作不够及时。</w:t>
      </w:r>
    </w:p>
    <w:p>
      <w:pPr>
        <w:pStyle w:val="3"/>
        <w:ind w:firstLine="643"/>
        <w:rPr>
          <w:rFonts w:hint="eastAsia"/>
          <w:highlight w:val="none"/>
          <w:lang w:val="en-US" w:eastAsia="zh-CN"/>
        </w:rPr>
      </w:pPr>
      <w:bookmarkStart w:id="28" w:name="_Toc11056_WPSOffice_Level2"/>
      <w:bookmarkStart w:id="29" w:name="_Toc78897829"/>
      <w:bookmarkStart w:id="30" w:name="_Toc18069"/>
      <w:r>
        <w:rPr>
          <w:rFonts w:hint="eastAsia"/>
          <w:highlight w:val="none"/>
          <w:lang w:val="en-US" w:eastAsia="zh-CN"/>
        </w:rPr>
        <w:t>1.</w:t>
      </w:r>
      <w:bookmarkEnd w:id="28"/>
      <w:bookmarkEnd w:id="29"/>
      <w:r>
        <w:rPr>
          <w:rFonts w:hint="eastAsia"/>
          <w:highlight w:val="none"/>
          <w:lang w:val="en-US" w:eastAsia="zh-CN"/>
        </w:rPr>
        <w:t>5结果应用建议</w:t>
      </w:r>
      <w:bookmarkEnd w:id="30"/>
    </w:p>
    <w:p>
      <w:pPr>
        <w:pStyle w:val="4"/>
        <w:numPr>
          <w:ilvl w:val="0"/>
          <w:numId w:val="0"/>
        </w:numPr>
        <w:ind w:firstLine="640" w:firstLineChars="200"/>
        <w:rPr>
          <w:rFonts w:hint="default"/>
          <w:highlight w:val="none"/>
          <w:lang w:val="en-US"/>
        </w:rPr>
      </w:pPr>
      <w:bookmarkStart w:id="31" w:name="_Toc1667"/>
      <w:r>
        <w:rPr>
          <w:rFonts w:hint="eastAsia"/>
          <w:highlight w:val="none"/>
          <w:lang w:val="en-US" w:eastAsia="zh-CN"/>
        </w:rPr>
        <w:t>1.5.1</w:t>
      </w:r>
      <w:r>
        <w:rPr>
          <w:rFonts w:hint="eastAsia"/>
          <w:highlight w:val="none"/>
        </w:rPr>
        <w:t>改进措施建议</w:t>
      </w:r>
      <w:bookmarkEnd w:id="31"/>
    </w:p>
    <w:p>
      <w:pPr>
        <w:keepNext w:val="0"/>
        <w:keepLines w:val="0"/>
        <w:widowControl/>
        <w:suppressLineNumbers w:val="0"/>
        <w:jc w:val="left"/>
        <w:rPr>
          <w:rFonts w:hint="eastAsia" w:ascii="Times New Roman" w:hAnsi="Times New Roman" w:eastAsia="楷体" w:cs="Times New Roman"/>
          <w:b/>
          <w:bCs/>
          <w:kern w:val="2"/>
          <w:sz w:val="32"/>
          <w:szCs w:val="32"/>
          <w:highlight w:val="none"/>
          <w:lang w:val="en-US" w:eastAsia="zh-CN" w:bidi="ar-SA"/>
        </w:rPr>
      </w:pPr>
      <w:r>
        <w:rPr>
          <w:rFonts w:hint="eastAsia" w:ascii="Times New Roman" w:hAnsi="Times New Roman" w:eastAsia="楷体" w:cs="Times New Roman"/>
          <w:b/>
          <w:bCs/>
          <w:kern w:val="2"/>
          <w:sz w:val="32"/>
          <w:szCs w:val="32"/>
          <w:highlight w:val="none"/>
          <w:lang w:val="en-US" w:eastAsia="zh-CN" w:bidi="ar-SA"/>
        </w:rPr>
        <w:t>1.5.1.1全面优化绩效指标设置，提高绩效管理水平。</w:t>
      </w:r>
    </w:p>
    <w:p>
      <w:pPr>
        <w:numPr>
          <w:ilvl w:val="0"/>
          <w:numId w:val="0"/>
        </w:numPr>
        <w:ind w:firstLine="640" w:firstLineChars="200"/>
        <w:rPr>
          <w:rFonts w:hint="eastAsia"/>
          <w:highlight w:val="none"/>
        </w:rPr>
      </w:pPr>
      <w:r>
        <w:rPr>
          <w:rFonts w:hint="eastAsia" w:ascii="仿宋" w:hAnsi="仿宋"/>
          <w:sz w:val="32"/>
          <w:szCs w:val="32"/>
          <w:highlight w:val="none"/>
          <w:lang w:val="en-US" w:eastAsia="zh-CN"/>
        </w:rPr>
        <w:t>一是补充系统平台运行维护质量与及时性指标，明确故障率、响应时限等要求；二是增设采集质量指标，细化数量目标与完整率、真实率等标准；三是完善项目社会效益指标，从治理精细化水平、群众满意度等方面设定具体目标，确保指标全面可衡量，提升项目绩效管理实效。</w:t>
      </w:r>
    </w:p>
    <w:p>
      <w:pPr>
        <w:pageBreakBefore w:val="0"/>
        <w:widowControl w:val="0"/>
        <w:kinsoku/>
        <w:wordWrap/>
        <w:overflowPunct/>
        <w:topLinePunct w:val="0"/>
        <w:autoSpaceDE/>
        <w:autoSpaceDN/>
        <w:bidi w:val="0"/>
        <w:adjustRightInd/>
        <w:snapToGrid/>
        <w:ind w:firstLine="640"/>
        <w:textAlignment w:val="auto"/>
        <w:rPr>
          <w:rFonts w:hint="eastAsia" w:eastAsia="楷体" w:asciiTheme="majorHAnsi" w:hAnsiTheme="majorHAnsi" w:cstheme="majorBidi"/>
          <w:b/>
          <w:bCs/>
          <w:kern w:val="2"/>
          <w:sz w:val="32"/>
          <w:szCs w:val="28"/>
          <w:highlight w:val="none"/>
          <w:lang w:val="en-US" w:eastAsia="zh-CN" w:bidi="ar-SA"/>
        </w:rPr>
      </w:pPr>
      <w:r>
        <w:rPr>
          <w:rFonts w:hint="eastAsia" w:ascii="Times New Roman" w:hAnsi="Times New Roman" w:eastAsia="楷体" w:cs="Times New Roman"/>
          <w:b/>
          <w:bCs/>
          <w:kern w:val="2"/>
          <w:sz w:val="32"/>
          <w:szCs w:val="32"/>
          <w:highlight w:val="none"/>
          <w:lang w:val="en-US" w:eastAsia="zh-CN" w:bidi="ar-SA"/>
        </w:rPr>
        <w:t>1.5.1.2完善项目管理制度，健全长效机制。</w:t>
      </w:r>
    </w:p>
    <w:p>
      <w:pPr>
        <w:keepNext w:val="0"/>
        <w:keepLines w:val="0"/>
        <w:widowControl/>
        <w:suppressLineNumbers w:val="0"/>
        <w:jc w:val="left"/>
        <w:rPr>
          <w:rFonts w:hint="default"/>
          <w:highlight w:val="none"/>
          <w:lang w:val="en-US" w:eastAsia="zh-CN"/>
        </w:rPr>
      </w:pPr>
      <w:r>
        <w:rPr>
          <w:rFonts w:hint="eastAsia" w:cstheme="minorBidi"/>
          <w:b w:val="0"/>
          <w:bCs w:val="0"/>
          <w:kern w:val="2"/>
          <w:sz w:val="32"/>
          <w:szCs w:val="22"/>
          <w:highlight w:val="none"/>
          <w:lang w:val="en-US" w:eastAsia="zh-CN" w:bidi="ar-SA"/>
        </w:rPr>
        <w:t>尽快制定专项业务管理制度，对矛盾纠纷收集上报时间按紧急程度分级划定，明确一般纠纷时限内上报、紧急纠纷时限内上报的具体时限；严格规范信息上报范围，细化应报信息的类别、要素及边界要求，同时设定信息质量标准，确保上报内容真实、完整、准确；同步建立信息安全管理及保密制度，明确信息存储、传输、使用等环节的安全规范，落实保密责任，严防信息泄露，全面提升项目管理规范化水平。</w:t>
      </w:r>
    </w:p>
    <w:p>
      <w:pPr>
        <w:pageBreakBefore w:val="0"/>
        <w:widowControl w:val="0"/>
        <w:kinsoku/>
        <w:wordWrap/>
        <w:overflowPunct/>
        <w:topLinePunct w:val="0"/>
        <w:autoSpaceDE/>
        <w:autoSpaceDN/>
        <w:bidi w:val="0"/>
        <w:adjustRightInd/>
        <w:snapToGrid/>
        <w:ind w:firstLine="640"/>
        <w:textAlignment w:val="auto"/>
        <w:rPr>
          <w:rFonts w:hint="eastAsia" w:ascii="Times New Roman" w:hAnsi="Times New Roman" w:eastAsia="楷体" w:cs="Times New Roman"/>
          <w:b/>
          <w:bCs/>
          <w:kern w:val="2"/>
          <w:sz w:val="32"/>
          <w:szCs w:val="32"/>
          <w:highlight w:val="none"/>
          <w:lang w:val="en-US" w:eastAsia="zh-CN" w:bidi="ar-SA"/>
        </w:rPr>
      </w:pPr>
      <w:r>
        <w:rPr>
          <w:rFonts w:hint="eastAsia" w:ascii="Times New Roman" w:hAnsi="Times New Roman" w:eastAsia="楷体" w:cs="Times New Roman"/>
          <w:b/>
          <w:bCs/>
          <w:kern w:val="2"/>
          <w:sz w:val="32"/>
          <w:szCs w:val="32"/>
          <w:highlight w:val="none"/>
          <w:lang w:val="en-US" w:eastAsia="zh-CN" w:bidi="ar-SA"/>
        </w:rPr>
        <w:t>1.5.1.3优化现有数据管理系统，提升服务效率。</w:t>
      </w:r>
    </w:p>
    <w:p>
      <w:pPr>
        <w:keepNext w:val="0"/>
        <w:keepLines w:val="0"/>
        <w:widowControl/>
        <w:suppressLineNumbers w:val="0"/>
        <w:jc w:val="left"/>
        <w:rPr>
          <w:rFonts w:hint="eastAsia" w:ascii="仿宋" w:hAnsi="仿宋" w:cs="仿宋"/>
          <w:b w:val="0"/>
          <w:bCs w:val="0"/>
          <w:color w:val="auto"/>
          <w:kern w:val="2"/>
          <w:sz w:val="32"/>
          <w:szCs w:val="22"/>
          <w:highlight w:val="none"/>
          <w:lang w:val="en-US" w:eastAsia="zh-CN" w:bidi="ar-SA"/>
        </w:rPr>
      </w:pPr>
      <w:r>
        <w:rPr>
          <w:rFonts w:hint="eastAsia" w:ascii="仿宋" w:hAnsi="仿宋" w:cs="仿宋"/>
          <w:b w:val="0"/>
          <w:bCs w:val="0"/>
          <w:color w:val="auto"/>
          <w:kern w:val="2"/>
          <w:sz w:val="32"/>
          <w:szCs w:val="22"/>
          <w:highlight w:val="none"/>
          <w:lang w:val="en-US" w:eastAsia="zh-CN" w:bidi="ar-SA"/>
        </w:rPr>
        <w:t>着力提升系统网络性能，解决网络延迟卡顿、频繁掉网问题，通过升级网络基础设施、优化带宽配置等方式，显著提高网络运行速度，保障系统稳定运行；优化操作系统流程，减少繁琐操作步骤，提升用户操作便捷度；增设系统学习模块，提供操作指南、视频教程等内容，帮助用户快速掌握系统使用方法，全面提升网格化治理系统的实用性和高效性。</w:t>
      </w:r>
    </w:p>
    <w:p>
      <w:pPr>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楷体" w:cs="Times New Roman"/>
          <w:b/>
          <w:bCs/>
          <w:kern w:val="2"/>
          <w:sz w:val="32"/>
          <w:szCs w:val="32"/>
          <w:highlight w:val="none"/>
          <w:lang w:val="en-US" w:eastAsia="zh-CN" w:bidi="ar-SA"/>
        </w:rPr>
      </w:pPr>
      <w:r>
        <w:rPr>
          <w:rFonts w:hint="eastAsia" w:ascii="Times New Roman" w:hAnsi="Times New Roman" w:eastAsia="楷体" w:cs="Times New Roman"/>
          <w:b/>
          <w:bCs/>
          <w:kern w:val="2"/>
          <w:sz w:val="32"/>
          <w:szCs w:val="32"/>
          <w:highlight w:val="none"/>
          <w:lang w:val="en-US" w:eastAsia="zh-CN" w:bidi="ar-SA"/>
        </w:rPr>
        <w:t>1.5.1.4</w:t>
      </w:r>
      <w:r>
        <w:rPr>
          <w:rFonts w:hint="eastAsia" w:ascii="仿宋" w:hAnsi="仿宋" w:cs="仿宋"/>
          <w:b/>
          <w:bCs/>
          <w:color w:val="auto"/>
          <w:kern w:val="2"/>
          <w:sz w:val="32"/>
          <w:szCs w:val="22"/>
          <w:highlight w:val="none"/>
          <w:lang w:val="en-US" w:eastAsia="zh-CN" w:bidi="ar-SA"/>
        </w:rPr>
        <w:t>规范信息上报时限，强化网格员专项培训</w:t>
      </w:r>
      <w:r>
        <w:rPr>
          <w:rFonts w:hint="eastAsia" w:ascii="Times New Roman" w:hAnsi="Times New Roman" w:eastAsia="楷体" w:cs="Times New Roman"/>
          <w:b/>
          <w:bCs/>
          <w:kern w:val="2"/>
          <w:sz w:val="32"/>
          <w:szCs w:val="32"/>
          <w:highlight w:val="none"/>
          <w:lang w:val="en-US" w:eastAsia="zh-CN" w:bidi="ar-SA"/>
        </w:rPr>
        <w:t>。</w:t>
      </w:r>
    </w:p>
    <w:p>
      <w:pPr>
        <w:keepNext w:val="0"/>
        <w:keepLines w:val="0"/>
        <w:widowControl/>
        <w:suppressLineNumbers w:val="0"/>
        <w:jc w:val="left"/>
        <w:rPr>
          <w:rFonts w:hint="default" w:ascii="仿宋" w:hAnsi="仿宋" w:cs="仿宋"/>
          <w:b w:val="0"/>
          <w:bCs w:val="0"/>
          <w:color w:val="auto"/>
          <w:kern w:val="2"/>
          <w:sz w:val="32"/>
          <w:szCs w:val="22"/>
          <w:highlight w:val="none"/>
          <w:lang w:val="en-US" w:eastAsia="zh-CN" w:bidi="ar-SA"/>
        </w:rPr>
      </w:pPr>
      <w:r>
        <w:rPr>
          <w:rFonts w:hint="eastAsia" w:ascii="仿宋" w:hAnsi="仿宋" w:cs="仿宋"/>
          <w:b w:val="0"/>
          <w:bCs w:val="0"/>
          <w:color w:val="auto"/>
          <w:kern w:val="2"/>
          <w:sz w:val="32"/>
          <w:szCs w:val="22"/>
          <w:highlight w:val="none"/>
          <w:lang w:val="en-US" w:eastAsia="zh-CN" w:bidi="ar-SA"/>
        </w:rPr>
        <w:t>严格规范信息上报时限，明确要求矛盾纠纷发生后时间内完成系统上传；建立 “即发现即上报” 工作机制，通过晨会提醒、系统弹窗提示等方式，强化网格员时效意识；同步完善监督考核办法，将上报及时性纳入网格员日常评价，对超时上报行为予以通报，对连续出现滞后问题的人员开展专项培训，确保矛盾纠纷信息第一时间录入系统，为快速处置提供支撑。</w:t>
      </w:r>
    </w:p>
    <w:p>
      <w:pPr>
        <w:pStyle w:val="4"/>
        <w:numPr>
          <w:ilvl w:val="0"/>
          <w:numId w:val="0"/>
        </w:numPr>
        <w:ind w:firstLine="640" w:firstLineChars="200"/>
        <w:rPr>
          <w:rFonts w:hint="eastAsia"/>
          <w:highlight w:val="none"/>
          <w:lang w:val="en-US" w:eastAsia="zh-CN"/>
        </w:rPr>
      </w:pPr>
      <w:bookmarkStart w:id="32" w:name="_Toc7155"/>
      <w:r>
        <w:rPr>
          <w:rFonts w:hint="eastAsia"/>
          <w:highlight w:val="none"/>
          <w:lang w:val="en-US" w:eastAsia="zh-CN"/>
        </w:rPr>
        <w:t>1.5.2预算安排建议</w:t>
      </w:r>
      <w:bookmarkEnd w:id="32"/>
    </w:p>
    <w:p>
      <w:pPr>
        <w:keepNext w:val="0"/>
        <w:keepLines w:val="0"/>
        <w:widowControl/>
        <w:suppressLineNumbers w:val="0"/>
        <w:jc w:val="left"/>
        <w:rPr>
          <w:rFonts w:hint="default" w:cstheme="minorBidi"/>
          <w:b w:val="0"/>
          <w:bCs w:val="0"/>
          <w:kern w:val="2"/>
          <w:sz w:val="32"/>
          <w:szCs w:val="22"/>
          <w:highlight w:val="none"/>
          <w:lang w:val="en-US" w:eastAsia="zh-CN" w:bidi="ar-SA"/>
        </w:rPr>
        <w:sectPr>
          <w:headerReference r:id="rId3" w:type="default"/>
          <w:footerReference r:id="rId4" w:type="default"/>
          <w:pgSz w:w="11906" w:h="16838"/>
          <w:pgMar w:top="2098" w:right="1474" w:bottom="1984" w:left="1587" w:header="1020" w:footer="1077" w:gutter="0"/>
          <w:pgNumType w:fmt="decimal" w:start="1"/>
          <w:cols w:space="0" w:num="1"/>
          <w:rtlGutter w:val="0"/>
          <w:docGrid w:type="linesAndChars" w:linePitch="312" w:charSpace="0"/>
        </w:sectPr>
      </w:pPr>
      <w:r>
        <w:rPr>
          <w:rFonts w:hint="eastAsia" w:cstheme="minorBidi"/>
          <w:b w:val="0"/>
          <w:bCs w:val="0"/>
          <w:kern w:val="2"/>
          <w:sz w:val="32"/>
          <w:szCs w:val="22"/>
          <w:highlight w:val="none"/>
          <w:lang w:val="en-US" w:eastAsia="zh-CN" w:bidi="ar-SA"/>
        </w:rPr>
        <w:t>本项目是常年性项目，在资金安排时，预算单位要按照《预算法》的</w:t>
      </w:r>
      <w:r>
        <w:rPr>
          <w:rFonts w:hint="eastAsia" w:ascii="仿宋" w:hAnsi="仿宋" w:eastAsia="仿宋" w:cs="仿宋"/>
          <w:b w:val="0"/>
          <w:bCs w:val="0"/>
          <w:kern w:val="2"/>
          <w:sz w:val="32"/>
          <w:szCs w:val="22"/>
          <w:highlight w:val="none"/>
          <w:lang w:val="en-US" w:eastAsia="zh-CN" w:bidi="ar-SA"/>
        </w:rPr>
        <w:t>相关规定，结合上一年度资金使用情况以及结转结余资金29.31万元，建议项目下一年度预算在160.51万元范</w:t>
      </w:r>
      <w:r>
        <w:rPr>
          <w:rFonts w:hint="eastAsia" w:cstheme="minorBidi"/>
          <w:b w:val="0"/>
          <w:bCs w:val="0"/>
          <w:kern w:val="2"/>
          <w:sz w:val="32"/>
          <w:szCs w:val="22"/>
          <w:highlight w:val="none"/>
          <w:lang w:val="en-US" w:eastAsia="zh-CN" w:bidi="ar-SA"/>
        </w:rPr>
        <w:t>围内合理安排需求，不断提高预算的科学性。</w:t>
      </w:r>
    </w:p>
    <w:p>
      <w:pPr>
        <w:ind w:firstLine="640"/>
        <w:rPr>
          <w:rFonts w:hint="eastAsia"/>
        </w:rPr>
      </w:pPr>
      <w:r>
        <w:rPr>
          <w:rFonts w:hint="eastAsia"/>
          <w:highlight w:val="none"/>
        </w:rPr>
        <w:t>附件</w:t>
      </w:r>
      <w:r>
        <w:rPr>
          <w:highlight w:val="none"/>
        </w:rPr>
        <w:t>：绩效评价得分表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696"/>
        <w:gridCol w:w="1378"/>
        <w:gridCol w:w="696"/>
        <w:gridCol w:w="3650"/>
        <w:gridCol w:w="696"/>
        <w:gridCol w:w="7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000" w:type="pct"/>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firstLine="0" w:firstLineChars="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网格化运行相关经费项目绩效评价打分表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分值</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分值</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分值</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决策</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立项依据充分性</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立项程序规范性</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绩效目标合理性</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绩效指标明确性</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预算编制科学性</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资金分配合理性</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w:t>
            </w:r>
          </w:p>
        </w:tc>
        <w:tc>
          <w:tcPr>
            <w:tcW w:w="386" w:type="pct"/>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资金到位率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资金使用合规性</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组织实施</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管理制度健全性</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制度执行有效性</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产出数量</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农村网格工作光纤专用电路</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农村网格员工作手机配备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城区网络线路光纤专用电路</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城区网格员工作手机配备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76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产出质量</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网格化管理覆盖率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76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网格化运行系统维护稳定性</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产出时效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上报工作完成及时率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产出成本</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经费支出成本</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w:t>
            </w:r>
          </w:p>
        </w:tc>
        <w:tc>
          <w:tcPr>
            <w:tcW w:w="38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维护社会秩序稳定</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网格化信息采集全覆盖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增加就业岗位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化解群众矛盾纠纷</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提升乡村（社区）治理精细化水平</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386"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
                <w:bCs/>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2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
                <w:bCs/>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90.39 </w:t>
            </w:r>
          </w:p>
        </w:tc>
      </w:tr>
    </w:tbl>
    <w:p>
      <w:pPr>
        <w:pStyle w:val="11"/>
        <w:rPr>
          <w:rFonts w:hint="eastAsia"/>
        </w:rPr>
        <w:sectPr>
          <w:headerReference r:id="rId5" w:type="default"/>
          <w:footerReference r:id="rId6" w:type="default"/>
          <w:pgSz w:w="11906" w:h="16838"/>
          <w:pgMar w:top="2098" w:right="1474" w:bottom="1985" w:left="1588" w:header="851" w:footer="992" w:gutter="0"/>
          <w:pgNumType w:fmt="decimal"/>
          <w:cols w:space="425" w:num="1"/>
          <w:docGrid w:type="linesAndChars" w:linePitch="435" w:charSpace="0"/>
        </w:sectPr>
      </w:pPr>
    </w:p>
    <w:p>
      <w:pPr>
        <w:keepNext w:val="0"/>
        <w:keepLines w:val="0"/>
        <w:pageBreakBefore w:val="0"/>
        <w:widowControl w:val="0"/>
        <w:kinsoku/>
        <w:wordWrap w:val="0"/>
        <w:overflowPunct/>
        <w:topLinePunct w:val="0"/>
        <w:autoSpaceDE/>
        <w:autoSpaceDN/>
        <w:bidi w:val="0"/>
        <w:adjustRightInd/>
        <w:snapToGrid/>
        <w:spacing w:line="360" w:lineRule="auto"/>
        <w:ind w:right="641" w:firstLine="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firstLine="0" w:firstLineChars="0"/>
        <w:jc w:val="center"/>
        <w:textAlignment w:val="auto"/>
        <w:rPr>
          <w:rFonts w:ascii="方正小标宋简体" w:hAnsi="黑体" w:eastAsia="方正小标宋简体" w:cs="仿宋_GB2312"/>
          <w:kern w:val="2"/>
          <w:sz w:val="40"/>
          <w:szCs w:val="40"/>
        </w:rPr>
      </w:pPr>
      <w:r>
        <w:rPr>
          <w:rFonts w:hint="eastAsia" w:ascii="方正小标宋简体" w:hAnsi="黑体" w:eastAsia="方正小标宋简体" w:cs="仿宋_GB2312"/>
          <w:kern w:val="2"/>
          <w:sz w:val="40"/>
          <w:szCs w:val="40"/>
        </w:rPr>
        <w:t>建设临时管网污泥处理站项目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firstLine="0" w:firstLineChars="0"/>
        <w:jc w:val="center"/>
        <w:textAlignment w:val="auto"/>
        <w:rPr>
          <w:rFonts w:ascii="方正小标宋简体" w:hAnsi="黑体" w:eastAsia="方正小标宋简体" w:cs="仿宋_GB2312"/>
          <w:kern w:val="2"/>
          <w:sz w:val="40"/>
          <w:szCs w:val="40"/>
        </w:rPr>
      </w:pPr>
      <w:r>
        <w:rPr>
          <w:rFonts w:hint="eastAsia" w:ascii="方正小标宋简体" w:hAnsi="黑体" w:eastAsia="方正小标宋简体" w:cs="仿宋_GB2312"/>
          <w:kern w:val="2"/>
          <w:sz w:val="40"/>
          <w:szCs w:val="40"/>
        </w:rPr>
        <w:t>绩效评价报告</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firstLine="0" w:firstLineChars="0"/>
        <w:jc w:val="center"/>
        <w:textAlignment w:val="auto"/>
        <w:rPr>
          <w:rFonts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摘要</w:t>
      </w:r>
      <w:r>
        <w:rPr>
          <w:rFonts w:hint="eastAsia" w:ascii="楷体" w:hAnsi="楷体" w:eastAsia="楷体" w:cs="楷体"/>
          <w:sz w:val="32"/>
          <w:szCs w:val="32"/>
        </w:rPr>
        <w:t>版）</w:t>
      </w:r>
    </w:p>
    <w:p>
      <w:pPr>
        <w:spacing w:before="156" w:after="156" w:line="560" w:lineRule="exact"/>
        <w:ind w:left="0" w:firstLine="642" w:firstLineChars="200"/>
        <w:outlineLvl w:val="0"/>
        <w:rPr>
          <w:rFonts w:hint="eastAsia" w:ascii="黑体" w:hAnsi="黑体" w:eastAsia="黑体" w:cs="黑体"/>
          <w:b/>
          <w:sz w:val="32"/>
          <w:szCs w:val="32"/>
        </w:rPr>
      </w:pPr>
      <w:bookmarkStart w:id="33" w:name="_Toc27776"/>
      <w:r>
        <w:rPr>
          <w:rFonts w:hint="eastAsia" w:ascii="黑体" w:hAnsi="黑体" w:eastAsia="黑体" w:cs="黑体"/>
          <w:b/>
          <w:sz w:val="32"/>
          <w:szCs w:val="32"/>
        </w:rPr>
        <w:t>一.绩效评价分数和等级</w:t>
      </w:r>
      <w:bookmarkEnd w:id="33"/>
    </w:p>
    <w:p>
      <w:pPr>
        <w:spacing w:beforeLines="0" w:afterLines="0" w:line="240" w:lineRule="atLeast"/>
        <w:ind w:left="0" w:firstLine="681" w:firstLineChars="213"/>
        <w:rPr>
          <w:rFonts w:ascii="仿宋_GB2312" w:eastAsia="仿宋_GB2312"/>
          <w:sz w:val="32"/>
          <w:szCs w:val="32"/>
        </w:rPr>
      </w:pPr>
      <w:r>
        <w:rPr>
          <w:rFonts w:hint="eastAsia" w:ascii="仿宋_GB2312" w:eastAsia="仿宋_GB2312"/>
          <w:sz w:val="32"/>
          <w:szCs w:val="32"/>
        </w:rPr>
        <w:t>经综合评价，2024年度建设临时管网污泥处理站项目绩效评价得分92分。其中，项目决策13分、项目过程17分、项目产出32分、项目效果30分。评价结果为“优”。</w:t>
      </w:r>
    </w:p>
    <w:p>
      <w:pPr>
        <w:spacing w:before="156" w:after="156" w:line="560" w:lineRule="exact"/>
        <w:ind w:left="0" w:firstLine="642" w:firstLineChars="200"/>
        <w:outlineLvl w:val="0"/>
        <w:rPr>
          <w:rFonts w:hint="eastAsia" w:ascii="黑体" w:hAnsi="黑体" w:eastAsia="黑体" w:cs="黑体"/>
          <w:b/>
          <w:sz w:val="32"/>
          <w:szCs w:val="32"/>
        </w:rPr>
      </w:pPr>
      <w:bookmarkStart w:id="34" w:name="_（二）绩效评价指标情况"/>
      <w:bookmarkEnd w:id="34"/>
      <w:bookmarkStart w:id="35" w:name="_Toc23378"/>
      <w:bookmarkStart w:id="36" w:name="_Toc17661"/>
      <w:r>
        <w:rPr>
          <w:rFonts w:hint="eastAsia" w:ascii="黑体" w:hAnsi="黑体" w:eastAsia="黑体" w:cs="黑体"/>
          <w:b/>
          <w:sz w:val="32"/>
          <w:szCs w:val="32"/>
        </w:rPr>
        <w:t>二.绩效评价指标情况</w:t>
      </w:r>
      <w:bookmarkEnd w:id="35"/>
      <w:bookmarkEnd w:id="36"/>
    </w:p>
    <w:p>
      <w:pPr>
        <w:spacing w:beforeLines="0" w:afterLines="0" w:line="240" w:lineRule="atLeast"/>
        <w:ind w:left="0" w:firstLine="681" w:firstLineChars="213"/>
        <w:rPr>
          <w:rFonts w:ascii="仿宋_GB2312" w:eastAsia="仿宋_GB2312"/>
          <w:sz w:val="32"/>
          <w:szCs w:val="32"/>
        </w:rPr>
      </w:pPr>
      <w:r>
        <w:rPr>
          <w:rFonts w:hint="eastAsia" w:ascii="仿宋_GB2312" w:eastAsia="仿宋_GB2312"/>
          <w:sz w:val="32"/>
          <w:szCs w:val="32"/>
        </w:rPr>
        <w:t>（一）项目决策。权重16分，得13分，扣3分。</w:t>
      </w:r>
    </w:p>
    <w:p>
      <w:pPr>
        <w:spacing w:beforeLines="0" w:afterLines="0" w:line="240" w:lineRule="atLeast"/>
        <w:ind w:left="0" w:firstLine="681" w:firstLineChars="213"/>
        <w:rPr>
          <w:rFonts w:ascii="仿宋_GB2312" w:eastAsia="仿宋_GB2312"/>
          <w:sz w:val="32"/>
          <w:szCs w:val="32"/>
          <w:highlight w:val="cyan"/>
        </w:rPr>
      </w:pPr>
      <w:r>
        <w:rPr>
          <w:rFonts w:hint="eastAsia" w:ascii="仿宋_GB2312" w:eastAsia="仿宋_GB2312"/>
          <w:sz w:val="32"/>
          <w:szCs w:val="32"/>
        </w:rPr>
        <w:t>项目立项依据充分且程序规范，预算编制科学，资金分配合理。主要扣分原因：</w:t>
      </w:r>
      <w:r>
        <w:rPr>
          <w:rFonts w:hint="eastAsia" w:ascii="仿宋_GB2312" w:eastAsia="仿宋_GB2312"/>
          <w:sz w:val="32"/>
          <w:szCs w:val="32"/>
          <w:highlight w:val="none"/>
        </w:rPr>
        <w:t>项目少数绩效</w:t>
      </w:r>
      <w:r>
        <w:rPr>
          <w:rFonts w:hint="eastAsia" w:ascii="仿宋_GB2312" w:eastAsia="仿宋_GB2312"/>
          <w:sz w:val="32"/>
          <w:szCs w:val="32"/>
          <w:highlight w:val="none"/>
          <w:lang w:val="en-US" w:eastAsia="zh-CN"/>
        </w:rPr>
        <w:t>指</w:t>
      </w:r>
      <w:r>
        <w:rPr>
          <w:rFonts w:hint="eastAsia" w:ascii="仿宋_GB2312" w:eastAsia="仿宋_GB2312"/>
          <w:sz w:val="32"/>
          <w:szCs w:val="32"/>
          <w:highlight w:val="none"/>
        </w:rPr>
        <w:t>标设定不</w:t>
      </w:r>
      <w:r>
        <w:rPr>
          <w:rFonts w:hint="eastAsia" w:ascii="仿宋_GB2312" w:eastAsia="仿宋_GB2312"/>
          <w:sz w:val="32"/>
          <w:szCs w:val="32"/>
        </w:rPr>
        <w:t>合理、指向不明确。</w:t>
      </w:r>
    </w:p>
    <w:p>
      <w:pPr>
        <w:spacing w:beforeLines="0" w:afterLines="0" w:line="240" w:lineRule="atLeast"/>
        <w:ind w:left="0" w:firstLine="681" w:firstLineChars="213"/>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rPr>
        <w:t>）项目过程。权重22分，评价得17分，扣5分。</w:t>
      </w:r>
    </w:p>
    <w:p>
      <w:pPr>
        <w:spacing w:beforeLines="0" w:afterLines="0" w:line="240" w:lineRule="atLeast"/>
        <w:ind w:left="0" w:firstLine="681" w:firstLineChars="213"/>
        <w:rPr>
          <w:rFonts w:ascii="仿宋_GB2312" w:eastAsia="仿宋_GB2312"/>
          <w:sz w:val="32"/>
          <w:szCs w:val="32"/>
        </w:rPr>
      </w:pPr>
      <w:r>
        <w:rPr>
          <w:rFonts w:hint="eastAsia" w:ascii="仿宋_GB2312" w:eastAsia="仿宋_GB2312"/>
          <w:sz w:val="32"/>
          <w:szCs w:val="32"/>
        </w:rPr>
        <w:t>项目资金到位率及执行率均为100%，资金使用合规，已制定或具有相应的项目财务和业务管理制度。主要扣分原因</w:t>
      </w:r>
      <w:r>
        <w:rPr>
          <w:rFonts w:hint="eastAsia" w:ascii="仿宋_GB2312" w:eastAsia="仿宋_GB2312"/>
          <w:sz w:val="32"/>
          <w:szCs w:val="32"/>
          <w:highlight w:val="none"/>
        </w:rPr>
        <w:t>为：业务管理制度未</w:t>
      </w:r>
      <w:r>
        <w:rPr>
          <w:rFonts w:hint="eastAsia" w:ascii="仿宋_GB2312" w:eastAsia="仿宋_GB2312"/>
          <w:sz w:val="32"/>
          <w:szCs w:val="32"/>
          <w:highlight w:val="none"/>
          <w:lang w:val="en-US" w:eastAsia="zh-CN"/>
        </w:rPr>
        <w:t>结合</w:t>
      </w:r>
      <w:r>
        <w:rPr>
          <w:rFonts w:hint="eastAsia" w:ascii="仿宋_GB2312" w:eastAsia="仿宋_GB2312"/>
          <w:sz w:val="32"/>
          <w:szCs w:val="32"/>
          <w:highlight w:val="none"/>
        </w:rPr>
        <w:t>项目</w:t>
      </w:r>
      <w:r>
        <w:rPr>
          <w:rFonts w:hint="eastAsia" w:ascii="仿宋_GB2312" w:eastAsia="仿宋_GB2312"/>
          <w:sz w:val="32"/>
          <w:szCs w:val="32"/>
          <w:highlight w:val="none"/>
          <w:lang w:val="en-US" w:eastAsia="zh-CN"/>
        </w:rPr>
        <w:t>运维</w:t>
      </w:r>
      <w:r>
        <w:rPr>
          <w:rFonts w:hint="eastAsia" w:ascii="仿宋_GB2312" w:eastAsia="仿宋_GB2312"/>
          <w:sz w:val="32"/>
          <w:szCs w:val="32"/>
          <w:highlight w:val="none"/>
        </w:rPr>
        <w:t>的实际情况制定；项目合同签订不</w:t>
      </w:r>
      <w:r>
        <w:rPr>
          <w:rFonts w:hint="eastAsia" w:ascii="仿宋_GB2312" w:eastAsia="仿宋_GB2312"/>
          <w:sz w:val="32"/>
          <w:szCs w:val="32"/>
        </w:rPr>
        <w:t>严谨；</w:t>
      </w:r>
      <w:r>
        <w:rPr>
          <w:rFonts w:hint="eastAsia" w:ascii="仿宋_GB2312" w:eastAsia="仿宋_GB2312"/>
          <w:sz w:val="32"/>
          <w:szCs w:val="32"/>
          <w:highlight w:val="none"/>
        </w:rPr>
        <w:t>项目监管</w:t>
      </w:r>
      <w:r>
        <w:rPr>
          <w:rFonts w:hint="eastAsia" w:ascii="仿宋_GB2312" w:eastAsia="仿宋_GB2312"/>
          <w:sz w:val="32"/>
          <w:szCs w:val="32"/>
          <w:highlight w:val="none"/>
          <w:lang w:val="en-US" w:eastAsia="zh-CN"/>
        </w:rPr>
        <w:t>有待加强</w:t>
      </w:r>
      <w:r>
        <w:rPr>
          <w:rFonts w:hint="eastAsia" w:ascii="仿宋_GB2312" w:eastAsia="仿宋_GB2312"/>
          <w:sz w:val="32"/>
          <w:szCs w:val="32"/>
          <w:highlight w:val="none"/>
        </w:rPr>
        <w:t>。</w:t>
      </w:r>
    </w:p>
    <w:p>
      <w:pPr>
        <w:spacing w:beforeLines="0" w:afterLines="0" w:line="240" w:lineRule="atLeast"/>
        <w:ind w:left="0" w:firstLine="681" w:firstLineChars="213"/>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三</w:t>
      </w:r>
      <w:r>
        <w:rPr>
          <w:rFonts w:hint="eastAsia" w:ascii="仿宋_GB2312" w:eastAsia="仿宋_GB2312"/>
          <w:sz w:val="32"/>
          <w:szCs w:val="32"/>
        </w:rPr>
        <w:t>）</w:t>
      </w:r>
      <w:r>
        <w:rPr>
          <w:rFonts w:ascii="仿宋_GB2312" w:eastAsia="仿宋_GB2312"/>
          <w:sz w:val="32"/>
          <w:szCs w:val="32"/>
        </w:rPr>
        <w:t>项目产出。</w:t>
      </w:r>
      <w:r>
        <w:rPr>
          <w:rFonts w:hint="eastAsia" w:ascii="仿宋_GB2312" w:eastAsia="仿宋_GB2312"/>
          <w:sz w:val="32"/>
          <w:szCs w:val="32"/>
        </w:rPr>
        <w:t>权重</w:t>
      </w:r>
      <w:r>
        <w:rPr>
          <w:rFonts w:ascii="仿宋_GB2312" w:eastAsia="仿宋_GB2312"/>
          <w:sz w:val="32"/>
          <w:szCs w:val="32"/>
        </w:rPr>
        <w:t>3</w:t>
      </w:r>
      <w:r>
        <w:rPr>
          <w:rFonts w:hint="eastAsia" w:ascii="仿宋_GB2312" w:eastAsia="仿宋_GB2312"/>
          <w:sz w:val="32"/>
          <w:szCs w:val="32"/>
        </w:rPr>
        <w:t>2分，评价得32分。</w:t>
      </w:r>
    </w:p>
    <w:p>
      <w:pPr>
        <w:spacing w:beforeLines="0" w:afterLines="0" w:line="240" w:lineRule="atLeast"/>
        <w:ind w:left="0" w:firstLine="681" w:firstLineChars="213"/>
        <w:rPr>
          <w:rFonts w:ascii="仿宋_GB2312" w:eastAsia="仿宋_GB2312"/>
          <w:sz w:val="32"/>
          <w:szCs w:val="32"/>
        </w:rPr>
      </w:pPr>
      <w:bookmarkStart w:id="37" w:name="_Toc14296"/>
      <w:r>
        <w:rPr>
          <w:rFonts w:hint="eastAsia" w:ascii="仿宋_GB2312" w:eastAsia="仿宋_GB2312"/>
          <w:sz w:val="32"/>
          <w:szCs w:val="32"/>
        </w:rPr>
        <w:t>2024年度日</w:t>
      </w:r>
      <w:r>
        <w:rPr>
          <w:rFonts w:hint="eastAsia" w:ascii="仿宋_GB2312" w:eastAsia="仿宋_GB2312"/>
          <w:sz w:val="32"/>
          <w:szCs w:val="32"/>
          <w:lang w:val="en-US" w:eastAsia="zh-CN"/>
        </w:rPr>
        <w:t>均</w:t>
      </w:r>
      <w:r>
        <w:rPr>
          <w:rFonts w:hint="eastAsia" w:ascii="仿宋_GB2312" w:eastAsia="仿宋_GB2312"/>
          <w:sz w:val="32"/>
          <w:szCs w:val="32"/>
        </w:rPr>
        <w:t>污泥处理量</w:t>
      </w:r>
      <w:r>
        <w:rPr>
          <w:rFonts w:hint="eastAsia" w:ascii="仿宋_GB2312" w:eastAsia="仿宋_GB2312"/>
          <w:sz w:val="32"/>
          <w:szCs w:val="32"/>
          <w:lang w:val="en-US" w:eastAsia="zh-CN"/>
        </w:rPr>
        <w:t>34.79</w:t>
      </w:r>
      <w:r>
        <w:rPr>
          <w:rFonts w:hint="eastAsia" w:ascii="仿宋_GB2312" w:eastAsia="仿宋_GB2312"/>
          <w:sz w:val="32"/>
          <w:szCs w:val="32"/>
        </w:rPr>
        <w:t>m³/日，</w:t>
      </w:r>
      <w:r>
        <w:rPr>
          <w:rFonts w:ascii="仿宋_GB2312" w:eastAsia="仿宋_GB2312"/>
          <w:sz w:val="32"/>
          <w:szCs w:val="32"/>
        </w:rPr>
        <w:t>检测</w:t>
      </w:r>
      <w:r>
        <w:rPr>
          <w:rFonts w:hint="eastAsia" w:ascii="仿宋_GB2312" w:eastAsia="仿宋_GB2312"/>
          <w:sz w:val="32"/>
          <w:szCs w:val="32"/>
        </w:rPr>
        <w:t>泥饼含水率25.89%</w:t>
      </w:r>
      <w:r>
        <w:rPr>
          <w:rFonts w:ascii="仿宋_GB2312" w:eastAsia="仿宋_GB2312"/>
          <w:sz w:val="32"/>
          <w:szCs w:val="32"/>
        </w:rPr>
        <w:t>，</w:t>
      </w:r>
      <w:r>
        <w:rPr>
          <w:rFonts w:hint="eastAsia" w:ascii="仿宋_GB2312" w:eastAsia="仿宋_GB2312"/>
          <w:sz w:val="32"/>
          <w:szCs w:val="32"/>
        </w:rPr>
        <w:t>污泥处理及时率达</w:t>
      </w:r>
      <w:r>
        <w:rPr>
          <w:rFonts w:ascii="仿宋_GB2312" w:eastAsia="仿宋_GB2312"/>
          <w:sz w:val="32"/>
          <w:szCs w:val="32"/>
        </w:rPr>
        <w:t>100%，</w:t>
      </w:r>
      <w:r>
        <w:rPr>
          <w:rFonts w:hint="eastAsia" w:ascii="仿宋_GB2312" w:eastAsia="仿宋_GB2312"/>
          <w:sz w:val="32"/>
          <w:szCs w:val="32"/>
        </w:rPr>
        <w:t>污泥处理单位成本164.25元/m³。</w:t>
      </w:r>
    </w:p>
    <w:p>
      <w:pPr>
        <w:spacing w:beforeLines="0" w:afterLines="0" w:line="240" w:lineRule="atLeast"/>
        <w:ind w:left="0" w:firstLine="681" w:firstLineChars="213"/>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四</w:t>
      </w:r>
      <w:r>
        <w:rPr>
          <w:rFonts w:hint="eastAsia" w:ascii="仿宋_GB2312" w:eastAsia="仿宋_GB2312"/>
          <w:sz w:val="32"/>
          <w:szCs w:val="32"/>
        </w:rPr>
        <w:t>）</w:t>
      </w:r>
      <w:r>
        <w:rPr>
          <w:rFonts w:ascii="仿宋_GB2312" w:eastAsia="仿宋_GB2312"/>
          <w:sz w:val="32"/>
          <w:szCs w:val="32"/>
        </w:rPr>
        <w:t>项目</w:t>
      </w:r>
      <w:r>
        <w:rPr>
          <w:rFonts w:hint="eastAsia" w:ascii="仿宋_GB2312" w:eastAsia="仿宋_GB2312"/>
          <w:sz w:val="32"/>
          <w:szCs w:val="32"/>
        </w:rPr>
        <w:t>效果</w:t>
      </w:r>
      <w:r>
        <w:rPr>
          <w:rFonts w:ascii="仿宋_GB2312" w:eastAsia="仿宋_GB2312"/>
          <w:sz w:val="32"/>
          <w:szCs w:val="32"/>
        </w:rPr>
        <w:t>。</w:t>
      </w:r>
      <w:r>
        <w:rPr>
          <w:rFonts w:hint="eastAsia" w:ascii="仿宋_GB2312" w:eastAsia="仿宋_GB2312"/>
          <w:sz w:val="32"/>
          <w:szCs w:val="32"/>
        </w:rPr>
        <w:t>权重</w:t>
      </w:r>
      <w:r>
        <w:rPr>
          <w:rFonts w:ascii="仿宋_GB2312" w:eastAsia="仿宋_GB2312"/>
          <w:sz w:val="32"/>
          <w:szCs w:val="32"/>
        </w:rPr>
        <w:t>3</w:t>
      </w:r>
      <w:r>
        <w:rPr>
          <w:rFonts w:hint="eastAsia" w:ascii="仿宋_GB2312" w:eastAsia="仿宋_GB2312"/>
          <w:sz w:val="32"/>
          <w:szCs w:val="32"/>
        </w:rPr>
        <w:t>0分，评价得</w:t>
      </w:r>
      <w:r>
        <w:rPr>
          <w:rFonts w:ascii="仿宋_GB2312" w:eastAsia="仿宋_GB2312"/>
          <w:sz w:val="32"/>
          <w:szCs w:val="32"/>
        </w:rPr>
        <w:t>3</w:t>
      </w:r>
      <w:r>
        <w:rPr>
          <w:rFonts w:hint="eastAsia" w:ascii="仿宋_GB2312" w:eastAsia="仿宋_GB2312"/>
          <w:sz w:val="32"/>
          <w:szCs w:val="32"/>
        </w:rPr>
        <w:t>0分。</w:t>
      </w:r>
    </w:p>
    <w:p>
      <w:pPr>
        <w:spacing w:beforeLines="0" w:afterLines="0" w:line="240" w:lineRule="atLeast"/>
        <w:ind w:left="0" w:firstLine="681" w:firstLineChars="213"/>
        <w:rPr>
          <w:rFonts w:ascii="仿宋_GB2312" w:eastAsia="仿宋_GB2312"/>
          <w:sz w:val="32"/>
          <w:szCs w:val="32"/>
        </w:rPr>
      </w:pPr>
      <w:r>
        <w:rPr>
          <w:rFonts w:hint="eastAsia" w:ascii="仿宋_GB2312" w:eastAsia="仿宋_GB2312"/>
          <w:sz w:val="32"/>
          <w:szCs w:val="32"/>
        </w:rPr>
        <w:t>通过项目实施，保障了城市排水系统正常运转，提升了居民生活环境质量，2024年临时污泥处理站“零事故”，调查问卷结果显示，居民满意度高达100%。</w:t>
      </w:r>
    </w:p>
    <w:bookmarkEnd w:id="37"/>
    <w:p>
      <w:pPr>
        <w:spacing w:before="156" w:after="156" w:line="560" w:lineRule="exact"/>
        <w:ind w:left="0" w:firstLine="642" w:firstLineChars="200"/>
        <w:outlineLvl w:val="0"/>
        <w:rPr>
          <w:rFonts w:hint="eastAsia" w:ascii="黑体" w:hAnsi="黑体" w:eastAsia="黑体" w:cs="黑体"/>
          <w:b/>
          <w:sz w:val="32"/>
          <w:szCs w:val="32"/>
        </w:rPr>
      </w:pPr>
      <w:r>
        <w:rPr>
          <w:rFonts w:hint="eastAsia" w:ascii="黑体" w:hAnsi="黑体" w:eastAsia="黑体" w:cs="黑体"/>
          <w:b/>
          <w:sz w:val="32"/>
          <w:szCs w:val="32"/>
          <w:lang w:val="en-US" w:eastAsia="zh-CN"/>
        </w:rPr>
        <w:t>三</w:t>
      </w:r>
      <w:r>
        <w:rPr>
          <w:rFonts w:hint="eastAsia" w:ascii="黑体" w:hAnsi="黑体" w:eastAsia="黑体" w:cs="黑体"/>
          <w:b/>
          <w:sz w:val="32"/>
          <w:szCs w:val="32"/>
        </w:rPr>
        <w:t>.项目成效</w:t>
      </w:r>
    </w:p>
    <w:p>
      <w:pPr>
        <w:spacing w:beforeLines="0" w:afterLines="0" w:line="240" w:lineRule="atLeast"/>
        <w:ind w:left="0" w:firstLine="681" w:firstLineChars="213"/>
        <w:rPr>
          <w:rFonts w:ascii="仿宋_GB2312" w:eastAsia="仿宋_GB2312"/>
          <w:sz w:val="32"/>
          <w:szCs w:val="32"/>
          <w:highlight w:val="cyan"/>
        </w:rPr>
      </w:pPr>
      <w:r>
        <w:rPr>
          <w:rFonts w:hint="eastAsia" w:ascii="仿宋_GB2312" w:eastAsia="仿宋_GB2312"/>
          <w:sz w:val="32"/>
          <w:szCs w:val="32"/>
        </w:rPr>
        <w:t>建设临时管网污泥处理站项目是一项符合国家环保要求、回应群众呼声、促进城市可持续发展的务实举措。项目不仅有效解决了污泥积压难题，也为城市排水系统的平稳运行提供了有力支撑，更在提升生态环境质量和群众满意度方面做出了示范。</w:t>
      </w:r>
    </w:p>
    <w:p>
      <w:pPr>
        <w:spacing w:before="156" w:after="156" w:line="560" w:lineRule="exact"/>
        <w:ind w:left="0" w:firstLine="642" w:firstLineChars="200"/>
        <w:outlineLvl w:val="0"/>
        <w:rPr>
          <w:rFonts w:hint="eastAsia" w:ascii="黑体" w:hAnsi="黑体" w:eastAsia="黑体" w:cs="黑体"/>
          <w:b/>
          <w:sz w:val="32"/>
          <w:szCs w:val="32"/>
        </w:rPr>
      </w:pPr>
      <w:bookmarkStart w:id="38" w:name="_Toc14211"/>
      <w:r>
        <w:rPr>
          <w:rFonts w:hint="eastAsia" w:ascii="黑体" w:hAnsi="黑体" w:eastAsia="黑体" w:cs="黑体"/>
          <w:b/>
          <w:sz w:val="32"/>
          <w:szCs w:val="32"/>
          <w:lang w:val="en-US" w:eastAsia="zh-CN"/>
        </w:rPr>
        <w:t>四</w:t>
      </w:r>
      <w:r>
        <w:rPr>
          <w:rFonts w:hint="eastAsia" w:ascii="黑体" w:hAnsi="黑体" w:eastAsia="黑体" w:cs="黑体"/>
          <w:b/>
          <w:sz w:val="32"/>
          <w:szCs w:val="32"/>
        </w:rPr>
        <w:t>.存在的问题和原因</w:t>
      </w:r>
      <w:bookmarkEnd w:id="38"/>
    </w:p>
    <w:p>
      <w:pPr>
        <w:spacing w:beforeLines="0" w:afterLines="0" w:line="240" w:lineRule="atLeast"/>
        <w:ind w:left="0" w:firstLine="681" w:firstLineChars="213"/>
        <w:rPr>
          <w:rFonts w:ascii="仿宋_GB2312" w:eastAsia="仿宋_GB2312"/>
          <w:sz w:val="32"/>
          <w:szCs w:val="32"/>
          <w:highlight w:val="none"/>
        </w:rPr>
      </w:pPr>
      <w:r>
        <w:rPr>
          <w:rFonts w:hint="eastAsia" w:ascii="仿宋_GB2312" w:eastAsia="仿宋_GB2312"/>
          <w:sz w:val="32"/>
          <w:szCs w:val="32"/>
        </w:rPr>
        <w:t>（一）</w:t>
      </w:r>
      <w:r>
        <w:rPr>
          <w:rFonts w:hint="eastAsia" w:ascii="仿宋_GB2312" w:eastAsia="仿宋_GB2312"/>
          <w:sz w:val="32"/>
          <w:szCs w:val="32"/>
          <w:highlight w:val="none"/>
        </w:rPr>
        <w:t>少数绩效</w:t>
      </w:r>
      <w:r>
        <w:rPr>
          <w:rFonts w:hint="eastAsia" w:ascii="仿宋_GB2312" w:eastAsia="仿宋_GB2312"/>
          <w:sz w:val="32"/>
          <w:szCs w:val="32"/>
          <w:highlight w:val="none"/>
          <w:lang w:val="en-US" w:eastAsia="zh-CN"/>
        </w:rPr>
        <w:t>指</w:t>
      </w:r>
      <w:r>
        <w:rPr>
          <w:rFonts w:hint="eastAsia" w:ascii="仿宋_GB2312" w:eastAsia="仿宋_GB2312"/>
          <w:sz w:val="32"/>
          <w:szCs w:val="32"/>
          <w:highlight w:val="none"/>
        </w:rPr>
        <w:t>标设定不合理、指向不明确。2024年度项目支出绩效目标申报表列示：数量指标“建设临时管网污泥处理站”2024年预计值为“1座”，临时管网污泥处理站已于2021年建成，2024年属于运维期，此项绩效目标与实际工作内容不符；质量指标“项目完成时限”预计值为“依据合同规定”，此项指标不属于质量指标且预计值不明晰。</w:t>
      </w:r>
    </w:p>
    <w:p>
      <w:pPr>
        <w:spacing w:beforeLines="0" w:afterLines="0" w:line="240" w:lineRule="atLeast"/>
        <w:ind w:left="0" w:firstLine="681" w:firstLineChars="213"/>
        <w:rPr>
          <w:rFonts w:ascii="仿宋_GB2312" w:eastAsia="仿宋_GB2312"/>
          <w:sz w:val="32"/>
          <w:szCs w:val="32"/>
          <w:highlight w:val="none"/>
        </w:rPr>
      </w:pPr>
      <w:r>
        <w:rPr>
          <w:rFonts w:hint="eastAsia"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rPr>
        <w:t>）</w:t>
      </w:r>
      <w:r>
        <w:rPr>
          <w:rFonts w:hint="eastAsia" w:ascii="仿宋_GB2312" w:eastAsia="仿宋_GB2312"/>
          <w:sz w:val="32"/>
          <w:szCs w:val="32"/>
          <w:highlight w:val="none"/>
        </w:rPr>
        <w:t>管理制度不健全且执行不规范。</w:t>
      </w:r>
    </w:p>
    <w:p>
      <w:pPr>
        <w:spacing w:beforeLines="0" w:afterLines="0" w:line="240" w:lineRule="atLeast"/>
        <w:ind w:left="0" w:firstLine="681" w:firstLineChars="213"/>
        <w:rPr>
          <w:rFonts w:ascii="仿宋_GB2312" w:eastAsia="仿宋_GB2312"/>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业务管理制度未</w:t>
      </w:r>
      <w:r>
        <w:rPr>
          <w:rFonts w:hint="eastAsia" w:ascii="仿宋_GB2312" w:eastAsia="仿宋_GB2312"/>
          <w:sz w:val="32"/>
          <w:szCs w:val="32"/>
          <w:highlight w:val="none"/>
          <w:lang w:val="en-US" w:eastAsia="zh-CN"/>
        </w:rPr>
        <w:t>结合</w:t>
      </w:r>
      <w:r>
        <w:rPr>
          <w:rFonts w:hint="eastAsia" w:ascii="仿宋_GB2312" w:eastAsia="仿宋_GB2312"/>
          <w:sz w:val="32"/>
          <w:szCs w:val="32"/>
          <w:highlight w:val="none"/>
        </w:rPr>
        <w:t>项目</w:t>
      </w:r>
      <w:r>
        <w:rPr>
          <w:rFonts w:hint="eastAsia" w:ascii="仿宋_GB2312" w:eastAsia="仿宋_GB2312"/>
          <w:sz w:val="32"/>
          <w:szCs w:val="32"/>
          <w:highlight w:val="none"/>
          <w:lang w:val="en-US" w:eastAsia="zh-CN"/>
        </w:rPr>
        <w:t>运维</w:t>
      </w:r>
      <w:r>
        <w:rPr>
          <w:rFonts w:hint="eastAsia" w:ascii="仿宋_GB2312" w:eastAsia="仿宋_GB2312"/>
          <w:sz w:val="32"/>
          <w:szCs w:val="32"/>
          <w:highlight w:val="none"/>
        </w:rPr>
        <w:t>的实际情况制定。</w:t>
      </w:r>
    </w:p>
    <w:p>
      <w:pPr>
        <w:spacing w:beforeLines="0" w:afterLines="0" w:line="240" w:lineRule="atLeast"/>
        <w:ind w:left="0" w:firstLine="681" w:firstLineChars="213"/>
        <w:rPr>
          <w:rFonts w:ascii="仿宋_GB2312" w:eastAsia="仿宋_GB2312"/>
          <w:sz w:val="32"/>
          <w:szCs w:val="32"/>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项目合同签订不严谨。</w:t>
      </w:r>
      <w:r>
        <w:rPr>
          <w:rFonts w:hint="eastAsia" w:ascii="仿宋_GB2312" w:eastAsia="仿宋_GB2312"/>
          <w:sz w:val="32"/>
          <w:szCs w:val="32"/>
          <w:highlight w:val="none"/>
          <w:lang w:val="en-US" w:eastAsia="zh-CN"/>
        </w:rPr>
        <w:t>项目成交通知书显示：</w:t>
      </w:r>
      <w:r>
        <w:rPr>
          <w:rFonts w:hint="eastAsia" w:ascii="仿宋_GB2312" w:eastAsia="仿宋_GB2312"/>
          <w:sz w:val="32"/>
          <w:szCs w:val="32"/>
          <w:highlight w:val="none"/>
        </w:rPr>
        <w:t>临时管网污泥处理服务采购成交金额（元/月）：197100元。潜江市市政工程管理局与三川德青科技有限公司签订的合同约定“工</w:t>
      </w:r>
      <w:r>
        <w:rPr>
          <w:rFonts w:hint="eastAsia" w:ascii="仿宋_GB2312" w:eastAsia="仿宋_GB2312"/>
          <w:sz w:val="32"/>
          <w:szCs w:val="32"/>
        </w:rPr>
        <w:t>程量：预估40m³/日×30天/月=1200m³（以服务期满时的污泥处理量进行结算）；合同金额19.71万元/月”，合同中未列明结算单价，实际按164.25元/m³的标准据实结算管网污泥处理服务费，如：2023年6月处理量1170m³，结算19.21万元；7月处理量1290m³，结算21.19万元。</w:t>
      </w:r>
    </w:p>
    <w:p>
      <w:pPr>
        <w:spacing w:beforeLines="0" w:afterLines="0" w:line="240" w:lineRule="atLeast"/>
        <w:ind w:left="0" w:firstLine="681" w:firstLineChars="213"/>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项目监管</w:t>
      </w:r>
      <w:r>
        <w:rPr>
          <w:rFonts w:hint="eastAsia" w:ascii="仿宋_GB2312" w:eastAsia="仿宋_GB2312"/>
          <w:sz w:val="32"/>
          <w:szCs w:val="32"/>
          <w:highlight w:val="none"/>
          <w:lang w:val="en-US" w:eastAsia="zh-CN"/>
        </w:rPr>
        <w:t>有待加强</w:t>
      </w:r>
      <w:r>
        <w:rPr>
          <w:rFonts w:hint="eastAsia" w:ascii="仿宋_GB2312" w:eastAsia="仿宋_GB2312"/>
          <w:sz w:val="32"/>
          <w:szCs w:val="32"/>
          <w:highlight w:val="none"/>
        </w:rPr>
        <w:t>。项目合同约定“发包人在不妨碍承包人正常作业的情况下，可以随时对作业进度、质量进行检查；服务质量：……处理后泥饼含水率≤50%，并外运至发包人指定的场地（15km以内）进行消纳……”。</w:t>
      </w:r>
      <w:r>
        <w:rPr>
          <w:rFonts w:hint="eastAsia" w:ascii="仿宋_GB2312" w:eastAsia="仿宋_GB2312"/>
          <w:sz w:val="32"/>
          <w:szCs w:val="32"/>
          <w:highlight w:val="none"/>
          <w:lang w:val="en-US" w:eastAsia="zh-CN"/>
        </w:rPr>
        <w:t>单位提供了2024年度</w:t>
      </w:r>
      <w:r>
        <w:rPr>
          <w:rFonts w:hint="eastAsia" w:ascii="仿宋_GB2312" w:eastAsia="仿宋_GB2312"/>
          <w:sz w:val="32"/>
          <w:szCs w:val="32"/>
          <w:highlight w:val="none"/>
        </w:rPr>
        <w:t>项目现场检查留存照片</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2024年度污泥处置台账</w:t>
      </w:r>
      <w:r>
        <w:rPr>
          <w:rFonts w:hint="eastAsia" w:ascii="仿宋_GB2312" w:eastAsia="仿宋_GB2312"/>
          <w:sz w:val="32"/>
          <w:szCs w:val="32"/>
          <w:highlight w:val="none"/>
        </w:rPr>
        <w:t>及由运营单位三川德青科技有限公司于2024年7月19日送检泥样的检测报告（No:HJ2024-7-7/第80号），</w:t>
      </w:r>
      <w:r>
        <w:rPr>
          <w:rFonts w:hint="eastAsia" w:ascii="仿宋_GB2312" w:eastAsia="仿宋_GB2312"/>
          <w:sz w:val="32"/>
          <w:szCs w:val="32"/>
          <w:highlight w:val="none"/>
          <w:lang w:val="en-US" w:eastAsia="zh-CN"/>
        </w:rPr>
        <w:t>但</w:t>
      </w:r>
      <w:r>
        <w:rPr>
          <w:rFonts w:hint="eastAsia" w:ascii="仿宋_GB2312" w:eastAsia="仿宋_GB2312"/>
          <w:sz w:val="32"/>
          <w:szCs w:val="32"/>
          <w:highlight w:val="none"/>
        </w:rPr>
        <w:t>未见项目全过程监管台账（检查日期、检查内容、检查结论、整改要求、整改期限、检查人员</w:t>
      </w:r>
      <w:r>
        <w:rPr>
          <w:rFonts w:hint="eastAsia" w:ascii="仿宋_GB2312" w:eastAsia="仿宋_GB2312"/>
          <w:sz w:val="32"/>
          <w:szCs w:val="32"/>
        </w:rPr>
        <w:t>等信息）及潜江市市政工程管理局对泥饼含水率进行检查的相关资料。</w:t>
      </w:r>
    </w:p>
    <w:p>
      <w:pPr>
        <w:spacing w:before="156" w:after="156" w:line="560" w:lineRule="exact"/>
        <w:ind w:left="0" w:firstLine="642" w:firstLineChars="200"/>
        <w:outlineLvl w:val="0"/>
        <w:rPr>
          <w:rFonts w:hint="eastAsia" w:ascii="黑体" w:hAnsi="黑体" w:eastAsia="黑体" w:cs="黑体"/>
          <w:b/>
          <w:sz w:val="32"/>
          <w:szCs w:val="32"/>
          <w:lang w:val="en-US" w:eastAsia="zh-CN"/>
        </w:rPr>
      </w:pPr>
      <w:bookmarkStart w:id="39" w:name="_Toc2111"/>
      <w:r>
        <w:rPr>
          <w:rFonts w:hint="eastAsia" w:ascii="黑体" w:hAnsi="黑体" w:eastAsia="黑体" w:cs="黑体"/>
          <w:b/>
          <w:sz w:val="32"/>
          <w:szCs w:val="32"/>
          <w:lang w:val="en-US" w:eastAsia="zh-CN"/>
        </w:rPr>
        <w:t>五.建议</w:t>
      </w:r>
      <w:bookmarkEnd w:id="39"/>
    </w:p>
    <w:p>
      <w:pPr>
        <w:spacing w:beforeLines="0" w:afterLines="0" w:line="240" w:lineRule="atLeast"/>
        <w:ind w:left="0" w:firstLine="681" w:firstLineChars="213"/>
        <w:rPr>
          <w:rFonts w:ascii="仿宋_GB2312" w:eastAsia="仿宋_GB2312"/>
          <w:sz w:val="32"/>
          <w:szCs w:val="32"/>
        </w:rPr>
      </w:pPr>
      <w:r>
        <w:rPr>
          <w:rFonts w:hint="eastAsia" w:ascii="仿宋_GB2312" w:eastAsia="仿宋_GB2312"/>
          <w:sz w:val="32"/>
          <w:szCs w:val="32"/>
        </w:rPr>
        <w:t>（一）建议潜江市市政工程管理局根据项目动态变化，优化项目绩效目标体系，修正不合理的绩效指标，明确绩效指标类别，设置与实际工作内容相符的量化指标，确保绩效目标与项目阶段（建设期/运维期）匹配，指标值具体、可测量。</w:t>
      </w:r>
    </w:p>
    <w:p>
      <w:pPr>
        <w:spacing w:beforeLines="0" w:afterLines="0" w:line="240" w:lineRule="atLeast"/>
        <w:ind w:left="0" w:firstLine="681" w:firstLineChars="213"/>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rPr>
        <w:t>）建议潜江市市政工程管理局制定项目运维管理细则，强化监管机制。建立全过程监管台账，按月留存现场检查记录（附照片、签字），重点记录设备运行时长、污泥处理量；明确设备检修频次、泥饼含水率检测频次等。</w:t>
      </w:r>
    </w:p>
    <w:p>
      <w:pPr>
        <w:spacing w:beforeLines="0" w:afterLines="0" w:line="240" w:lineRule="atLeast"/>
        <w:ind w:left="0" w:firstLine="681" w:firstLineChars="213"/>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三</w:t>
      </w:r>
      <w:r>
        <w:rPr>
          <w:rFonts w:hint="eastAsia" w:ascii="仿宋_GB2312" w:eastAsia="仿宋_GB2312"/>
          <w:sz w:val="32"/>
          <w:szCs w:val="32"/>
        </w:rPr>
        <w:t>）建议潜江市市政工程管理局修订合同条款，明确合同服务费结算标准，将“预估工程量”改为“保底处理量＋浮动结算机制”，明确超量部分的单价调整规则及结算金额上限条款，避免费用失控。</w:t>
      </w:r>
    </w:p>
    <w:p>
      <w:pPr>
        <w:keepNext w:val="0"/>
        <w:keepLines w:val="0"/>
        <w:pageBreakBefore w:val="0"/>
        <w:widowControl w:val="0"/>
        <w:kinsoku/>
        <w:wordWrap w:val="0"/>
        <w:overflowPunct/>
        <w:topLinePunct w:val="0"/>
        <w:autoSpaceDE/>
        <w:autoSpaceDN/>
        <w:bidi w:val="0"/>
        <w:adjustRightInd/>
        <w:snapToGrid/>
        <w:spacing w:line="360" w:lineRule="auto"/>
        <w:ind w:right="641" w:firstLine="0" w:firstLineChars="0"/>
        <w:jc w:val="both"/>
        <w:textAlignment w:val="auto"/>
        <w:rPr>
          <w:rFonts w:hint="default" w:ascii="仿宋" w:hAnsi="仿宋" w:eastAsia="仿宋" w:cs="仿宋"/>
          <w:sz w:val="32"/>
          <w:szCs w:val="32"/>
          <w:lang w:val="en-US" w:eastAsia="zh-CN"/>
        </w:rPr>
      </w:pP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sz w:val="32"/>
          <w:szCs w:val="32"/>
        </w:rPr>
      </w:pPr>
    </w:p>
    <w:sectPr>
      <w:footerReference r:id="rId7"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script"/>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0" w:usb3="00000000" w:csb0="2000019F"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left" w:pos="7726"/>
      </w:tabs>
      <w:ind w:left="0" w:leftChars="0" w:firstLine="0" w:firstLineChars="0"/>
      <w:jc w:val="left"/>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left" w:pos="7726"/>
      </w:tabs>
      <w:ind w:left="0" w:leftChars="0" w:firstLine="0" w:firstLineChars="0"/>
      <w:jc w:val="lef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ZWYyZjdlMmUxNzhkN2ZjODI5OWU2MzIyNWJmNDAifQ=="/>
    <w:docVar w:name="KSO_WPS_MARK_KEY" w:val="0ce87876-00ee-4e74-bc41-e96fd55b13f2"/>
  </w:docVars>
  <w:rsids>
    <w:rsidRoot w:val="2A353EDF"/>
    <w:rsid w:val="00520FE1"/>
    <w:rsid w:val="01774A94"/>
    <w:rsid w:val="01A61BE2"/>
    <w:rsid w:val="04304467"/>
    <w:rsid w:val="05E17EB1"/>
    <w:rsid w:val="08501209"/>
    <w:rsid w:val="0A5A1B8E"/>
    <w:rsid w:val="0ACD4CF7"/>
    <w:rsid w:val="0B9C1D1C"/>
    <w:rsid w:val="13F2130A"/>
    <w:rsid w:val="163D3B8F"/>
    <w:rsid w:val="18DE496E"/>
    <w:rsid w:val="1AAF182B"/>
    <w:rsid w:val="1FDF2284"/>
    <w:rsid w:val="22947F00"/>
    <w:rsid w:val="25BD23B4"/>
    <w:rsid w:val="26EE32EF"/>
    <w:rsid w:val="2A353EDF"/>
    <w:rsid w:val="2A3C1092"/>
    <w:rsid w:val="33E53C52"/>
    <w:rsid w:val="39FF3A59"/>
    <w:rsid w:val="3BC44F5A"/>
    <w:rsid w:val="3BFF5BE4"/>
    <w:rsid w:val="3D73C5BF"/>
    <w:rsid w:val="3D98C7E5"/>
    <w:rsid w:val="3DDD67A7"/>
    <w:rsid w:val="3F32042D"/>
    <w:rsid w:val="41D81760"/>
    <w:rsid w:val="43354787"/>
    <w:rsid w:val="485C4020"/>
    <w:rsid w:val="4BA2019B"/>
    <w:rsid w:val="4CD3324F"/>
    <w:rsid w:val="4D37334B"/>
    <w:rsid w:val="4FA42499"/>
    <w:rsid w:val="50F1639A"/>
    <w:rsid w:val="56CB5680"/>
    <w:rsid w:val="59964846"/>
    <w:rsid w:val="5B5B5B3E"/>
    <w:rsid w:val="5D9A5558"/>
    <w:rsid w:val="61362E80"/>
    <w:rsid w:val="6279694D"/>
    <w:rsid w:val="62F14F12"/>
    <w:rsid w:val="668795CE"/>
    <w:rsid w:val="692B5F8C"/>
    <w:rsid w:val="706946DD"/>
    <w:rsid w:val="71B65252"/>
    <w:rsid w:val="760B3A5A"/>
    <w:rsid w:val="76EE260A"/>
    <w:rsid w:val="7C985FF0"/>
    <w:rsid w:val="D6F74329"/>
    <w:rsid w:val="DF9F277E"/>
    <w:rsid w:val="EFB988BB"/>
    <w:rsid w:val="FFD28B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Calibri"/>
      <w:kern w:val="2"/>
      <w:sz w:val="32"/>
      <w:szCs w:val="32"/>
      <w:lang w:val="en-US" w:eastAsia="zh-CN" w:bidi="ar-SA"/>
    </w:rPr>
  </w:style>
  <w:style w:type="paragraph" w:styleId="2">
    <w:name w:val="heading 1"/>
    <w:basedOn w:val="1"/>
    <w:next w:val="1"/>
    <w:qFormat/>
    <w:uiPriority w:val="0"/>
    <w:pPr>
      <w:keepNext/>
      <w:keepLines/>
      <w:outlineLvl w:val="0"/>
    </w:pPr>
    <w:rPr>
      <w:rFonts w:ascii="Times New Roman" w:hAnsi="Times New Roman" w:eastAsia="黑体" w:cs="Times New Roman"/>
      <w:b/>
      <w:bCs/>
      <w:kern w:val="44"/>
      <w:szCs w:val="44"/>
    </w:rPr>
  </w:style>
  <w:style w:type="paragraph" w:styleId="3">
    <w:name w:val="heading 2"/>
    <w:basedOn w:val="1"/>
    <w:next w:val="1"/>
    <w:qFormat/>
    <w:uiPriority w:val="0"/>
    <w:pPr>
      <w:keepNext/>
      <w:keepLines/>
      <w:outlineLvl w:val="1"/>
    </w:pPr>
    <w:rPr>
      <w:rFonts w:ascii="Times New Roman" w:hAnsi="Times New Roman" w:eastAsia="楷体" w:cs="Times New Roman"/>
      <w:b/>
      <w:bCs/>
      <w:szCs w:val="32"/>
    </w:rPr>
  </w:style>
  <w:style w:type="paragraph" w:styleId="4">
    <w:name w:val="heading 3"/>
    <w:basedOn w:val="1"/>
    <w:next w:val="1"/>
    <w:qFormat/>
    <w:uiPriority w:val="0"/>
    <w:pPr>
      <w:keepNext/>
      <w:keepLines/>
      <w:outlineLvl w:val="2"/>
    </w:pPr>
    <w:rPr>
      <w:rFonts w:ascii="Times New Roman" w:hAnsi="Times New Roman" w:eastAsia="楷体" w:cs="Times New Roman"/>
      <w:b/>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99"/>
    <w:pPr>
      <w:ind w:firstLine="420" w:firstLineChars="200"/>
    </w:pPr>
    <w:rPr>
      <w:szCs w:val="24"/>
    </w:rPr>
  </w:style>
  <w:style w:type="paragraph" w:styleId="6">
    <w:name w:val="Body Text"/>
    <w:basedOn w:val="1"/>
    <w:next w:val="5"/>
    <w:qFormat/>
    <w:uiPriority w:val="0"/>
    <w:pPr>
      <w:ind w:left="124"/>
    </w:pPr>
    <w:rPr>
      <w:rFonts w:ascii="宋体" w:hAnsi="宋体" w:cs="宋体"/>
      <w:sz w:val="17"/>
      <w:szCs w:val="17"/>
      <w:lang w:val="en-US" w:eastAsia="zh-CN" w:bidi="ar-SA"/>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99"/>
    <w:pPr>
      <w:pBdr>
        <w:bottom w:val="single" w:color="auto" w:sz="6" w:space="1"/>
      </w:pBdr>
      <w:tabs>
        <w:tab w:val="center" w:pos="4153"/>
        <w:tab w:val="right" w:pos="8307"/>
      </w:tabs>
      <w:snapToGrid w:val="0"/>
      <w:jc w:val="center"/>
    </w:pPr>
    <w:rPr>
      <w:rFonts w:ascii="Times New Roman" w:hAnsi="Times New Roman" w:eastAsia="宋体" w:cs="Times New Roman"/>
      <w:sz w:val="18"/>
      <w:szCs w:val="24"/>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6118</Words>
  <Characters>6653</Characters>
  <Lines>0</Lines>
  <Paragraphs>0</Paragraphs>
  <TotalTime>8</TotalTime>
  <ScaleCrop>false</ScaleCrop>
  <LinksUpToDate>false</LinksUpToDate>
  <CharactersWithSpaces>6712</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2023-06-26T19:28:00Z</dcterms:created>
  <dc:creator>Administrator</dc:creator>
  <cp:lastModifiedBy> </cp:lastModifiedBy>
  <cp:lastPrinted>2024-06-21T19:00:00Z</cp:lastPrinted>
  <dcterms:modified xsi:type="dcterms:W3CDTF">2025-10-27T16:13:14Z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9E59FC569BCA4C3FA7F10ABD36BD0DAB_13</vt:lpwstr>
  </property>
  <property fmtid="{D5CDD505-2E9C-101B-9397-08002B2CF9AE}" pid="4" name="KSOTemplateDocerSaveRecord">
    <vt:lpwstr>eyJoZGlkIjoiYjM5NzZjMmEwMGYyYzY2NDEwMzNiZjQwNjE0ODEwMDEiLCJ1c2VySWQiOiIyNTkwOTQyNDIifQ==</vt:lpwstr>
  </property>
</Properties>
</file>