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-2"/>
        <w:jc w:val="center"/>
        <w:rPr>
          <w:rFonts w:eastAsia="华文中宋"/>
          <w:color w:val="auto"/>
          <w:spacing w:val="-6"/>
          <w:w w:val="98"/>
          <w:sz w:val="32"/>
          <w:szCs w:val="32"/>
        </w:rPr>
      </w:pPr>
    </w:p>
    <w:p>
      <w:pPr>
        <w:spacing w:line="36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52705</wp:posOffset>
                </wp:positionV>
                <wp:extent cx="737235" cy="379095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379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内部资料</w:t>
                            </w:r>
                          </w:p>
                          <w:p>
                            <w:pPr>
                              <w:spacing w:before="31" w:beforeLines="10" w:line="240" w:lineRule="exact"/>
                              <w:jc w:val="distribute"/>
                              <w:rPr>
                                <w:rFonts w:ascii="楷体_GB2312" w:eastAsia="楷体_GB2312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3"/>
                              </w:rPr>
                              <w:t>注意保存</w:t>
                            </w:r>
                          </w:p>
                        </w:txbxContent>
                      </wps:txbx>
                      <wps:bodyPr lIns="53975" tIns="10795" rIns="53975" bIns="10795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66.95pt;margin-top:4.15pt;height:29.85pt;width:58.05pt;z-index:251659264;mso-width-relative:page;mso-height-relative:page;" filled="f" stroked="f" coordsize="21600,21600" o:gfxdata="UEsDBAoAAAAAAIdO4kAAAAAAAAAAAAAAAAAEAAAAZHJzL1BLAwQUAAAACACHTuJAqMmS4NgAAAAI&#10;AQAADwAAAGRycy9kb3ducmV2LnhtbE2PMU/DMBSEdyT+g/WQWBC1i6FKQ5wKITGBBASWbm78mkTY&#10;z5Htpg2/HjPBeLrT3XfV5uQsmzDEwZOC5UIAQ2q9GahT8PnxdF0Ai0mT0dYTKpgxwqY+P6t0afyR&#10;3nFqUsdyCcVSK+hTGkvOY9uj03HhR6Ts7X1wOmUZOm6CPuZyZ/mNECvu9EB5odcjPvbYfjUHp6DZ&#10;yvCN+3E24/PVy8P8Nk3Wvip1ebEU98ASntJfGH7xMzrUmWnnD2QiswqklOscVVBIYNm/vRP5207B&#10;qhDA64r/P1D/AFBLAwQUAAAACACHTuJAdEf3IrwBAABvAwAADgAAAGRycy9lMm9Eb2MueG1srVNL&#10;btswEN0X6B0I7mPJMhzVguVsjBQFijZAmgPQFGUR4A9D2pIv0N6gq26677l8jg4p1THSTRbZjGY4&#10;1ON7b8j13aAVOQrw0pqazmc5JcJw20izr+nTt/ubD5T4wEzDlDWipifh6d3m/bt17ypR2M6qRgBB&#10;EOOr3tW0C8FVWeZ5JzTzM+uEwWZrQbOAJeyzBliP6FplRZ7fZr2FxoHlwntc3Y5NOiHCawBt20ou&#10;tpYftDBhRAWhWEBJvpPO001i27aCh69t60UgqqaoNKSIh2C+izHbrFm1B+Y6yScK7DUUXmjSTBo8&#10;9AK1ZYGRA8j/oLTkYL1tw4xbnY1CkiOoYp6/8OaxY04kLWi1dxfT/dvB8i/HByCywZuQF7eUGKZx&#10;5uefP86//px/fydFdKh3vsKNj+4BpspjGuUOLej4RSFkSK6eLq6KIRCOi+WiLBZLSji2FuUqXy0j&#10;Zvb8swMfPgqrSUxqCji05CU7fvZh3PpvSzxLmRiNvZdKjd24kkWSI62YhWE3TFx3tjmhRvXJoG/L&#10;xapELiEV87xEMgSuO7vrzsGB3HfIaZ4oR2CcQyI/3Zk46Os6EXl+J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MmS4NgAAAAIAQAADwAAAAAAAAABACAAAAAiAAAAZHJzL2Rvd25yZXYueG1sUEsB&#10;AhQAFAAAAAgAh07iQHRH9yK8AQAAb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4.25pt,0.85pt,4.25pt,0.85pt">
                  <w:txbxContent>
                    <w:p>
                      <w:pPr>
                        <w:spacing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内部资料</w:t>
                      </w:r>
                    </w:p>
                    <w:p>
                      <w:pPr>
                        <w:spacing w:before="31" w:beforeLines="10" w:line="240" w:lineRule="exact"/>
                        <w:jc w:val="distribute"/>
                        <w:rPr>
                          <w:rFonts w:ascii="楷体_GB2312" w:eastAsia="楷体_GB2312"/>
                          <w:b/>
                          <w:sz w:val="23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3"/>
                        </w:rPr>
                        <w:t>注意保存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jc w:val="center"/>
        <w:rPr>
          <w:rFonts w:eastAsia="华文中宋"/>
          <w:color w:val="auto"/>
          <w:spacing w:val="20"/>
          <w:sz w:val="32"/>
          <w:szCs w:val="32"/>
        </w:rPr>
      </w:pPr>
    </w:p>
    <w:p>
      <w:pPr>
        <w:jc w:val="center"/>
        <w:rPr>
          <w:rFonts w:eastAsia="黑体"/>
          <w:b/>
          <w:bCs/>
          <w:color w:val="auto"/>
          <w:w w:val="80"/>
          <w:sz w:val="56"/>
        </w:rPr>
      </w:pPr>
      <w:r>
        <w:rPr>
          <w:rFonts w:eastAsia="黑体"/>
          <w:b/>
          <w:bCs/>
          <w:color w:val="auto"/>
          <w:w w:val="80"/>
          <w:sz w:val="56"/>
        </w:rPr>
        <w:t>潜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统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计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月</w:t>
      </w:r>
      <w:r>
        <w:rPr>
          <w:rFonts w:hint="eastAsia" w:eastAsia="黑体"/>
          <w:b/>
          <w:bCs/>
          <w:color w:val="auto"/>
          <w:w w:val="80"/>
          <w:sz w:val="40"/>
          <w:szCs w:val="40"/>
        </w:rPr>
        <w:t xml:space="preserve"> </w:t>
      </w:r>
      <w:r>
        <w:rPr>
          <w:rFonts w:eastAsia="黑体"/>
          <w:b/>
          <w:bCs/>
          <w:color w:val="auto"/>
          <w:w w:val="80"/>
          <w:sz w:val="56"/>
        </w:rPr>
        <w:t>报</w:t>
      </w: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420" w:lineRule="exact"/>
        <w:jc w:val="center"/>
        <w:rPr>
          <w:color w:val="auto"/>
          <w:sz w:val="18"/>
        </w:rPr>
      </w:pPr>
    </w:p>
    <w:p>
      <w:pPr>
        <w:spacing w:line="500" w:lineRule="exact"/>
        <w:jc w:val="center"/>
        <w:rPr>
          <w:color w:val="auto"/>
          <w:sz w:val="18"/>
        </w:rPr>
      </w:pPr>
    </w:p>
    <w:p>
      <w:pPr>
        <w:spacing w:line="420" w:lineRule="exact"/>
        <w:ind w:firstLine="862" w:firstLineChars="308"/>
        <w:rPr>
          <w:color w:val="auto"/>
          <w:spacing w:val="16"/>
          <w:sz w:val="28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67945</wp:posOffset>
                </wp:positionV>
                <wp:extent cx="482600" cy="365760"/>
                <wp:effectExtent l="0" t="0" r="0" b="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85.5pt;margin-top:5.35pt;height:28.8pt;width:38pt;z-index:251659264;mso-width-relative:page;mso-height-relative:page;" filled="f" stroked="f" coordsize="21600,21600" o:gfxdata="UEsDBAoAAAAAAIdO4kAAAAAAAAAAAAAAAAAEAAAAZHJzL1BLAwQUAAAACACHTuJAeReINtoAAAAJ&#10;AQAADwAAAGRycy9kb3ducmV2LnhtbE2PwU7DMBBE70j8g7VIXBC1Q6umCnF6qISoEFJFCj278ZJE&#10;xOs0dpPy9ywnOO7MaPZNvr64Tow4hNaThmSmQCBV3rZUa3jfP92vQIRoyJrOE2r4xgDr4voqN5n1&#10;E73hWMZacAmFzGhoYuwzKUPVoDNh5nsk9j794Ezkc6ilHczE5a6TD0otpTMt8YfG9LhpsPoqz07D&#10;VO3Gw/71We7uDltPp+1pU368aH17k6hHEBEv8S8Mv/iMDgUzHf2ZbBCdhnma8JbIhkpBcGCxSFk4&#10;aliu5iCLXP5fUPwAUEsDBBQAAAAIAIdO4kAoDXJqowEAADsDAAAOAAAAZHJzL2Uyb0RvYy54bWyt&#10;Uktu2zAQ3RfoHQjua8pO6wSC5WyMZBO0AdIegKZIiwB/4NCWfIHkBl11033P5XN0SClOkW6yyGY0&#10;P72Z94ar68EacpARtHcNnc8qSqQTvtVu19Af328+XVECibuWG+9kQ48S6PX644dVH2q58J03rYwE&#10;QRzUfWhol1KoGQPRScth5oN0WFQ+Wp4wjDvWRt4jujVsUVVL1vvYhuiFBMDsZizSCTG+BdArpYXc&#10;eLG30qURNUrDE1KCTgeg67KtUlKkb0qBTMQ0FJmmYnEI+tts2XrF613kodNiWoG/ZYVXnCzXDoee&#10;oTY8cbKP+j8oq0X04FWaCW/ZSKQogizm1SttHjoeZOGCUkM4iw7vByu+Hu4j0S2+hGpxSYnjFm9+&#10;+vl0+vXn9PuRzLNCfYAaGx/CfZwiQDfTHVS0+YtEyFBUPZ5VlUMiApOfrxbLCvUWWLpYfrlcFtXZ&#10;y88hQrqV3pLsNDTi0YqW/HAHCQdi63NLnmVcts7faGPGas6wvOS4VvbSsB2mXbe+PSLHfYh61yF+&#10;oVTaUdOCPt0/H+3fuIC+vPn1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kXiDbaAAAACQEAAA8A&#10;AAAAAAAAAQAgAAAAIgAAAGRycy9kb3ducmV2LnhtbFBLAQIUABQAAAAIAIdO4kAoDXJqowEAADs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pacing w:val="16"/>
          <w:sz w:val="28"/>
        </w:rPr>
        <w:t>潜 江 市 统 计 局</w:t>
      </w:r>
    </w:p>
    <w:p>
      <w:pPr>
        <w:spacing w:line="420" w:lineRule="exact"/>
        <w:ind w:firstLine="826" w:firstLineChars="295"/>
        <w:rPr>
          <w:color w:val="auto"/>
          <w:sz w:val="28"/>
        </w:rPr>
      </w:pPr>
      <w:r>
        <w:rPr>
          <w:color w:val="auto"/>
          <w:sz w:val="28"/>
        </w:rPr>
        <w:t>国家统计局潜江调查队</w:t>
      </w:r>
    </w:p>
    <w:p>
      <w:pPr>
        <w:spacing w:line="400" w:lineRule="exact"/>
        <w:jc w:val="center"/>
        <w:rPr>
          <w:color w:val="auto"/>
          <w:sz w:val="28"/>
        </w:rPr>
      </w:pPr>
      <w:r>
        <w:rPr>
          <w:rFonts w:hint="eastAsia"/>
          <w:color w:val="auto"/>
          <w:sz w:val="28"/>
        </w:rPr>
        <w:t>202</w:t>
      </w:r>
      <w:r>
        <w:rPr>
          <w:rFonts w:hint="eastAsia"/>
          <w:color w:val="auto"/>
          <w:sz w:val="28"/>
          <w:lang w:val="en-US" w:eastAsia="zh-CN"/>
        </w:rPr>
        <w:t>3</w:t>
      </w:r>
      <w:r>
        <w:rPr>
          <w:rFonts w:hint="eastAsia"/>
          <w:color w:val="auto"/>
          <w:sz w:val="28"/>
        </w:rPr>
        <w:t>年</w:t>
      </w:r>
      <w:r>
        <w:rPr>
          <w:rFonts w:hint="eastAsia"/>
          <w:color w:val="auto"/>
          <w:sz w:val="28"/>
          <w:lang w:val="en-US" w:eastAsia="zh-CN"/>
        </w:rPr>
        <w:t>9</w:t>
      </w:r>
      <w:r>
        <w:rPr>
          <w:rFonts w:hint="eastAsia"/>
          <w:color w:val="auto"/>
          <w:sz w:val="28"/>
          <w:lang w:eastAsia="zh-CN"/>
        </w:rPr>
        <w:t>月</w:t>
      </w:r>
    </w:p>
    <w:p>
      <w:pP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全市主要经济指标</w:t>
      </w:r>
    </w:p>
    <w:tbl>
      <w:tblPr>
        <w:tblStyle w:val="5"/>
        <w:tblW w:w="4702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6"/>
        <w:gridCol w:w="1845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77" w:type="pct"/>
            <w:vMerge w:val="restar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 xml:space="preserve">    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标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（1-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9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月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）</w:t>
            </w:r>
          </w:p>
        </w:tc>
        <w:tc>
          <w:tcPr>
            <w:tcW w:w="2022" w:type="pct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977" w:type="pct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2022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1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一、地区生产总值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前三季度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GDP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022" w:type="pct"/>
            <w:tcBorders>
              <w:top w:val="single" w:color="000000" w:sz="4" w:space="0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/>
                <w:color w:val="auto"/>
                <w:sz w:val="20"/>
                <w:szCs w:val="20"/>
              </w:rPr>
              <w:t>#第一产业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第二产业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/>
                <w:color w:val="auto"/>
                <w:sz w:val="20"/>
                <w:szCs w:val="20"/>
              </w:rPr>
              <w:t>二、规模以上工业增加值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微软雅黑 Light" w:hAnsi="微软雅黑 Light" w:eastAsia="宋体" w:cs="微软雅黑 Light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三、全社会用电量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(亿千瓦时)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#工业用电量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5.4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四、进出口总额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-11.0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#进 口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-7.9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出 口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-28.5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五、财政总收入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58.5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税收收入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地方一般公共预算支出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六、金融机构存款余额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14.1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#住户存款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b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金融机构贷款余额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（本外币）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#短期贷款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七、固定资产投资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#民间投资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22.8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工业投资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  #工业技改投资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基础设施投资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-27.8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   改建与技术改造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-9.7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八、社会消费品零售额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九、实际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使用外资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val="en-US" w:eastAsia="zh-CN"/>
              </w:rPr>
              <w:t>1-8月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万美元）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-79.0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十、人均可支配收入</w:t>
            </w:r>
            <w:r>
              <w:rPr>
                <w:rFonts w:hint="eastAsia" w:ascii="宋体" w:hAnsi="宋体"/>
                <w:b/>
                <w:color w:val="auto"/>
                <w:sz w:val="15"/>
                <w:szCs w:val="15"/>
                <w:lang w:eastAsia="zh-CN"/>
              </w:rPr>
              <w:t>（前三季度）</w:t>
            </w:r>
            <w:r>
              <w:rPr>
                <w:rFonts w:hint="default" w:ascii="宋体" w:hAnsi="宋体"/>
                <w:b/>
                <w:color w:val="auto"/>
                <w:sz w:val="15"/>
                <w:szCs w:val="15"/>
              </w:rPr>
              <w:t>（元）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#城镇常住居民</w:t>
            </w:r>
          </w:p>
        </w:tc>
        <w:tc>
          <w:tcPr>
            <w:tcW w:w="2022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  <w:jc w:val="center"/>
        </w:trPr>
        <w:tc>
          <w:tcPr>
            <w:tcW w:w="2977" w:type="pct"/>
            <w:tcBorders>
              <w:top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农村常住居民</w:t>
            </w:r>
          </w:p>
        </w:tc>
        <w:tc>
          <w:tcPr>
            <w:tcW w:w="2022" w:type="pct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7.9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2" w:beforeLines="10" w:line="180" w:lineRule="exact"/>
        <w:jc w:val="both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注：①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GDP总量数据不等于各产业（行业）之和，是由于数值修约误差所致，未作机械调整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②税收收入采用财政厅反馈数据，指地方级税收收入；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180" w:lineRule="exact"/>
        <w:ind w:firstLine="320" w:firstLineChars="200"/>
        <w:textAlignment w:val="auto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③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自202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年7月起，实际使用外资采用商务厅反馈数据</w:t>
      </w:r>
      <w:r>
        <w:rPr>
          <w:rFonts w:hint="eastAsia" w:ascii="Calibri" w:hAnsi="Calibri" w:eastAsia="仿宋" w:cs="Calibri"/>
          <w:b/>
          <w:bCs/>
          <w:color w:val="auto"/>
          <w:kern w:val="2"/>
          <w:sz w:val="16"/>
          <w:szCs w:val="16"/>
          <w:lang w:val="en-US" w:eastAsia="zh-CN" w:bidi="ar-SA"/>
        </w:rPr>
        <w:t>。</w:t>
      </w:r>
    </w:p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2023年前三季度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国民经济核算</w:t>
      </w:r>
    </w:p>
    <w:tbl>
      <w:tblPr>
        <w:tblStyle w:val="5"/>
        <w:tblW w:w="4907" w:type="dxa"/>
        <w:jc w:val="center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92"/>
        <w:gridCol w:w="1369"/>
        <w:gridCol w:w="968"/>
        <w:gridCol w:w="17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322" w:hRule="atLeast"/>
          <w:jc w:val="center"/>
        </w:trPr>
        <w:tc>
          <w:tcPr>
            <w:tcW w:w="23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（前三季度）</w:t>
            </w:r>
          </w:p>
        </w:tc>
        <w:tc>
          <w:tcPr>
            <w:tcW w:w="233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385" w:hRule="atLeast"/>
          <w:jc w:val="center"/>
        </w:trPr>
        <w:tc>
          <w:tcPr>
            <w:tcW w:w="23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/>
                <w:color w:val="auto"/>
                <w:sz w:val="20"/>
              </w:rPr>
            </w:pPr>
            <w:bookmarkStart w:id="0" w:name="OLE_LINK2" w:colFirst="0" w:colLast="0"/>
            <w:r>
              <w:rPr>
                <w:rFonts w:hint="default" w:hAnsi="宋体"/>
                <w:b/>
                <w:bCs/>
                <w:color w:val="auto"/>
                <w:sz w:val="20"/>
              </w:rPr>
              <w:t>潜江市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地区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生产总值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农林牧渔业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工业</w:t>
            </w:r>
          </w:p>
        </w:tc>
        <w:tc>
          <w:tcPr>
            <w:tcW w:w="2337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建筑业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批发和零售业</w:t>
            </w:r>
          </w:p>
        </w:tc>
        <w:tc>
          <w:tcPr>
            <w:tcW w:w="2337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交通运输、仓储及邮政业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住宿业和餐饮业</w:t>
            </w:r>
          </w:p>
        </w:tc>
        <w:tc>
          <w:tcPr>
            <w:tcW w:w="2337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金融业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房地产业</w:t>
            </w:r>
          </w:p>
        </w:tc>
        <w:tc>
          <w:tcPr>
            <w:tcW w:w="2337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rPr>
                <w:rFonts w:hint="default" w:hAnsi="宋体"/>
                <w:color w:val="auto"/>
                <w:sz w:val="20"/>
              </w:rPr>
            </w:pPr>
            <w:r>
              <w:rPr>
                <w:rFonts w:hint="eastAsia" w:hAnsi="宋体"/>
                <w:color w:val="auto"/>
                <w:sz w:val="20"/>
              </w:rPr>
              <w:t>其他服务业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营利性服务业</w:t>
            </w:r>
          </w:p>
        </w:tc>
        <w:tc>
          <w:tcPr>
            <w:tcW w:w="2337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600" w:firstLineChars="300"/>
              <w:rPr>
                <w:rFonts w:hint="eastAsia" w:ascii="宋体" w:hAnsi="宋体" w:eastAsia="宋体" w:cs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</w:rPr>
              <w:t>非营利性服务业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第一产业</w:t>
            </w:r>
          </w:p>
        </w:tc>
        <w:tc>
          <w:tcPr>
            <w:tcW w:w="2337" w:type="dxa"/>
            <w:gridSpan w:val="2"/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第二产业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8" w:type="dxa"/>
          <w:cantSplit/>
          <w:trHeight w:val="454" w:hRule="atLeast"/>
          <w:jc w:val="center"/>
        </w:trPr>
        <w:tc>
          <w:tcPr>
            <w:tcW w:w="2392" w:type="dxa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310" w:firstLineChars="155"/>
              <w:rPr>
                <w:rFonts w:hint="default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第三产业</w:t>
            </w:r>
          </w:p>
          <w:bookmarkEnd w:id="0"/>
        </w:tc>
        <w:tc>
          <w:tcPr>
            <w:tcW w:w="2337" w:type="dxa"/>
            <w:gridSpan w:val="2"/>
            <w:tcBorders>
              <w:bottom w:val="single" w:color="000000" w:sz="6" w:space="0"/>
            </w:tcBorders>
            <w:shd w:val="clear" w:color="auto" w:fill="E6FA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  <w:jc w:val="center"/>
        </w:trPr>
        <w:tc>
          <w:tcPr>
            <w:tcW w:w="2392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 w:firstLine="294" w:firstLineChars="147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三次产业比重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68" w:rightChars="80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（一产：二产：三产）</w:t>
            </w:r>
          </w:p>
        </w:tc>
        <w:tc>
          <w:tcPr>
            <w:tcW w:w="1369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11.1:45.4:43.5</w:t>
            </w:r>
          </w:p>
        </w:tc>
        <w:tc>
          <w:tcPr>
            <w:tcW w:w="1146" w:type="dxa"/>
            <w:gridSpan w:val="2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8.8:40.5:50.7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color w:val="auto"/>
          <w:w w:val="90"/>
          <w:sz w:val="18"/>
          <w:szCs w:val="18"/>
        </w:rPr>
        <w:t>注：地区生产总值为季度核算。</w:t>
      </w:r>
    </w:p>
    <w:p>
      <w:pPr>
        <w:rPr>
          <w:rFonts w:eastAsia="黑体"/>
          <w:b/>
          <w:bCs/>
          <w:color w:val="auto"/>
          <w:spacing w:val="20"/>
          <w:sz w:val="28"/>
          <w:szCs w:val="28"/>
        </w:rPr>
      </w:pPr>
      <w:r>
        <w:rPr>
          <w:rFonts w:hint="eastAsia" w:eastAsia="黑体"/>
          <w:b/>
          <w:bCs/>
          <w:color w:val="auto"/>
          <w:spacing w:val="2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工  业</w:t>
      </w:r>
    </w:p>
    <w:tbl>
      <w:tblPr>
        <w:tblStyle w:val="5"/>
        <w:tblW w:w="4232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118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04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1-9月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04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规模以上工业增加值</w:t>
            </w:r>
          </w:p>
        </w:tc>
        <w:tc>
          <w:tcPr>
            <w:tcW w:w="1186" w:type="dxa"/>
            <w:tcBorders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#轻工业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-9.8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重工业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#农副食品加工业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-0.7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-17.7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16.5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-30.7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-39.7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石油和天然气开采业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 w:firstLine="18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开采专业及辅助性活动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石油、煤炭及其他燃料加工业 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21.4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16.3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105" w:leftChars="5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电线、电缆、光缆及电工器材制造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规模以上工业总产值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工业产销率（%）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96.3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工业销售产值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-2.7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#出口交货值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-14.8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三、工业经济效益（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1-8月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pict>
                <v:shape id="1042" o:spid="_x0000_s1026" o:spt="75" type="#_x0000_t75" style="position:absolute;left:0pt;margin-left:0pt;margin-top:0pt;height:0.85pt;width:203.25pt;z-index:251659264;mso-width-relative:page;mso-height-relative:page;" o:ole="t" filled="f" stroked="f" coordsize="21600,21600">
                  <v:path/>
                  <v:fill on="f" focussize="0,0"/>
                  <v:stroke on="f"/>
                  <v:imagedata r:id="rId7" embosscolor="#FFFFFF" o:title=""/>
                  <o:lock v:ext="edit" aspectratio="t"/>
                </v:shape>
                <o:OLEObject Type="Embed" ProgID="Excel.Chart.8" ShapeID="1042" DrawAspect="Content" ObjectID="_1468075725" r:id="rId6">
                  <o:LockedField>false</o:LockedField>
                </o:OLEObject>
              </w:pic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3" name="图表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表_2_SpCnt_3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4" name="图表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表_2_SpCnt_4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5" name="图表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表_2_SpCnt_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6" name="图表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表_2_SpCnt_6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81275" cy="10795"/>
                  <wp:effectExtent l="0" t="0" r="0" b="0"/>
                  <wp:wrapNone/>
                  <wp:docPr id="1047" name="图表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表_2_SpCnt_7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0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收入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-12.2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营业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成本</w:t>
            </w:r>
          </w:p>
        </w:tc>
        <w:tc>
          <w:tcPr>
            <w:tcW w:w="118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-12.9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46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1186" w:type="dxa"/>
            <w:tcBorders>
              <w:top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-55.5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固定资产投资    房地产</w:t>
      </w:r>
    </w:p>
    <w:tbl>
      <w:tblPr>
        <w:tblStyle w:val="5"/>
        <w:tblW w:w="483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6"/>
        <w:gridCol w:w="1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278" w:type="pct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指  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1-9月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721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27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15"/>
                <w:szCs w:val="15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一、固定资产投资</w:t>
            </w:r>
          </w:p>
        </w:tc>
        <w:tc>
          <w:tcPr>
            <w:tcW w:w="172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#第一产业</w:t>
            </w:r>
          </w:p>
        </w:tc>
        <w:tc>
          <w:tcPr>
            <w:tcW w:w="172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172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#工业</w:t>
            </w:r>
          </w:p>
        </w:tc>
        <w:tc>
          <w:tcPr>
            <w:tcW w:w="172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1721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房地产开发投资额（亿元）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#自筹资金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住宅类投资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-19.0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二、项目建设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施工项目数（个）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#新开工项目数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三、商品房建设与销售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月末商品房施工面积（万平方米）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商品房竣工面积（万平方米）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-91.1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40" w:firstLineChars="3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-81.9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商品房销售面积（万平方米）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60" w:firstLineChars="20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月末商品房待售面积（万平方米）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27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#住宅</w:t>
            </w:r>
          </w:p>
        </w:tc>
        <w:tc>
          <w:tcPr>
            <w:tcW w:w="1721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-23.6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9" w:rightChars="-76"/>
        <w:textAlignment w:val="auto"/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注：项目个数为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00万元以上固定资产投资项目和房地产开发项目，施工项目为本年在建项目，新开工项目为本年开工项目。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 贸易   重点服务业</w:t>
      </w:r>
    </w:p>
    <w:tbl>
      <w:tblPr>
        <w:tblStyle w:val="5"/>
        <w:tblW w:w="43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2"/>
        <w:gridCol w:w="1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hAnsi="宋体" w:eastAsia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一、贸易（1-9月）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社会消费品零售额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color w:val="auto"/>
                <w:sz w:val="20"/>
                <w:szCs w:val="20"/>
              </w:rPr>
            </w:pPr>
            <w:r>
              <w:rPr>
                <w:rFonts w:hint="default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#限额以上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eastAsia" w:ascii="微软雅黑 Light" w:hAnsi="微软雅黑 Light" w:eastAsia="宋体" w:cs="微软雅黑 Light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限额以上</w:t>
            </w: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销售额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（营业额）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批发业销售额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零售业销售额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住宿业营业额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限上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餐饮业营业额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二、重点服务业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(1-8月）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28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规模以上服务业营业收入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其他交通运输和仓储业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28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其他营利性服务业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15" w:line="240" w:lineRule="exact"/>
        <w:ind w:right="-159" w:rightChars="-76"/>
        <w:textAlignment w:val="auto"/>
        <w:rPr>
          <w:rFonts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eastAsia="zh-CN"/>
        </w:rPr>
        <w:t>自202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pacing w:val="-6"/>
          <w:w w:val="90"/>
          <w:sz w:val="16"/>
          <w:szCs w:val="16"/>
        </w:rPr>
        <w:t>年8月起，其他交通运输和仓储业统计口径为管道运输业、多式联运和运输代理业、装卸搬运和仓储业（剔除谷物、棉花等农产品仓储）。</w:t>
      </w:r>
    </w:p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 xml:space="preserve">高新技术产业  文化产业   </w:t>
      </w:r>
    </w:p>
    <w:tbl>
      <w:tblPr>
        <w:tblStyle w:val="5"/>
        <w:tblW w:w="4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660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600" w:right="0" w:hanging="600" w:hangingChars="300"/>
              <w:jc w:val="left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</w:rPr>
              <w:t>一、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规上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高新技术产业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 xml:space="preserve">     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（前三季度）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高新技术产业增加值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服务业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二、规上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文化产业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exact"/>
              <w:ind w:left="420" w:leftChars="200" w:right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上半年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6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  <w:t>规上文化产业营业收入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62.7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新闻信息服务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360.5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内容创作生产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84.0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创意设计服务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-45.5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文化传播渠道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40.5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文化投资运营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文化娱乐休闲服务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-53.6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00" w:firstLineChars="200"/>
              <w:jc w:val="left"/>
              <w:textAlignment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文化辅助生产和中介服务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138.2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文化装备生产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6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default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文化消费终端生产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-16.3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供电  对外经济</w:t>
      </w:r>
    </w:p>
    <w:tbl>
      <w:tblPr>
        <w:tblStyle w:val="5"/>
        <w:tblW w:w="39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53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1-9月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2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6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增速</w:t>
            </w:r>
            <w:r>
              <w:rPr>
                <w:rFonts w:hint="eastAsia" w:hAnsi="宋体"/>
                <w:b/>
                <w:bCs/>
                <w:color w:val="auto"/>
                <w:sz w:val="20"/>
              </w:rPr>
              <w:t>(</w:t>
            </w:r>
            <w:r>
              <w:rPr>
                <w:rFonts w:hint="default" w:hAnsi="宋体"/>
                <w:b/>
                <w:bCs/>
                <w:color w:val="auto"/>
                <w:sz w:val="20"/>
              </w:rPr>
              <w:t>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left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一、全社会用电量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5.1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#一产业</w:t>
            </w:r>
          </w:p>
        </w:tc>
        <w:tc>
          <w:tcPr>
            <w:tcW w:w="23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8.9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二产业</w:t>
            </w:r>
          </w:p>
        </w:tc>
        <w:tc>
          <w:tcPr>
            <w:tcW w:w="23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5.2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#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工业</w:t>
            </w:r>
          </w:p>
        </w:tc>
        <w:tc>
          <w:tcPr>
            <w:tcW w:w="23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5.4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三产业</w:t>
            </w:r>
          </w:p>
        </w:tc>
        <w:tc>
          <w:tcPr>
            <w:tcW w:w="23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 #城乡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居民生活用电量</w:t>
            </w:r>
          </w:p>
        </w:tc>
        <w:tc>
          <w:tcPr>
            <w:tcW w:w="2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二、对外经济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增速（%）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进出口总额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-11.0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>#进口</w:t>
            </w:r>
          </w:p>
        </w:tc>
        <w:tc>
          <w:tcPr>
            <w:tcW w:w="23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 出口</w:t>
            </w:r>
          </w:p>
        </w:tc>
        <w:tc>
          <w:tcPr>
            <w:tcW w:w="233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-28.5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65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实际使用外资（1-8月 万美元）</w:t>
            </w:r>
          </w:p>
        </w:tc>
        <w:tc>
          <w:tcPr>
            <w:tcW w:w="233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-79.0</w:t>
            </w:r>
          </w:p>
        </w:tc>
      </w:tr>
    </w:tbl>
    <w:p>
      <w:pPr>
        <w:spacing w:line="180" w:lineRule="exact"/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</w:pPr>
      <w:r>
        <w:rPr>
          <w:rFonts w:hint="eastAsia" w:eastAsia="仿宋"/>
          <w:b/>
          <w:bCs/>
          <w:color w:val="auto"/>
          <w:sz w:val="16"/>
          <w:szCs w:val="16"/>
        </w:rPr>
        <w:t>注：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自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eastAsia="zh-CN"/>
        </w:rPr>
        <w:t>202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color w:val="auto"/>
          <w:sz w:val="16"/>
          <w:szCs w:val="16"/>
        </w:rPr>
        <w:t>年7月起，实际使用外资采用商务厅反馈数据。</w:t>
      </w:r>
    </w:p>
    <w:p>
      <w:pPr>
        <w:spacing w:line="180" w:lineRule="exact"/>
        <w:rPr>
          <w:rFonts w:ascii="黑体" w:hAnsi="黑体" w:eastAsia="黑体" w:cs="黑体"/>
          <w:b/>
          <w:bCs/>
          <w:color w:val="auto"/>
          <w:spacing w:val="57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pacing w:val="57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  <w:t>财  政  收  支</w:t>
      </w:r>
    </w:p>
    <w:tbl>
      <w:tblPr>
        <w:tblStyle w:val="5"/>
        <w:tblW w:w="4414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166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061" w:type="pct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default" w:hAnsi="宋体"/>
                <w:b/>
                <w:bCs/>
                <w:color w:val="auto"/>
                <w:sz w:val="20"/>
              </w:rPr>
              <w:t>指标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  <w:t>1-9月</w:t>
            </w: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）</w:t>
            </w:r>
          </w:p>
        </w:tc>
        <w:tc>
          <w:tcPr>
            <w:tcW w:w="193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3061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hAnsi="宋体"/>
                <w:b/>
                <w:bCs/>
                <w:color w:val="auto"/>
                <w:sz w:val="20"/>
              </w:rPr>
            </w:pP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增速(%)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地方财政总收入</w:t>
            </w:r>
          </w:p>
        </w:tc>
        <w:tc>
          <w:tcPr>
            <w:tcW w:w="1938" w:type="pc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58.5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地方一般公共预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算收入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20.1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#税收收入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20.1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非税收收入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19.9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微软雅黑 Light" w:hAnsi="微软雅黑 Light" w:eastAsia="微软雅黑 Light" w:cs="微软雅黑 Light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</w:rPr>
              <w:t>财政支出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-4.9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#一般公共服务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-41.5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公共安全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-41.5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教育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37.8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科学技术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2.2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社会保障与就业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61.2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卫生健康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4.5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节能环保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-1.0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nil"/>
              <w:right w:val="single" w:color="000000" w:sz="4" w:space="0"/>
            </w:tcBorders>
            <w:shd w:val="clear" w:color="auto" w:fill="E6FA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 城乡社区事务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nil"/>
            </w:tcBorders>
            <w:shd w:val="clear" w:color="auto" w:fill="E6FA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622.4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061" w:type="pct"/>
            <w:tcBorders>
              <w:top w:val="nil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00" w:firstLineChars="100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938" w:type="pct"/>
            <w:tcBorders>
              <w:top w:val="nil"/>
              <w:left w:val="single" w:color="000000" w:sz="4" w:space="0"/>
              <w:bottom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-35.0 </w:t>
            </w:r>
          </w:p>
        </w:tc>
      </w:tr>
    </w:tbl>
    <w:p>
      <w:pPr>
        <w:rPr>
          <w:rFonts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eastAsia="仿宋"/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shd w:val="clear" w:fill="E6FAF0"/>
        <w:kinsoku/>
        <w:wordWrap/>
        <w:overflowPunct w:val="0"/>
        <w:topLinePunct w:val="0"/>
        <w:autoSpaceDE/>
        <w:autoSpaceDN/>
        <w:bidi w:val="0"/>
        <w:adjustRightInd/>
        <w:snapToGrid/>
        <w:spacing w:line="370" w:lineRule="exact"/>
        <w:ind w:right="-218" w:rightChars="-104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sz w:val="28"/>
          <w:szCs w:val="28"/>
          <w:highlight w:val="green"/>
          <w:shd w:val="clear" w:color="auto" w:fill="auto"/>
          <w:lang w:val="en-US" w:eastAsia="zh-CN"/>
        </w:rPr>
        <w:t>市场主体发展情况</w:t>
      </w:r>
    </w:p>
    <w:tbl>
      <w:tblPr>
        <w:tblStyle w:val="5"/>
        <w:tblW w:w="4441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12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514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指标（1-9月）</w:t>
            </w:r>
          </w:p>
        </w:tc>
        <w:tc>
          <w:tcPr>
            <w:tcW w:w="2485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hAnsi="宋体"/>
                <w:b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auto"/>
                <w:sz w:val="20"/>
                <w:lang w:eastAsia="zh-CN"/>
              </w:rPr>
              <w:t>潜江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514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85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各类市场主体总户数</w:t>
            </w:r>
          </w:p>
        </w:tc>
        <w:tc>
          <w:tcPr>
            <w:tcW w:w="2485" w:type="pct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总注册资本(金)总额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新发展户数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新发展注册资本(金)数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44.5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一、国有集体及其控股企业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106.2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-42.7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 w:firstLine="17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二、外商投资企业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-2.1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注册资本总数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75.0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3479.0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三、私营企业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企业总数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42.3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注册资本(金)总数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163.7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 w:firstLine="171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w w:val="95"/>
                <w:kern w:val="0"/>
                <w:sz w:val="18"/>
                <w:szCs w:val="18"/>
                <w:u w:val="none"/>
                <w:lang w:val="en-US" w:eastAsia="zh-CN" w:bidi="ar"/>
              </w:rPr>
              <w:t>新登记注册资本(金)数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四、个体工商户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个体工商户总数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资金数额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16563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新登记资金数额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left"/>
              <w:textAlignment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五、农民专业合作社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农民专业合作社总数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出资总额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514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新登记数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40.5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514" w:type="pct"/>
            <w:tcBorders>
              <w:top w:val="nil"/>
              <w:right w:val="single" w:color="auto" w:sz="4" w:space="0"/>
            </w:tcBorders>
            <w:shd w:val="clear" w:color="auto" w:fill="E6FAF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新登记出资总额</w:t>
            </w:r>
          </w:p>
        </w:tc>
        <w:tc>
          <w:tcPr>
            <w:tcW w:w="2485" w:type="pct"/>
            <w:tcBorders>
              <w:top w:val="nil"/>
              <w:left w:val="single" w:color="auto" w:sz="4" w:space="0"/>
            </w:tcBorders>
            <w:shd w:val="clear" w:color="auto" w:fill="E6FA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17.0</w:t>
            </w:r>
          </w:p>
        </w:tc>
      </w:tr>
    </w:tbl>
    <w:p>
      <w:pPr>
        <w:rPr>
          <w:rFonts w:eastAsia="仿宋"/>
          <w:color w:val="auto"/>
        </w:rPr>
      </w:pPr>
      <w:r>
        <w:rPr>
          <w:rFonts w:hint="eastAsia" w:eastAsia="仿宋"/>
          <w:color w:val="auto"/>
        </w:rPr>
        <w:br w:type="page"/>
      </w:r>
    </w:p>
    <w:p/>
    <w:p/>
    <w:sectPr>
      <w:headerReference r:id="rId3" w:type="default"/>
      <w:footerReference r:id="rId4" w:type="default"/>
      <w:pgSz w:w="5954" w:h="10773"/>
      <w:pgMar w:top="851" w:right="567" w:bottom="851" w:left="567" w:header="567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WVhZGM1ZTgxNDMwMTdiMjA5Y2VkZDNjOWJkNzkifQ=="/>
  </w:docVars>
  <w:rsids>
    <w:rsidRoot w:val="00000000"/>
    <w:rsid w:val="02680497"/>
    <w:rsid w:val="1B732C6C"/>
    <w:rsid w:val="43F0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2023-10-25T08:04:00Z</dcterms:created>
  <dc:creator>Administrator</dc:creator>
  <cp:lastModifiedBy>徐倩倩</cp:lastModifiedBy>
  <dcterms:modified xsi:type="dcterms:W3CDTF">2024-02-28T03:24:53Z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D2A98F3592AE46D6AC03CB4A74BB2242_13</vt:lpwstr>
  </property>
</Properties>
</file>