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城市管理执法局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城市管理执法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行政处罚裁量基准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适用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潜江市城市管理执法局城市管理执法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自由裁量权的行使，确保依法行政，保护公民、法人或者其他组织的合法权益，根据《中华人民共和国行政处罚法》《湖北省行政执法条例》等有关法律、法规和规章，结合《规范住房和城乡建设部工程建设行政处罚裁量权实施办法》《住房和城乡建设部工程建设行政处罚裁量基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《湖北省住房和城乡建设行政处罚裁量基准》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规范性文件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实际，制定本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所称行政处罚自由裁量权，是指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潜江市城市管理执法局（以下简称“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执法机构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在法律、法规、规章规定的行政处罚种类和幅度范围内享有的自主决定权。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《湖北省住房和城乡建设行政处罚裁量基准》(以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下简称“《裁量基准》”)是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潜江市城市管理执法局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城市管理执法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行政处罚自由裁量权的行使，视违法行为的事实、性质、情节轻重程度、后果影响大小，合理划分不同档次违法情形，明确行政处罚的具体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执法机构参照《裁量基准》行使行政处罚自由裁量权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应当在法律、法规和规章规定的范围内进行。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执法机构参照《裁量基准》行使行政处罚自由裁量权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应当坚持合法合理、过罚相当、程序正当、行政效率、处罚与教育相结合的原则。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同一违法行为违反不同法律、法规或者规章规定的，在适用具体法律条文时应当遵循下列原则：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（一）优先适用法律效力高的规定；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（二）法律效力相同的，优先适用特别规定；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（三）法律效力相同的，优先适用生效时间在后的规定；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（四）发生其他不一致，不能确定如何适用时，由有关机关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《立法法》的有关规定，作出裁决。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有下列情形之一的，执法机构在实施行政处罚时，应该经过集体讨论决定：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（一）案情重大、情节复杂、争议较大的；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（二）处罚较重，可能造成行政处罚执行困难或较大影响的；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（三）涉及重大公共利益；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（四）直接关系当事人或者第三人重大权益的；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（五）其他需要集体讨论的。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有下列情形之一，在行政机关负责人作出行政处罚的决定之前，应当由从事行政处罚决定法制审核的人员进行法制审核；未经法制审核或者审核未通过的，不得作出决定：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（一）涉及重大公共利益的；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（二）直接关系当事人或者第三人重大权益，经过听证程序的；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（三）案件情况疑难复杂、涉及多个法律关系的；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（四）法律、法规规定应当进行法制审核的其他情形。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行政机关中初次从事行政处罚决定法制审核的人员，应当通过国家统一法律职业资格考试取得法律职业资格。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当事人有下列情形之一的，应当根据法律、法规、规章和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《裁量基准》，从轻或者减轻处罚：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（一）主动消除或者减轻违法行为危害后果的；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（二）受他人胁迫或者诱骗实施违法行为的；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（三）主动供述行政机关尚未掌握的违法行为的；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（四）配合行政机关查处违法行为有立功表现的；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（五）法律、法规、规章规定其他应当从轻或者减轻行政处罚的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当事人的违法行为有下列情形之一的，应当根据法律、法规、规章和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《裁量基准》，从重处罚：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（一）危及公共安全、社会安定、生命财产安全、生态环境安全以及直接关系人身健康的；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（二）造成群体性事件的；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（三）经提醒、告诫、约谈、劝阻等仍继续实施违法行为的；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（四）妨碍、阻挠、逃避或者抗拒执法的；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（五）隐瞒事实，伪造、藏匿、销毁有关证据的；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（六）胁迫、教唆他人实施违法行为的；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（七）对检举人、证人实施打击报复的；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（八）在发生突发公共事件时实施违反突发事件应对措施的违法行为的；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（九）其他依法应当从重行政处罚的情形。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有下列情形之一的，不予行政处罚：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（一）违法事实不能成立的；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（二）违法行为轻微并及时改正，没有造成危害后果的，不予行政处罚；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（三）当事人有证据足以证明没有主观过错的，不予行政处罚。初次违法且危害后果轻微并及时改正的，可以不予行政处罚。对当事人的违法行为依法不予行政处罚的，行政机关应当对当事人进行教育。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如具有相关法律、法规和规章规定或本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依法予以从轻、减轻或从重处罚的，应当按照下列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（一）依法予以从轻处罚的，应当在法定的处罚种类和处罚幅度内，选择较轻的处罚种类或者选择较低的处罚幅度进行处罚；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（二）依法予以减轻处罚的，应当在法定的处罚种类或处罚幅度最低限以下进行处罚或处理；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（三）依法予以从重处罚的，应当在法定的处罚种类和处罚幅度内，选择较重的处罚种类或者选择较高的处罚幅度进行处罚。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《裁量基准》表格中“以上”“以下”“以内”均含本数，“不满”“超过”均不含本数。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《裁量基准》表格中的“处罚幅度”部分记载的“责令改正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责令限期改正”、“责令限期补办登记手续”等其他措施，并非行政处罚，用于提示执法机构在行政处罚的同时采取其他措施。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的具体适用由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城市管理执法局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起施行，有效期5年。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5" w:type="default"/>
      <w:footerReference r:id="rId6" w:type="even"/>
      <w:pgSz w:w="11910" w:h="16840"/>
      <w:pgMar w:top="1440" w:right="1800" w:bottom="1440" w:left="1800" w:header="0" w:footer="8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10011410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32.1pt;margin-top:788.3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o+fD2AAAAA8BAAAPAAAAAAAAAAEAIAAAACIAAABkcnMvZG93bnJldi54bWxQSwEC&#10;FAAUAAAACACHTuJAZtwXYbsBAAB0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10011410</wp:posOffset>
              </wp:positionV>
              <wp:extent cx="107950" cy="1524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54.6pt;margin-top:788.3pt;height:12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H6Yy/WAAAADQEAAA8AAAAAAAAAAQAgAAAAIgAAAGRycy9kb3ducmV2LnhtbFBLAQIU&#10;ABQAAAAIAIdO4kCA4BJtvAEAAHQ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zEzODFkNGI2YzY5NzQzMDhmZmQ0NDNmYzkyYzIifQ=="/>
    <w:docVar w:name="KSO_WPS_MARK_KEY" w:val="d7371353-7ce9-4dfb-935b-76a19bc713f8"/>
  </w:docVars>
  <w:rsids>
    <w:rsidRoot w:val="00000000"/>
    <w:rsid w:val="02340FF3"/>
    <w:rsid w:val="02472D02"/>
    <w:rsid w:val="07AF3996"/>
    <w:rsid w:val="091663BB"/>
    <w:rsid w:val="0AEB67EF"/>
    <w:rsid w:val="0D677033"/>
    <w:rsid w:val="102B2027"/>
    <w:rsid w:val="149766FE"/>
    <w:rsid w:val="15097A9C"/>
    <w:rsid w:val="1A7F162E"/>
    <w:rsid w:val="200D2449"/>
    <w:rsid w:val="25D02FFD"/>
    <w:rsid w:val="2A801FD6"/>
    <w:rsid w:val="2E0B73F6"/>
    <w:rsid w:val="30603A88"/>
    <w:rsid w:val="345E0E82"/>
    <w:rsid w:val="37500271"/>
    <w:rsid w:val="4026615B"/>
    <w:rsid w:val="4058634A"/>
    <w:rsid w:val="4FC53472"/>
    <w:rsid w:val="4FFC364E"/>
    <w:rsid w:val="5224663F"/>
    <w:rsid w:val="53FB42F7"/>
    <w:rsid w:val="54396E8B"/>
    <w:rsid w:val="54E71203"/>
    <w:rsid w:val="57870DB7"/>
    <w:rsid w:val="57C32112"/>
    <w:rsid w:val="594642CF"/>
    <w:rsid w:val="5BDA3C8D"/>
    <w:rsid w:val="5C174F2E"/>
    <w:rsid w:val="5CCE3209"/>
    <w:rsid w:val="5CF8739D"/>
    <w:rsid w:val="65ED4F48"/>
    <w:rsid w:val="6C2B4EB0"/>
    <w:rsid w:val="6C9C691F"/>
    <w:rsid w:val="6E7805E6"/>
    <w:rsid w:val="6EC707D9"/>
    <w:rsid w:val="6FDB60A0"/>
    <w:rsid w:val="758F401E"/>
    <w:rsid w:val="77C15C23"/>
    <w:rsid w:val="79417EBC"/>
    <w:rsid w:val="7CD9701A"/>
    <w:rsid w:val="7F655FD6"/>
    <w:rsid w:val="7FEA965A"/>
    <w:rsid w:val="BDEDA61E"/>
    <w:rsid w:val="E2F894B8"/>
    <w:rsid w:val="EEF3F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53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1969</Words>
  <Characters>1969</Characters>
  <TotalTime>9</TotalTime>
  <ScaleCrop>false</ScaleCrop>
  <LinksUpToDate>false</LinksUpToDate>
  <CharactersWithSpaces>1985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2024-08-16T16:11:00Z</dcterms:created>
  <dc:creator>Log</dc:creator>
  <cp:lastModifiedBy>Mr、Wang</cp:lastModifiedBy>
  <dcterms:modified xsi:type="dcterms:W3CDTF">2025-09-02T08:03:17Z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2024-08-16T00:00:00Z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5842C86CA3A505227794C566DFFC2F1A_43</vt:lpwstr>
  </property>
</Properties>
</file>