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附件3：</w:t>
      </w: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夏季大会战工作评分细则</w:t>
      </w:r>
    </w:p>
    <w:tbl>
      <w:tblPr>
        <w:tblStyle w:val="6"/>
        <w:tblW w:w="14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16"/>
        <w:gridCol w:w="1100"/>
        <w:gridCol w:w="2100"/>
        <w:gridCol w:w="735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noWrap w:val="0"/>
            <w:vAlign w:val="center"/>
          </w:tcPr>
          <w:p>
            <w:pPr>
              <w:widowControl/>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rPr>
              <w:t>序号</w:t>
            </w:r>
          </w:p>
        </w:tc>
        <w:tc>
          <w:tcPr>
            <w:tcW w:w="1516" w:type="dxa"/>
            <w:noWrap w:val="0"/>
            <w:vAlign w:val="center"/>
          </w:tcPr>
          <w:p>
            <w:pPr>
              <w:widowControl/>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rPr>
              <w:t>专项行动类别</w:t>
            </w:r>
          </w:p>
        </w:tc>
        <w:tc>
          <w:tcPr>
            <w:tcW w:w="1100" w:type="dxa"/>
            <w:noWrap w:val="0"/>
            <w:vAlign w:val="center"/>
          </w:tcPr>
          <w:p>
            <w:pPr>
              <w:widowControl/>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rPr>
              <w:t>分值（分）</w:t>
            </w:r>
          </w:p>
        </w:tc>
        <w:tc>
          <w:tcPr>
            <w:tcW w:w="2100" w:type="dxa"/>
            <w:noWrap w:val="0"/>
            <w:vAlign w:val="center"/>
          </w:tcPr>
          <w:p>
            <w:pPr>
              <w:numPr>
                <w:ilvl w:val="0"/>
                <w:numId w:val="0"/>
              </w:numPr>
              <w:jc w:val="center"/>
              <w:rPr>
                <w:rFonts w:hint="eastAsia" w:ascii="仿宋" w:hAnsi="仿宋" w:eastAsia="仿宋" w:cs="仿宋"/>
                <w:b/>
                <w:bCs/>
                <w:color w:val="auto"/>
                <w:kern w:val="0"/>
                <w:sz w:val="21"/>
                <w:szCs w:val="21"/>
                <w:lang w:eastAsia="zh-CN"/>
              </w:rPr>
            </w:pPr>
            <w:r>
              <w:rPr>
                <w:rFonts w:hint="eastAsia" w:ascii="仿宋" w:hAnsi="仿宋" w:eastAsia="仿宋" w:cs="仿宋"/>
                <w:b/>
                <w:bCs/>
                <w:color w:val="auto"/>
                <w:kern w:val="0"/>
                <w:sz w:val="21"/>
                <w:szCs w:val="21"/>
                <w:lang w:eastAsia="zh-CN"/>
              </w:rPr>
              <w:t>重点任务</w:t>
            </w:r>
          </w:p>
        </w:tc>
        <w:tc>
          <w:tcPr>
            <w:tcW w:w="7350" w:type="dxa"/>
            <w:noWrap w:val="0"/>
            <w:vAlign w:val="center"/>
          </w:tcPr>
          <w:p>
            <w:pPr>
              <w:widowControl/>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rPr>
              <w:t>评分标准</w:t>
            </w:r>
          </w:p>
        </w:tc>
        <w:tc>
          <w:tcPr>
            <w:tcW w:w="1917" w:type="dxa"/>
            <w:noWrap w:val="0"/>
            <w:vAlign w:val="center"/>
          </w:tcPr>
          <w:p>
            <w:pPr>
              <w:widowControl/>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rPr>
              <w:t>1</w:t>
            </w:r>
          </w:p>
        </w:tc>
        <w:tc>
          <w:tcPr>
            <w:tcW w:w="1516" w:type="dxa"/>
            <w:vMerge w:val="restart"/>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河湖“清四乱”整治行动</w:t>
            </w:r>
          </w:p>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rPr>
              <w:t>（18分）</w:t>
            </w:r>
          </w:p>
        </w:tc>
        <w:tc>
          <w:tcPr>
            <w:tcW w:w="1100" w:type="dxa"/>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7</w:t>
            </w:r>
          </w:p>
        </w:tc>
        <w:tc>
          <w:tcPr>
            <w:tcW w:w="2100" w:type="dxa"/>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压实市、镇、村三级河湖长责任制</w:t>
            </w:r>
          </w:p>
        </w:tc>
        <w:tc>
          <w:tcPr>
            <w:tcW w:w="7350" w:type="dxa"/>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1.发现镇、村级河湖长及“三包一”责任人未履职尽责的扣0.2分。</w:t>
            </w:r>
          </w:p>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2.发现河湖垃圾、水草漂浮物、迎水面耕种及“四乱”问题未列入问题清单的，1处扣0.2分。</w:t>
            </w:r>
          </w:p>
          <w:p>
            <w:pPr>
              <w:widowControl/>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3.对市级河湖长及联系部门交办的河湖问题未纳入清单的，1处扣0.2分。</w:t>
            </w:r>
          </w:p>
        </w:tc>
        <w:tc>
          <w:tcPr>
            <w:tcW w:w="1917" w:type="dxa"/>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sz w:val="21"/>
                <w:szCs w:val="21"/>
                <w:lang w:val="en-US" w:eastAsia="zh-CN"/>
              </w:rPr>
              <w:t>2</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7</w:t>
            </w:r>
          </w:p>
        </w:tc>
        <w:tc>
          <w:tcPr>
            <w:tcW w:w="2100" w:type="dxa"/>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建立落实河湖管护长效机制</w:t>
            </w:r>
          </w:p>
        </w:tc>
        <w:tc>
          <w:tcPr>
            <w:tcW w:w="7350" w:type="dxa"/>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1.发现河湖垃圾、水草漂浮物、迎水面耕种及“四乱”等问题未按时限整改完成的，1处扣0.2分。</w:t>
            </w:r>
          </w:p>
          <w:p>
            <w:pPr>
              <w:widowControl/>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2.发现未建立落实河渠日常管护保洁和拦漂清漂长效机制的，1处扣0.2分。</w:t>
            </w:r>
          </w:p>
        </w:tc>
        <w:tc>
          <w:tcPr>
            <w:tcW w:w="1917" w:type="dxa"/>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3</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00" w:type="dxa"/>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培养村民建立良好文明习惯</w:t>
            </w:r>
          </w:p>
        </w:tc>
        <w:tc>
          <w:tcPr>
            <w:tcW w:w="7350" w:type="dxa"/>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1.发现行政村（社区）未将河渠日常管护纳入村规民约的，1处扣0.2分；</w:t>
            </w:r>
          </w:p>
          <w:p>
            <w:pPr>
              <w:widowControl/>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2.发现行政村（社区）村（居）在家门口河渠乱泼乱倒、乱耕乱种，且未按时清理的每处扣0.2分。</w:t>
            </w:r>
          </w:p>
        </w:tc>
        <w:tc>
          <w:tcPr>
            <w:tcW w:w="1917" w:type="dxa"/>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4</w:t>
            </w:r>
          </w:p>
        </w:tc>
        <w:tc>
          <w:tcPr>
            <w:tcW w:w="1516"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农业农村环境整治行动</w:t>
            </w:r>
          </w:p>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（18分）</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4</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加强畜禽养殖污染防治</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1.发现不规范畜禽养殖场且未列入问题整改清单的，1处扣0.2分。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0"/>
                <w:sz w:val="21"/>
                <w:szCs w:val="21"/>
                <w:highlight w:val="yellow"/>
                <w:lang w:val="en-US" w:eastAsia="zh-CN"/>
              </w:rPr>
            </w:pPr>
            <w:r>
              <w:rPr>
                <w:rFonts w:hint="eastAsia" w:ascii="仿宋" w:hAnsi="仿宋" w:eastAsia="仿宋" w:cs="仿宋"/>
                <w:color w:val="auto"/>
                <w:kern w:val="0"/>
                <w:sz w:val="21"/>
                <w:szCs w:val="21"/>
                <w:highlight w:val="none"/>
                <w:lang w:val="en-US" w:eastAsia="zh-CN"/>
              </w:rPr>
              <w:t>2.检查发现养殖场（户）未修建粪污存储设施、还田的，1处扣0.2分。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5</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6</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持续推进农村厕所革命</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1.发现问题厕所且未列入问题整改清单的，发现1处扣0.2分。</w:t>
            </w:r>
            <w:r>
              <w:rPr>
                <w:rFonts w:hint="eastAsia" w:ascii="仿宋" w:hAnsi="仿宋" w:eastAsia="仿宋" w:cs="仿宋"/>
                <w:color w:val="auto"/>
                <w:kern w:val="0"/>
                <w:sz w:val="21"/>
                <w:szCs w:val="21"/>
                <w:lang w:val="en-US" w:eastAsia="zh-CN"/>
              </w:rPr>
              <w:br w:type="textWrapping"/>
            </w:r>
            <w:r>
              <w:rPr>
                <w:rFonts w:hint="eastAsia" w:ascii="仿宋" w:hAnsi="仿宋" w:eastAsia="仿宋" w:cs="仿宋"/>
                <w:color w:val="auto"/>
                <w:kern w:val="0"/>
                <w:sz w:val="21"/>
                <w:szCs w:val="21"/>
                <w:lang w:val="en-US" w:eastAsia="zh-CN"/>
              </w:rPr>
              <w:t>2.厕所问题整改未到位或未按序时推进整改的，发现1处扣0.2分。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3.农村公厕损坏、环境卫生较差，发现1处扣0.2分。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4.生活污水直排的，发现1处扣0.2分。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sz w:val="21"/>
                <w:szCs w:val="21"/>
                <w:lang w:val="en-US" w:eastAsia="zh-CN"/>
              </w:rPr>
              <w:t>6</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5</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持续加强房前屋后整治</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1.房前屋后环境问题未列入整改清单的，1处扣0.2分。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2.房前屋后乱堆乱放的，发现1处扣0.2分。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3.房前种植高杆作物的，发现1处扣0.2分。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4.通过问卷调查，村民否定村庄清洁行动任一环节扣0.1分，累计扣分，扣完为止。</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5.存在牛皮癣、小广告、乱贴乱画现象的，发现1处扣0.2分。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33" w:type="dxa"/>
            <w:vMerge w:val="restart"/>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516"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农业农村环境整治行动</w:t>
            </w:r>
          </w:p>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（18分）</w:t>
            </w:r>
          </w:p>
        </w:tc>
        <w:tc>
          <w:tcPr>
            <w:tcW w:w="11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00" w:type="dxa"/>
            <w:vMerge w:val="restart"/>
            <w:noWrap w:val="0"/>
            <w:vAlign w:val="center"/>
          </w:tcPr>
          <w:p>
            <w:pPr>
              <w:numPr>
                <w:ilvl w:val="0"/>
                <w:numId w:val="0"/>
              </w:numPr>
              <w:ind w:left="0" w:leftChars="0"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加强农业面源污染管控</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1.1个村未建立农药化肥使用台账的，扣0.2分，累计扣分，总分1.5分，扣完为止。</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highlight w:val="none"/>
                <w:lang w:val="en-US" w:eastAsia="zh-CN"/>
              </w:rPr>
              <w:t>2.未按要求做好水产养殖投入品管控，污染防治不到位的，发现1处扣0.2分。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33" w:type="dxa"/>
            <w:vMerge w:val="continue"/>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1"/>
                <w:szCs w:val="21"/>
                <w:lang w:val="en-US" w:eastAsia="zh-CN"/>
              </w:rPr>
            </w:pPr>
          </w:p>
        </w:tc>
        <w:tc>
          <w:tcPr>
            <w:tcW w:w="2100" w:type="dxa"/>
            <w:vMerge w:val="continue"/>
            <w:noWrap w:val="0"/>
            <w:vAlign w:val="center"/>
          </w:tcPr>
          <w:p>
            <w:pPr>
              <w:numPr>
                <w:ilvl w:val="0"/>
                <w:numId w:val="0"/>
              </w:numPr>
              <w:ind w:left="0" w:leftChars="0" w:firstLine="0" w:firstLineChars="0"/>
              <w:jc w:val="center"/>
              <w:rPr>
                <w:rFonts w:hint="eastAsia" w:ascii="仿宋" w:hAnsi="仿宋" w:eastAsia="仿宋" w:cs="仿宋"/>
                <w:color w:val="auto"/>
                <w:kern w:val="0"/>
                <w:sz w:val="21"/>
                <w:szCs w:val="21"/>
                <w:lang w:val="en-US" w:eastAsia="zh-CN"/>
              </w:rPr>
            </w:pPr>
          </w:p>
        </w:tc>
        <w:tc>
          <w:tcPr>
            <w:tcW w:w="7350" w:type="dxa"/>
            <w:noWrap w:val="0"/>
            <w:vAlign w:val="center"/>
          </w:tcPr>
          <w:p>
            <w:pPr>
              <w:numPr>
                <w:ilvl w:val="0"/>
                <w:numId w:val="0"/>
              </w:numPr>
              <w:ind w:left="0" w:leftChars="0" w:firstLine="0" w:firstLineChars="0"/>
              <w:jc w:val="both"/>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未按《关于做好全市水产养殖种类、规模、排水去向建档工作的通知》报送相关情况，未按要求报送一项情况扣0.2分，累计扣分，总分1.5分，扣完为止。</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市小龙虾发展中心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8</w:t>
            </w:r>
          </w:p>
        </w:tc>
        <w:tc>
          <w:tcPr>
            <w:tcW w:w="1516" w:type="dxa"/>
            <w:vMerge w:val="restart"/>
            <w:noWrap w:val="0"/>
            <w:vAlign w:val="center"/>
          </w:tcPr>
          <w:p>
            <w:pPr>
              <w:widowControl/>
              <w:wordWrap/>
              <w:adjustRightInd/>
              <w:snapToGrid/>
              <w:spacing w:line="26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农村垃圾清理整治行动</w:t>
            </w:r>
          </w:p>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（18分）</w:t>
            </w:r>
          </w:p>
        </w:tc>
        <w:tc>
          <w:tcPr>
            <w:tcW w:w="1100" w:type="dxa"/>
            <w:noWrap w:val="0"/>
            <w:vAlign w:val="center"/>
          </w:tcPr>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9</w:t>
            </w:r>
          </w:p>
        </w:tc>
        <w:tc>
          <w:tcPr>
            <w:tcW w:w="2100" w:type="dxa"/>
            <w:noWrap w:val="0"/>
            <w:vAlign w:val="center"/>
          </w:tcPr>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加强生活垃圾收集转运处置</w:t>
            </w:r>
          </w:p>
        </w:tc>
        <w:tc>
          <w:tcPr>
            <w:tcW w:w="7350" w:type="dxa"/>
            <w:noWrap w:val="0"/>
            <w:vAlign w:val="center"/>
          </w:tcPr>
          <w:p>
            <w:pPr>
              <w:widowControl/>
              <w:wordWrap/>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1.垃圾堆积清理不及时、未清理，造成垃圾堆积的，1处扣0.2分。</w:t>
            </w:r>
          </w:p>
          <w:p>
            <w:pPr>
              <w:widowControl/>
              <w:wordWrap/>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2.垃圾收集点垃圾箱损坏未更换，垃圾箱缺失造成垃圾乱堆的，发现1处扣0.2分。</w:t>
            </w:r>
          </w:p>
          <w:p>
            <w:pPr>
              <w:widowControl/>
              <w:wordWrap/>
              <w:adjustRightInd/>
              <w:snapToGrid/>
              <w:spacing w:line="260" w:lineRule="exact"/>
              <w:jc w:val="left"/>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3.垃圾收集点设置不合理，因垃圾收集问题直接影响周边河渠水质及环境的，发现1处扣0.2分。</w:t>
            </w:r>
          </w:p>
        </w:tc>
        <w:tc>
          <w:tcPr>
            <w:tcW w:w="1917" w:type="dxa"/>
            <w:noWrap w:val="0"/>
            <w:vAlign w:val="center"/>
          </w:tcPr>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9</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9</w:t>
            </w:r>
          </w:p>
        </w:tc>
        <w:tc>
          <w:tcPr>
            <w:tcW w:w="2100" w:type="dxa"/>
            <w:noWrap w:val="0"/>
            <w:vAlign w:val="center"/>
          </w:tcPr>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加强建筑垃圾治理</w:t>
            </w:r>
          </w:p>
        </w:tc>
        <w:tc>
          <w:tcPr>
            <w:tcW w:w="7350" w:type="dxa"/>
            <w:noWrap w:val="0"/>
            <w:vAlign w:val="center"/>
          </w:tcPr>
          <w:p>
            <w:pPr>
              <w:widowControl/>
              <w:wordWrap/>
              <w:adjustRightInd/>
              <w:snapToGrid/>
              <w:spacing w:line="2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1.建筑、大件垃圾治理未有序推进的，发现1处扣0.2分。</w:t>
            </w:r>
          </w:p>
          <w:p>
            <w:pPr>
              <w:widowControl/>
              <w:wordWrap/>
              <w:adjustRightInd/>
              <w:snapToGrid/>
              <w:spacing w:line="260" w:lineRule="exact"/>
              <w:jc w:val="left"/>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2.建筑、大件垃圾随意堆放，未及时清理的，发现1处扣0.2分。</w:t>
            </w:r>
          </w:p>
        </w:tc>
        <w:tc>
          <w:tcPr>
            <w:tcW w:w="1917" w:type="dxa"/>
            <w:noWrap w:val="0"/>
            <w:vAlign w:val="center"/>
          </w:tcPr>
          <w:p>
            <w:pPr>
              <w:widowControl/>
              <w:wordWrap/>
              <w:adjustRightInd/>
              <w:snapToGrid/>
              <w:spacing w:line="2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33" w:type="dxa"/>
            <w:noWrap w:val="0"/>
            <w:vAlign w:val="center"/>
          </w:tcPr>
          <w:p>
            <w:pPr>
              <w:jc w:val="center"/>
              <w:rPr>
                <w:rFonts w:hint="default"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10</w:t>
            </w:r>
          </w:p>
        </w:tc>
        <w:tc>
          <w:tcPr>
            <w:tcW w:w="1516" w:type="dxa"/>
            <w:vMerge w:val="restart"/>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rPr>
              <w:t>公路沿线环境整治行动（1</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tc>
        <w:tc>
          <w:tcPr>
            <w:tcW w:w="1100" w:type="dxa"/>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9</w:t>
            </w:r>
          </w:p>
        </w:tc>
        <w:tc>
          <w:tcPr>
            <w:tcW w:w="2100" w:type="dxa"/>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常态化开展国、省、县、乡、村道路面日常巡查和治理。</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未对辖区道路及两侧乱搭乱建、占道经营、摆摊设点、打场晒粮以及破坏安防设施等行为进行巡查和治理的，每处扣0.1分，未纳入问题清单的，每处扣0.3分。沿线道路尘土飞扬，每处扣0.3分。道路上抛弃物、路边堆场、料场未覆盖，每处扣0.3分。</w:t>
            </w:r>
          </w:p>
        </w:tc>
        <w:tc>
          <w:tcPr>
            <w:tcW w:w="1917" w:type="dxa"/>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11</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9</w:t>
            </w:r>
          </w:p>
        </w:tc>
        <w:tc>
          <w:tcPr>
            <w:tcW w:w="2100" w:type="dxa"/>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针对性强化国、省、县、乡、村道路肩、边坡环境整治。</w:t>
            </w:r>
          </w:p>
        </w:tc>
        <w:tc>
          <w:tcPr>
            <w:tcW w:w="73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1.未对路肩堆积的秸秆及杂物进行清理的，路肩有种植农作物现象的，每处扣0.1分；未纳入问题清单的，每处扣0.3分。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2.路肩和边坡脏、乱、差，路基有沉陷、垮塌，每处扣0.1分；未纳入问题清单的，每处扣0.3分。</w:t>
            </w:r>
          </w:p>
        </w:tc>
        <w:tc>
          <w:tcPr>
            <w:tcW w:w="1917" w:type="dxa"/>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3" w:type="dxa"/>
            <w:noWrap w:val="0"/>
            <w:vAlign w:val="center"/>
          </w:tcPr>
          <w:p>
            <w:pPr>
              <w:jc w:val="center"/>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12</w:t>
            </w:r>
          </w:p>
        </w:tc>
        <w:tc>
          <w:tcPr>
            <w:tcW w:w="1516" w:type="dxa"/>
            <w:vMerge w:val="restart"/>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eastAsia="zh-CN"/>
              </w:rPr>
              <w:t>重点排污口和农村黑臭水体排查整治行动（</w:t>
            </w:r>
            <w:r>
              <w:rPr>
                <w:rFonts w:hint="eastAsia" w:ascii="仿宋" w:hAnsi="仿宋" w:eastAsia="仿宋" w:cs="仿宋"/>
                <w:color w:val="auto"/>
                <w:kern w:val="0"/>
                <w:sz w:val="21"/>
                <w:szCs w:val="21"/>
                <w:lang w:val="en-US" w:eastAsia="zh-CN"/>
              </w:rPr>
              <w:t>18分</w:t>
            </w:r>
            <w:r>
              <w:rPr>
                <w:rFonts w:hint="eastAsia" w:ascii="仿宋" w:hAnsi="仿宋" w:eastAsia="仿宋" w:cs="仿宋"/>
                <w:color w:val="auto"/>
                <w:kern w:val="0"/>
                <w:sz w:val="21"/>
                <w:szCs w:val="21"/>
                <w:lang w:eastAsia="zh-CN"/>
              </w:rPr>
              <w:t>）</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加强重点排污口排查整治</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重点排污口漏排一处，扣0.2分，扣完为止。</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13</w:t>
            </w:r>
          </w:p>
        </w:tc>
        <w:tc>
          <w:tcPr>
            <w:tcW w:w="1516" w:type="dxa"/>
            <w:vMerge w:val="continue"/>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p>
        </w:tc>
        <w:tc>
          <w:tcPr>
            <w:tcW w:w="1100" w:type="dxa"/>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8</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持续加强黑臭水体排查整治</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1.发现农村疑似黑臭水体且未纳入问题清单表扣0.5分。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黑臭水体被群众举报市级投诉平台，纳入地方问题清单扣0.5分，未纳入地方问题清单扣1分；被省级通报或被举报到省级平台，纳入地方问题清单扣1分，未纳入问题清单扣2分；被国家通报或被举报到国家平台，纳入地方问题清单扣2分，未纳入问题清单扣3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3.农村黑臭水体未按序时推进或整改不达标的，1条扣0.5分。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14</w:t>
            </w:r>
          </w:p>
        </w:tc>
        <w:tc>
          <w:tcPr>
            <w:tcW w:w="1516"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组织领导</w:t>
            </w:r>
          </w:p>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（5分）</w:t>
            </w:r>
          </w:p>
        </w:tc>
        <w:tc>
          <w:tcPr>
            <w:tcW w:w="1100"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加强组织领导，做好长效管控、共同缔造</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1.党政主要负责人未亲自参与农村人居环境整治，扣2分。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2.上级交办问题未按时序整改到位的，除按专项工作评分细则扣分外，另扣1分，扣完为止。</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综合协调组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15</w:t>
            </w:r>
          </w:p>
        </w:tc>
        <w:tc>
          <w:tcPr>
            <w:tcW w:w="1516"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宣传报道</w:t>
            </w:r>
          </w:p>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（5分）</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5</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宣传报道</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夏季大会战期间，在潜江市日报、电视台（新闻频道）首发报道的正面新闻，1条0.5分；在中国环境报、湖北日报、湖北电视台卫视频道（新闻联播）首发报道的正面新闻，1条1分；在中央电视台、人民日报、新华社、光明日报等四家央媒首报道的正面新闻，1篇2分。（以上媒体首发报道均指报纸、电视，与上述新闻媒体同一级别的参考打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综合协调组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16</w:t>
            </w:r>
          </w:p>
        </w:tc>
        <w:tc>
          <w:tcPr>
            <w:tcW w:w="1516"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奖分项</w:t>
            </w:r>
          </w:p>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（5分）</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方正小标宋简体" w:hAnsi="方正小标宋简体" w:eastAsia="方正小标宋简体" w:cs="方正小标宋简体"/>
                <w:color w:val="auto"/>
                <w:sz w:val="21"/>
                <w:szCs w:val="21"/>
                <w:vertAlign w:val="baseline"/>
                <w:lang w:val="en-US" w:eastAsia="zh-CN"/>
              </w:rPr>
            </w:pPr>
            <w:r>
              <w:rPr>
                <w:rFonts w:hint="eastAsia" w:ascii="方正小标宋简体" w:hAnsi="方正小标宋简体" w:eastAsia="方正小标宋简体" w:cs="方正小标宋简体"/>
                <w:color w:val="auto"/>
                <w:sz w:val="21"/>
                <w:szCs w:val="21"/>
                <w:vertAlign w:val="baseline"/>
                <w:lang w:val="en-US" w:eastAsia="zh-CN"/>
              </w:rPr>
              <w:t>5</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典型经验</w:t>
            </w: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共同缔造经验模式受到市委市政府主要领导签批认可或受到市委市政府通报表扬，加2分；共同缔造经验模式受到省委省政府领导签批认可或被省委省政府通报表扬，5分。</w:t>
            </w: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auto"/>
                <w:sz w:val="21"/>
                <w:szCs w:val="21"/>
                <w:vertAlign w:val="baseline"/>
                <w:lang w:val="en-US" w:eastAsia="zh-CN"/>
              </w:rPr>
            </w:pPr>
            <w:r>
              <w:rPr>
                <w:rFonts w:hint="eastAsia" w:ascii="仿宋" w:hAnsi="仿宋" w:eastAsia="仿宋" w:cs="仿宋"/>
                <w:color w:val="auto"/>
                <w:kern w:val="0"/>
                <w:sz w:val="21"/>
                <w:szCs w:val="21"/>
                <w:lang w:val="en-US" w:eastAsia="zh-CN"/>
              </w:rPr>
              <w:t>综合协调组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gridSpan w:val="2"/>
            <w:noWrap w:val="0"/>
            <w:vAlign w:val="center"/>
          </w:tcPr>
          <w:p>
            <w:pPr>
              <w:widowControl/>
              <w:jc w:val="center"/>
              <w:rPr>
                <w:rFonts w:hint="eastAsia" w:ascii="方正小标宋简体" w:hAnsi="方正小标宋简体" w:eastAsia="方正小标宋简体" w:cs="方正小标宋简体"/>
                <w:color w:val="auto"/>
                <w:sz w:val="21"/>
                <w:szCs w:val="21"/>
                <w:vertAlign w:val="baseline"/>
                <w:lang w:val="en-US" w:eastAsia="zh-CN"/>
              </w:rPr>
            </w:pPr>
            <w:r>
              <w:rPr>
                <w:rFonts w:hint="eastAsia" w:ascii="方正小标宋简体" w:hAnsi="方正小标宋简体" w:eastAsia="方正小标宋简体" w:cs="方正小标宋简体"/>
                <w:color w:val="auto"/>
                <w:sz w:val="21"/>
                <w:szCs w:val="21"/>
                <w:vertAlign w:val="baseline"/>
                <w:lang w:val="en-US" w:eastAsia="zh-CN"/>
              </w:rPr>
              <w:t>合计</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105</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1"/>
                <w:szCs w:val="21"/>
                <w:lang w:val="en-US" w:eastAsia="zh-CN"/>
              </w:rPr>
            </w:pPr>
          </w:p>
        </w:tc>
        <w:tc>
          <w:tcPr>
            <w:tcW w:w="73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1"/>
                <w:szCs w:val="21"/>
                <w:lang w:val="en-US" w:eastAsia="zh-CN"/>
              </w:rPr>
            </w:pPr>
          </w:p>
        </w:tc>
        <w:tc>
          <w:tcPr>
            <w:tcW w:w="19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1"/>
                <w:szCs w:val="21"/>
                <w:lang w:val="en-US" w:eastAsia="zh-CN"/>
              </w:rPr>
            </w:pPr>
          </w:p>
        </w:tc>
      </w:tr>
    </w:tbl>
    <w:p>
      <w:bookmarkStart w:id="0" w:name="_GoBack"/>
      <w:bookmarkEnd w:id="0"/>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NzRkMDU2MDYxYmY5NjIzYjA2NGVjMzNkNmE0NjYifQ=="/>
  </w:docVars>
  <w:rsids>
    <w:rsidRoot w:val="032F3531"/>
    <w:rsid w:val="032F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2024-09-02T06:31:00Z</dcterms:created>
  <dc:creator>过客</dc:creator>
  <cp:lastModifiedBy>过客</cp:lastModifiedBy>
  <dcterms:modified xsi:type="dcterms:W3CDTF">2024-09-02T06:33:02Z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DECDE8A1930B465AA3BCB696BABBCFFF_11</vt:lpwstr>
  </property>
</Properties>
</file>